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12C8F">
      <w:pPr>
        <w:pageBreakBefore w:val="0"/>
        <w:kinsoku/>
        <w:wordWrap/>
        <w:overflowPunct/>
        <w:topLinePunct w:val="0"/>
        <w:autoSpaceDE/>
        <w:autoSpaceDN/>
        <w:bidi w:val="0"/>
        <w:snapToGrid/>
        <w:spacing w:line="360" w:lineRule="auto"/>
        <w:textAlignment w:val="auto"/>
        <w:rPr>
          <w:color w:val="auto"/>
        </w:rPr>
      </w:pPr>
    </w:p>
    <w:p w14:paraId="73C5B3DE">
      <w:pPr>
        <w:pStyle w:val="10"/>
        <w:pageBreakBefore w:val="0"/>
        <w:kinsoku/>
        <w:wordWrap/>
        <w:overflowPunct/>
        <w:topLinePunct w:val="0"/>
        <w:autoSpaceDE/>
        <w:autoSpaceDN/>
        <w:bidi w:val="0"/>
        <w:snapToGrid/>
        <w:spacing w:before="0" w:line="360" w:lineRule="auto"/>
        <w:jc w:val="center"/>
        <w:textAlignment w:val="auto"/>
        <w:rPr>
          <w:rFonts w:hint="default" w:ascii="宋体" w:hAnsi="宋体"/>
          <w:color w:val="auto"/>
          <w:sz w:val="52"/>
          <w:szCs w:val="52"/>
          <w:lang w:val="zh-CN"/>
        </w:rPr>
      </w:pPr>
      <w:bookmarkStart w:id="0" w:name="_Toc19165"/>
      <w:bookmarkStart w:id="1" w:name="_Toc20760"/>
      <w:r>
        <w:rPr>
          <w:rFonts w:hint="eastAsia" w:ascii="宋体" w:hAnsi="宋体"/>
          <w:color w:val="auto"/>
          <w:sz w:val="52"/>
          <w:szCs w:val="52"/>
          <w:lang w:val="en-US" w:eastAsia="zh-CN"/>
        </w:rPr>
        <w:t>铜陵</w:t>
      </w:r>
      <w:r>
        <w:rPr>
          <w:rFonts w:ascii="宋体" w:hAnsi="宋体"/>
          <w:color w:val="auto"/>
          <w:sz w:val="52"/>
          <w:szCs w:val="52"/>
          <w:lang w:val="zh-CN"/>
        </w:rPr>
        <w:t>学院</w:t>
      </w:r>
      <w:bookmarkEnd w:id="0"/>
      <w:bookmarkEnd w:id="1"/>
    </w:p>
    <w:p w14:paraId="5CF4BDE4">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b/>
          <w:color w:val="auto"/>
          <w:sz w:val="64"/>
          <w:szCs w:val="64"/>
          <w:lang w:val="zh-CN"/>
        </w:rPr>
      </w:pPr>
      <w:bookmarkStart w:id="2" w:name="_Toc28784"/>
      <w:bookmarkStart w:id="3" w:name="_Toc26178"/>
      <w:bookmarkStart w:id="4" w:name="_Toc22146"/>
      <w:bookmarkStart w:id="5" w:name="_Toc17781"/>
      <w:bookmarkStart w:id="6" w:name="_Toc19269"/>
      <w:bookmarkStart w:id="7" w:name="_Toc17741"/>
      <w:bookmarkStart w:id="8" w:name="_Toc2840"/>
      <w:bookmarkStart w:id="9" w:name="_Toc14779"/>
      <w:bookmarkStart w:id="10" w:name="_Toc10344"/>
      <w:bookmarkStart w:id="11" w:name="_Toc20778"/>
      <w:bookmarkStart w:id="12" w:name="_Toc12697"/>
      <w:bookmarkStart w:id="13" w:name="_Toc5467"/>
      <w:bookmarkStart w:id="14" w:name="_Toc8593"/>
      <w:bookmarkStart w:id="15" w:name="_Toc9750"/>
      <w:bookmarkStart w:id="16" w:name="_Toc32413"/>
      <w:r>
        <w:rPr>
          <w:rFonts w:hint="default" w:ascii="宋体" w:hAnsi="宋体"/>
          <w:color w:val="auto"/>
          <w:sz w:val="52"/>
          <w:szCs w:val="52"/>
          <w:lang w:val="zh-CN"/>
        </w:rPr>
        <w:t>202</w:t>
      </w:r>
      <w:r>
        <w:rPr>
          <w:rFonts w:hint="eastAsia" w:ascii="宋体" w:hAnsi="宋体"/>
          <w:color w:val="auto"/>
          <w:sz w:val="52"/>
          <w:szCs w:val="52"/>
          <w:lang w:val="en-US" w:eastAsia="zh-CN"/>
        </w:rPr>
        <w:t>5</w:t>
      </w:r>
      <w:r>
        <w:rPr>
          <w:rFonts w:hint="default" w:ascii="宋体" w:hAnsi="宋体"/>
          <w:color w:val="auto"/>
          <w:sz w:val="52"/>
          <w:szCs w:val="52"/>
          <w:lang w:val="zh-CN"/>
        </w:rPr>
        <w:t>年度</w:t>
      </w:r>
      <w:r>
        <w:rPr>
          <w:rFonts w:ascii="宋体" w:hAnsi="宋体"/>
          <w:color w:val="auto"/>
          <w:sz w:val="52"/>
          <w:szCs w:val="52"/>
          <w:lang w:val="zh-CN"/>
        </w:rPr>
        <w:t>校</w:t>
      </w:r>
      <w:r>
        <w:rPr>
          <w:rFonts w:hint="default" w:ascii="宋体" w:hAnsi="宋体"/>
          <w:color w:val="auto"/>
          <w:sz w:val="52"/>
          <w:szCs w:val="52"/>
          <w:lang w:val="zh-CN"/>
        </w:rPr>
        <w:t>级质量工程项目</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0726879">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color w:val="auto"/>
          <w:sz w:val="64"/>
          <w:szCs w:val="64"/>
          <w:lang w:val="zh-CN"/>
        </w:rPr>
      </w:pPr>
    </w:p>
    <w:p w14:paraId="3B259443">
      <w:pPr>
        <w:rPr>
          <w:rFonts w:hint="default"/>
          <w:color w:val="auto"/>
          <w:lang w:val="zh-CN"/>
        </w:rPr>
      </w:pPr>
    </w:p>
    <w:p w14:paraId="2B502349">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17" w:name="_Toc1217"/>
      <w:bookmarkStart w:id="18" w:name="_Toc28626"/>
      <w:r>
        <w:rPr>
          <w:rFonts w:hint="eastAsia" w:ascii="仿宋" w:hAnsi="仿宋" w:eastAsia="仿宋"/>
          <w:b/>
          <w:bCs/>
          <w:color w:val="auto"/>
          <w:sz w:val="84"/>
          <w:szCs w:val="84"/>
          <w:lang w:val="zh-CN"/>
        </w:rPr>
        <w:t>申</w:t>
      </w:r>
      <w:bookmarkEnd w:id="17"/>
      <w:bookmarkEnd w:id="18"/>
    </w:p>
    <w:p w14:paraId="0C1B9940">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19" w:name="_Toc23363"/>
      <w:bookmarkStart w:id="20" w:name="_Toc26082"/>
      <w:r>
        <w:rPr>
          <w:rFonts w:hint="eastAsia" w:ascii="仿宋" w:hAnsi="仿宋" w:eastAsia="仿宋"/>
          <w:b/>
          <w:bCs/>
          <w:color w:val="auto"/>
          <w:sz w:val="84"/>
          <w:szCs w:val="84"/>
          <w:lang w:val="zh-CN"/>
        </w:rPr>
        <w:t>报</w:t>
      </w:r>
      <w:bookmarkEnd w:id="19"/>
      <w:bookmarkEnd w:id="20"/>
    </w:p>
    <w:p w14:paraId="7CEFBA4E">
      <w:pPr>
        <w:pageBreakBefore w:val="0"/>
        <w:kinsoku/>
        <w:wordWrap/>
        <w:overflowPunct/>
        <w:topLinePunct w:val="0"/>
        <w:autoSpaceDE/>
        <w:autoSpaceDN/>
        <w:bidi w:val="0"/>
        <w:snapToGrid/>
        <w:spacing w:line="360" w:lineRule="auto"/>
        <w:jc w:val="center"/>
        <w:textAlignment w:val="auto"/>
        <w:outlineLvl w:val="0"/>
        <w:rPr>
          <w:rFonts w:ascii="仿宋" w:hAnsi="仿宋" w:eastAsia="仿宋"/>
          <w:b/>
          <w:bCs/>
          <w:color w:val="auto"/>
          <w:sz w:val="84"/>
          <w:szCs w:val="84"/>
          <w:lang w:val="zh-CN"/>
        </w:rPr>
      </w:pPr>
      <w:bookmarkStart w:id="21" w:name="_Toc8368"/>
      <w:bookmarkStart w:id="22" w:name="_Toc5793"/>
      <w:r>
        <w:rPr>
          <w:rFonts w:hint="eastAsia" w:ascii="仿宋" w:hAnsi="仿宋" w:eastAsia="仿宋"/>
          <w:b/>
          <w:bCs/>
          <w:color w:val="auto"/>
          <w:sz w:val="84"/>
          <w:szCs w:val="84"/>
          <w:lang w:val="zh-CN"/>
        </w:rPr>
        <w:t>指</w:t>
      </w:r>
      <w:bookmarkEnd w:id="21"/>
      <w:bookmarkEnd w:id="22"/>
    </w:p>
    <w:p w14:paraId="6DE41A3E">
      <w:pPr>
        <w:pageBreakBefore w:val="0"/>
        <w:kinsoku/>
        <w:wordWrap/>
        <w:overflowPunct/>
        <w:topLinePunct w:val="0"/>
        <w:autoSpaceDE/>
        <w:autoSpaceDN/>
        <w:bidi w:val="0"/>
        <w:snapToGrid/>
        <w:spacing w:line="360" w:lineRule="auto"/>
        <w:jc w:val="center"/>
        <w:textAlignment w:val="auto"/>
        <w:outlineLvl w:val="0"/>
        <w:rPr>
          <w:rFonts w:ascii="仿宋" w:hAnsi="仿宋" w:eastAsia="仿宋"/>
          <w:bCs/>
          <w:color w:val="auto"/>
          <w:sz w:val="84"/>
          <w:szCs w:val="84"/>
          <w:lang w:val="zh-CN"/>
        </w:rPr>
      </w:pPr>
      <w:bookmarkStart w:id="23" w:name="_Toc226"/>
      <w:bookmarkStart w:id="24" w:name="_Toc28519"/>
      <w:r>
        <w:rPr>
          <w:rFonts w:hint="eastAsia" w:ascii="仿宋" w:hAnsi="仿宋" w:eastAsia="仿宋"/>
          <w:b/>
          <w:bCs/>
          <w:color w:val="auto"/>
          <w:sz w:val="84"/>
          <w:szCs w:val="84"/>
          <w:lang w:val="zh-CN"/>
        </w:rPr>
        <w:t>南</w:t>
      </w:r>
      <w:bookmarkEnd w:id="23"/>
      <w:bookmarkEnd w:id="24"/>
    </w:p>
    <w:p w14:paraId="21246FFB">
      <w:pPr>
        <w:pStyle w:val="10"/>
        <w:pageBreakBefore w:val="0"/>
        <w:kinsoku/>
        <w:wordWrap/>
        <w:overflowPunct/>
        <w:topLinePunct w:val="0"/>
        <w:autoSpaceDE/>
        <w:autoSpaceDN/>
        <w:bidi w:val="0"/>
        <w:snapToGrid/>
        <w:spacing w:before="0" w:line="360" w:lineRule="auto"/>
        <w:jc w:val="center"/>
        <w:textAlignment w:val="auto"/>
        <w:rPr>
          <w:rFonts w:hint="default" w:ascii="仿宋" w:hAnsi="仿宋" w:eastAsia="仿宋"/>
          <w:color w:val="auto"/>
          <w:sz w:val="64"/>
          <w:szCs w:val="64"/>
          <w:lang w:val="zh-CN"/>
        </w:rPr>
      </w:pPr>
    </w:p>
    <w:p w14:paraId="2D221ED8">
      <w:pPr>
        <w:rPr>
          <w:rFonts w:hint="default"/>
          <w:color w:val="auto"/>
          <w:lang w:val="zh-CN"/>
        </w:rPr>
      </w:pPr>
    </w:p>
    <w:p w14:paraId="631B0135">
      <w:pPr>
        <w:pageBreakBefore w:val="0"/>
        <w:kinsoku/>
        <w:wordWrap/>
        <w:overflowPunct/>
        <w:topLinePunct w:val="0"/>
        <w:autoSpaceDE/>
        <w:autoSpaceDN/>
        <w:bidi w:val="0"/>
        <w:snapToGrid/>
        <w:spacing w:line="360" w:lineRule="auto"/>
        <w:jc w:val="center"/>
        <w:textAlignment w:val="auto"/>
        <w:rPr>
          <w:rFonts w:ascii="仿宋" w:hAnsi="仿宋" w:eastAsia="仿宋"/>
          <w:b/>
          <w:color w:val="auto"/>
          <w:sz w:val="36"/>
          <w:szCs w:val="36"/>
          <w:lang w:val="zh-CN"/>
        </w:rPr>
      </w:pPr>
    </w:p>
    <w:p w14:paraId="7B9BC7C8">
      <w:pPr>
        <w:pageBreakBefore w:val="0"/>
        <w:kinsoku/>
        <w:wordWrap/>
        <w:overflowPunct/>
        <w:topLinePunct w:val="0"/>
        <w:autoSpaceDE/>
        <w:autoSpaceDN/>
        <w:bidi w:val="0"/>
        <w:snapToGrid/>
        <w:spacing w:line="360" w:lineRule="auto"/>
        <w:jc w:val="center"/>
        <w:textAlignment w:val="auto"/>
        <w:rPr>
          <w:rFonts w:ascii="仿宋" w:hAnsi="仿宋" w:eastAsia="仿宋"/>
          <w:b/>
          <w:color w:val="auto"/>
          <w:sz w:val="36"/>
          <w:szCs w:val="36"/>
          <w:lang w:val="zh-CN"/>
        </w:rPr>
      </w:pPr>
    </w:p>
    <w:p w14:paraId="314C4DFE">
      <w:pPr>
        <w:pageBreakBefore w:val="0"/>
        <w:kinsoku/>
        <w:wordWrap/>
        <w:overflowPunct/>
        <w:topLinePunct w:val="0"/>
        <w:autoSpaceDE/>
        <w:autoSpaceDN/>
        <w:bidi w:val="0"/>
        <w:snapToGrid/>
        <w:spacing w:line="360" w:lineRule="auto"/>
        <w:jc w:val="center"/>
        <w:textAlignment w:val="auto"/>
        <w:rPr>
          <w:rFonts w:ascii="仿宋" w:hAnsi="仿宋" w:eastAsia="仿宋"/>
          <w:color w:val="auto"/>
          <w:sz w:val="36"/>
          <w:szCs w:val="36"/>
        </w:rPr>
      </w:pPr>
      <w:r>
        <w:rPr>
          <w:rFonts w:hint="eastAsia" w:ascii="仿宋" w:hAnsi="仿宋" w:eastAsia="仿宋"/>
          <w:color w:val="auto"/>
          <w:sz w:val="36"/>
          <w:szCs w:val="36"/>
          <w:lang w:val="en-US" w:eastAsia="zh-CN"/>
        </w:rPr>
        <w:t>铜陵</w:t>
      </w:r>
      <w:r>
        <w:rPr>
          <w:rFonts w:hint="eastAsia" w:ascii="仿宋" w:hAnsi="仿宋" w:eastAsia="仿宋"/>
          <w:color w:val="auto"/>
          <w:sz w:val="36"/>
          <w:szCs w:val="36"/>
        </w:rPr>
        <w:t>学院教务处</w:t>
      </w:r>
      <w:r>
        <w:rPr>
          <w:rFonts w:ascii="仿宋" w:hAnsi="仿宋" w:eastAsia="仿宋"/>
          <w:color w:val="auto"/>
          <w:sz w:val="36"/>
          <w:szCs w:val="36"/>
        </w:rPr>
        <w:t xml:space="preserve"> </w:t>
      </w:r>
      <w:r>
        <w:rPr>
          <w:rFonts w:hint="eastAsia" w:ascii="仿宋" w:hAnsi="仿宋" w:eastAsia="仿宋"/>
          <w:color w:val="auto"/>
          <w:sz w:val="36"/>
          <w:szCs w:val="36"/>
        </w:rPr>
        <w:t>制</w:t>
      </w:r>
    </w:p>
    <w:p w14:paraId="6973A5E9">
      <w:pPr>
        <w:pageBreakBefore w:val="0"/>
        <w:kinsoku/>
        <w:wordWrap/>
        <w:overflowPunct/>
        <w:topLinePunct w:val="0"/>
        <w:autoSpaceDE/>
        <w:autoSpaceDN/>
        <w:bidi w:val="0"/>
        <w:snapToGrid/>
        <w:spacing w:line="360" w:lineRule="auto"/>
        <w:jc w:val="center"/>
        <w:textAlignment w:val="auto"/>
        <w:rPr>
          <w:rFonts w:ascii="仿宋" w:hAnsi="仿宋" w:eastAsia="仿宋"/>
          <w:color w:val="auto"/>
        </w:rPr>
      </w:pPr>
      <w:r>
        <w:rPr>
          <w:rFonts w:ascii="仿宋" w:hAnsi="仿宋" w:eastAsia="仿宋"/>
          <w:color w:val="auto"/>
          <w:sz w:val="36"/>
          <w:szCs w:val="36"/>
        </w:rPr>
        <w:t>202</w:t>
      </w:r>
      <w:r>
        <w:rPr>
          <w:rFonts w:hint="eastAsia" w:ascii="仿宋" w:hAnsi="仿宋" w:eastAsia="仿宋"/>
          <w:color w:val="auto"/>
          <w:sz w:val="36"/>
          <w:szCs w:val="36"/>
          <w:lang w:val="en-US" w:eastAsia="zh-CN"/>
        </w:rPr>
        <w:t>5</w:t>
      </w:r>
      <w:r>
        <w:rPr>
          <w:rFonts w:hint="eastAsia" w:ascii="仿宋" w:hAnsi="仿宋" w:eastAsia="仿宋"/>
          <w:color w:val="auto"/>
          <w:sz w:val="36"/>
          <w:szCs w:val="36"/>
        </w:rPr>
        <w:t>年</w:t>
      </w:r>
    </w:p>
    <w:p w14:paraId="573F8A5B">
      <w:pPr>
        <w:pageBreakBefore w:val="0"/>
        <w:kinsoku/>
        <w:wordWrap/>
        <w:overflowPunct/>
        <w:topLinePunct w:val="0"/>
        <w:autoSpaceDE/>
        <w:autoSpaceDN/>
        <w:bidi w:val="0"/>
        <w:snapToGrid/>
        <w:spacing w:line="360" w:lineRule="auto"/>
        <w:textAlignment w:val="auto"/>
        <w:rPr>
          <w:color w:val="auto"/>
        </w:rPr>
      </w:pPr>
    </w:p>
    <w:p w14:paraId="2140A4E8">
      <w:pPr>
        <w:pageBreakBefore w:val="0"/>
        <w:kinsoku/>
        <w:wordWrap/>
        <w:overflowPunct/>
        <w:topLinePunct w:val="0"/>
        <w:autoSpaceDE/>
        <w:autoSpaceDN/>
        <w:bidi w:val="0"/>
        <w:snapToGrid/>
        <w:spacing w:line="360" w:lineRule="auto"/>
        <w:textAlignment w:val="auto"/>
        <w:rPr>
          <w:color w:val="auto"/>
        </w:rPr>
      </w:pPr>
    </w:p>
    <w:p w14:paraId="52C4FEE1">
      <w:pPr>
        <w:pageBreakBefore w:val="0"/>
        <w:kinsoku/>
        <w:wordWrap/>
        <w:overflowPunct/>
        <w:topLinePunct w:val="0"/>
        <w:autoSpaceDE/>
        <w:autoSpaceDN/>
        <w:bidi w:val="0"/>
        <w:snapToGrid/>
        <w:spacing w:line="360" w:lineRule="auto"/>
        <w:textAlignment w:val="auto"/>
        <w:rPr>
          <w:color w:val="auto"/>
        </w:rPr>
      </w:pPr>
    </w:p>
    <w:p w14:paraId="42B8CEF1">
      <w:pPr>
        <w:pageBreakBefore w:val="0"/>
        <w:kinsoku/>
        <w:wordWrap/>
        <w:overflowPunct/>
        <w:topLinePunct w:val="0"/>
        <w:autoSpaceDE/>
        <w:autoSpaceDN/>
        <w:bidi w:val="0"/>
        <w:snapToGrid/>
        <w:spacing w:line="360" w:lineRule="auto"/>
        <w:jc w:val="center"/>
        <w:textAlignment w:val="auto"/>
        <w:rPr>
          <w:rFonts w:hint="eastAsia" w:ascii="黑体" w:hAnsi="黑体" w:eastAsia="黑体" w:cs="黑体"/>
          <w:color w:val="auto"/>
        </w:rPr>
      </w:pPr>
      <w:r>
        <w:rPr>
          <w:rFonts w:hint="eastAsia" w:ascii="黑体" w:hAnsi="黑体" w:eastAsia="黑体" w:cs="黑体"/>
          <w:color w:val="auto"/>
          <w:kern w:val="0"/>
          <w:sz w:val="52"/>
          <w:szCs w:val="52"/>
          <w:lang w:val="zh-CN" w:eastAsia="zh-CN" w:bidi="ar-SA"/>
        </w:rPr>
        <w:t>目  录</w:t>
      </w:r>
    </w:p>
    <w:p w14:paraId="07C5CAB8">
      <w:pPr>
        <w:pageBreakBefore w:val="0"/>
        <w:kinsoku/>
        <w:wordWrap/>
        <w:overflowPunct/>
        <w:topLinePunct w:val="0"/>
        <w:autoSpaceDE/>
        <w:autoSpaceDN/>
        <w:bidi w:val="0"/>
        <w:snapToGrid/>
        <w:spacing w:line="360" w:lineRule="auto"/>
        <w:textAlignment w:val="auto"/>
        <w:rPr>
          <w:color w:val="auto"/>
        </w:rPr>
      </w:pPr>
    </w:p>
    <w:p w14:paraId="33B41EFF">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1.校级</w:t>
      </w:r>
      <w:r>
        <w:rPr>
          <w:rFonts w:hint="eastAsia"/>
          <w:b/>
          <w:bCs/>
          <w:color w:val="auto"/>
          <w:sz w:val="28"/>
          <w:szCs w:val="28"/>
        </w:rPr>
        <w:t>教育教学研究项目</w:t>
      </w:r>
    </w:p>
    <w:p w14:paraId="643C8FD8">
      <w:pPr>
        <w:pageBreakBefore w:val="0"/>
        <w:numPr>
          <w:ilvl w:val="0"/>
          <w:numId w:val="0"/>
        </w:numPr>
        <w:kinsoku/>
        <w:wordWrap/>
        <w:overflowPunct/>
        <w:topLinePunct w:val="0"/>
        <w:autoSpaceDE/>
        <w:autoSpaceDN/>
        <w:bidi w:val="0"/>
        <w:snapToGrid/>
        <w:spacing w:line="360" w:lineRule="auto"/>
        <w:ind w:leftChars="0"/>
        <w:textAlignment w:val="auto"/>
        <w:rPr>
          <w:rFonts w:hint="eastAsia"/>
          <w:b/>
          <w:bCs/>
          <w:strike w:val="0"/>
          <w:dstrike w:val="0"/>
          <w:color w:val="auto"/>
          <w:sz w:val="28"/>
          <w:szCs w:val="28"/>
        </w:rPr>
      </w:pPr>
      <w:r>
        <w:rPr>
          <w:rFonts w:hint="eastAsia"/>
          <w:b/>
          <w:bCs/>
          <w:strike w:val="0"/>
          <w:dstrike w:val="0"/>
          <w:color w:val="auto"/>
          <w:sz w:val="28"/>
          <w:szCs w:val="28"/>
          <w:lang w:val="en-US" w:eastAsia="zh-CN"/>
        </w:rPr>
        <w:t>2.校级</w:t>
      </w:r>
      <w:r>
        <w:rPr>
          <w:rFonts w:hint="eastAsia"/>
          <w:b/>
          <w:bCs/>
          <w:strike w:val="0"/>
          <w:dstrike w:val="0"/>
          <w:color w:val="auto"/>
          <w:sz w:val="28"/>
          <w:szCs w:val="28"/>
        </w:rPr>
        <w:t>课程建设类项目</w:t>
      </w:r>
    </w:p>
    <w:p w14:paraId="2D32AB99">
      <w:pPr>
        <w:pageBreakBefore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color w:val="auto"/>
          <w:sz w:val="28"/>
          <w:szCs w:val="28"/>
          <w:lang w:val="en-US" w:eastAsia="zh-CN"/>
        </w:rPr>
        <w:t>2.1校级“AI+教育”课程</w:t>
      </w:r>
    </w:p>
    <w:p w14:paraId="5E30D564">
      <w:pPr>
        <w:pageBreakBefore w:val="0"/>
        <w:kinsoku/>
        <w:wordWrap/>
        <w:overflowPunct/>
        <w:topLinePunct w:val="0"/>
        <w:autoSpaceDE/>
        <w:autoSpaceDN/>
        <w:bidi w:val="0"/>
        <w:snapToGrid/>
        <w:spacing w:line="360" w:lineRule="auto"/>
        <w:textAlignment w:val="auto"/>
        <w:rPr>
          <w:rFonts w:hint="default"/>
          <w:color w:val="auto"/>
          <w:sz w:val="28"/>
          <w:szCs w:val="28"/>
          <w:lang w:val="en-US" w:eastAsia="zh-CN"/>
        </w:rPr>
      </w:pPr>
      <w:r>
        <w:rPr>
          <w:rFonts w:hint="eastAsia"/>
          <w:color w:val="auto"/>
          <w:sz w:val="28"/>
          <w:szCs w:val="28"/>
          <w:lang w:val="en-US" w:eastAsia="zh-CN"/>
        </w:rPr>
        <w:t>2.2校级微课程</w:t>
      </w:r>
    </w:p>
    <w:p w14:paraId="6CEDC8AC">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b/>
          <w:bCs/>
          <w:color w:val="auto"/>
          <w:sz w:val="28"/>
          <w:szCs w:val="28"/>
          <w:lang w:val="en-US" w:eastAsia="zh-CN"/>
        </w:rPr>
        <w:t>3校级</w:t>
      </w:r>
      <w:r>
        <w:rPr>
          <w:rFonts w:hint="eastAsia"/>
          <w:b/>
          <w:bCs/>
          <w:color w:val="auto"/>
          <w:sz w:val="28"/>
          <w:szCs w:val="28"/>
        </w:rPr>
        <w:t>课程思政类项目</w:t>
      </w:r>
      <w:r>
        <w:rPr>
          <w:rFonts w:hint="eastAsia"/>
          <w:color w:val="auto"/>
          <w:sz w:val="28"/>
          <w:szCs w:val="28"/>
        </w:rPr>
        <w:tab/>
      </w:r>
    </w:p>
    <w:p w14:paraId="6B649A6D">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color w:val="auto"/>
          <w:sz w:val="28"/>
          <w:szCs w:val="28"/>
          <w:lang w:val="en-US" w:eastAsia="zh-CN"/>
        </w:rPr>
        <w:t>3.1校级</w:t>
      </w:r>
      <w:r>
        <w:rPr>
          <w:rFonts w:hint="eastAsia"/>
          <w:color w:val="auto"/>
          <w:sz w:val="28"/>
          <w:szCs w:val="28"/>
        </w:rPr>
        <w:t>课程思政典型案例</w:t>
      </w:r>
    </w:p>
    <w:p w14:paraId="06DE58EF">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3.2校级</w:t>
      </w:r>
      <w:r>
        <w:rPr>
          <w:rFonts w:hint="eastAsia"/>
          <w:color w:val="auto"/>
          <w:sz w:val="28"/>
          <w:szCs w:val="28"/>
        </w:rPr>
        <w:t>课程思政示范课程</w:t>
      </w:r>
    </w:p>
    <w:p w14:paraId="5617B511">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3.3校级</w:t>
      </w:r>
      <w:r>
        <w:rPr>
          <w:rFonts w:hint="eastAsia"/>
          <w:color w:val="auto"/>
          <w:sz w:val="28"/>
          <w:szCs w:val="28"/>
        </w:rPr>
        <w:t>大中小课程思政一体化示范课程</w:t>
      </w:r>
    </w:p>
    <w:p w14:paraId="205FA5A0">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3.4校级</w:t>
      </w:r>
      <w:r>
        <w:rPr>
          <w:rFonts w:hint="eastAsia"/>
          <w:color w:val="auto"/>
          <w:sz w:val="28"/>
          <w:szCs w:val="28"/>
        </w:rPr>
        <w:t>课程思政教学名师</w:t>
      </w:r>
    </w:p>
    <w:p w14:paraId="54CDF7DF">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3.5校级</w:t>
      </w:r>
      <w:r>
        <w:rPr>
          <w:rFonts w:hint="eastAsia"/>
          <w:color w:val="auto"/>
          <w:sz w:val="28"/>
          <w:szCs w:val="28"/>
        </w:rPr>
        <w:t>课程思政教学团队</w:t>
      </w:r>
    </w:p>
    <w:p w14:paraId="328B8977">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3.6校级</w:t>
      </w:r>
      <w:r>
        <w:rPr>
          <w:rFonts w:hint="eastAsia"/>
          <w:color w:val="auto"/>
          <w:sz w:val="28"/>
          <w:szCs w:val="28"/>
        </w:rPr>
        <w:t>课程思政</w:t>
      </w:r>
      <w:r>
        <w:rPr>
          <w:rFonts w:hint="eastAsia"/>
          <w:color w:val="auto"/>
          <w:sz w:val="28"/>
          <w:szCs w:val="28"/>
          <w:lang w:val="en-US" w:eastAsia="zh-CN"/>
        </w:rPr>
        <w:t>建设</w:t>
      </w:r>
      <w:r>
        <w:rPr>
          <w:rFonts w:hint="eastAsia"/>
          <w:color w:val="auto"/>
          <w:sz w:val="28"/>
          <w:szCs w:val="28"/>
        </w:rPr>
        <w:t>示范中心</w:t>
      </w:r>
    </w:p>
    <w:p w14:paraId="17E79711">
      <w:pPr>
        <w:pageBreakBefore w:val="0"/>
        <w:numPr>
          <w:ilvl w:val="0"/>
          <w:numId w:val="0"/>
        </w:numPr>
        <w:kinsoku/>
        <w:wordWrap/>
        <w:overflowPunct/>
        <w:topLinePunct w:val="0"/>
        <w:autoSpaceDE/>
        <w:autoSpaceDN/>
        <w:bidi w:val="0"/>
        <w:snapToGrid/>
        <w:spacing w:line="360" w:lineRule="auto"/>
        <w:ind w:leftChars="0"/>
        <w:textAlignment w:val="auto"/>
        <w:rPr>
          <w:rFonts w:hint="eastAsia"/>
          <w:b/>
          <w:bCs/>
          <w:color w:val="auto"/>
          <w:sz w:val="28"/>
          <w:szCs w:val="28"/>
        </w:rPr>
      </w:pPr>
      <w:r>
        <w:rPr>
          <w:rFonts w:hint="eastAsia"/>
          <w:b/>
          <w:bCs/>
          <w:color w:val="auto"/>
          <w:sz w:val="28"/>
          <w:szCs w:val="28"/>
          <w:lang w:val="en-US" w:eastAsia="zh-CN"/>
        </w:rPr>
        <w:t>4.校级</w:t>
      </w:r>
      <w:r>
        <w:rPr>
          <w:rFonts w:hint="eastAsia"/>
          <w:b/>
          <w:bCs/>
          <w:color w:val="auto"/>
          <w:sz w:val="28"/>
          <w:szCs w:val="28"/>
        </w:rPr>
        <w:t>师资队伍建设类</w:t>
      </w:r>
      <w:r>
        <w:rPr>
          <w:rFonts w:hint="eastAsia"/>
          <w:b/>
          <w:bCs/>
          <w:color w:val="auto"/>
          <w:sz w:val="28"/>
          <w:szCs w:val="28"/>
        </w:rPr>
        <w:tab/>
      </w:r>
    </w:p>
    <w:p w14:paraId="46BEFDA6">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4.1校级跨学科教学创新</w:t>
      </w:r>
      <w:r>
        <w:rPr>
          <w:rFonts w:hint="eastAsia"/>
          <w:color w:val="auto"/>
          <w:sz w:val="28"/>
          <w:szCs w:val="28"/>
        </w:rPr>
        <w:t>团队</w:t>
      </w:r>
    </w:p>
    <w:p w14:paraId="3A08B923">
      <w:pPr>
        <w:pageBreakBefore w:val="0"/>
        <w:numPr>
          <w:ilvl w:val="0"/>
          <w:numId w:val="0"/>
        </w:numPr>
        <w:kinsoku/>
        <w:wordWrap/>
        <w:overflowPunct/>
        <w:topLinePunct w:val="0"/>
        <w:autoSpaceDE/>
        <w:autoSpaceDN/>
        <w:bidi w:val="0"/>
        <w:snapToGrid/>
        <w:spacing w:line="360" w:lineRule="auto"/>
        <w:ind w:leftChars="0"/>
        <w:textAlignment w:val="auto"/>
        <w:rPr>
          <w:rFonts w:hint="eastAsia"/>
          <w:color w:val="auto"/>
          <w:sz w:val="28"/>
          <w:szCs w:val="28"/>
        </w:rPr>
      </w:pPr>
      <w:r>
        <w:rPr>
          <w:rFonts w:hint="eastAsia"/>
          <w:color w:val="auto"/>
          <w:sz w:val="28"/>
          <w:szCs w:val="28"/>
          <w:lang w:val="en-US" w:eastAsia="zh-CN"/>
        </w:rPr>
        <w:t>4.2校级</w:t>
      </w:r>
      <w:r>
        <w:rPr>
          <w:rFonts w:hint="eastAsia"/>
          <w:color w:val="auto"/>
          <w:sz w:val="28"/>
          <w:szCs w:val="28"/>
        </w:rPr>
        <w:t>教学名师</w:t>
      </w:r>
    </w:p>
    <w:p w14:paraId="3A2185D6">
      <w:pPr>
        <w:pageBreakBefore w:val="0"/>
        <w:kinsoku/>
        <w:wordWrap/>
        <w:overflowPunct/>
        <w:topLinePunct w:val="0"/>
        <w:autoSpaceDE/>
        <w:autoSpaceDN/>
        <w:bidi w:val="0"/>
        <w:snapToGrid/>
        <w:spacing w:line="360" w:lineRule="auto"/>
        <w:textAlignment w:val="auto"/>
        <w:rPr>
          <w:rFonts w:hint="eastAsia"/>
          <w:color w:val="auto"/>
          <w:sz w:val="28"/>
          <w:szCs w:val="28"/>
        </w:rPr>
      </w:pPr>
      <w:r>
        <w:rPr>
          <w:rFonts w:hint="eastAsia"/>
          <w:color w:val="auto"/>
          <w:sz w:val="28"/>
          <w:szCs w:val="28"/>
          <w:lang w:val="en-US" w:eastAsia="zh-CN"/>
        </w:rPr>
        <w:t>4.3校级</w:t>
      </w:r>
      <w:r>
        <w:rPr>
          <w:rFonts w:hint="eastAsia"/>
          <w:color w:val="auto"/>
          <w:sz w:val="28"/>
          <w:szCs w:val="28"/>
        </w:rPr>
        <w:t>教坛新秀</w:t>
      </w:r>
    </w:p>
    <w:p w14:paraId="27B35DF5">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5.校级数字化教材项目</w:t>
      </w:r>
    </w:p>
    <w:p w14:paraId="288F3912">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lang w:val="en-US" w:eastAsia="zh-CN"/>
        </w:rPr>
      </w:pPr>
      <w:r>
        <w:rPr>
          <w:rFonts w:hint="eastAsia"/>
          <w:b/>
          <w:bCs/>
          <w:color w:val="auto"/>
          <w:sz w:val="28"/>
          <w:szCs w:val="28"/>
          <w:lang w:val="en-US" w:eastAsia="zh-CN"/>
        </w:rPr>
        <w:t>6.校级“两库”项目</w:t>
      </w:r>
    </w:p>
    <w:p w14:paraId="2BB22151">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rPr>
      </w:pPr>
      <w:r>
        <w:rPr>
          <w:rFonts w:hint="eastAsia"/>
          <w:b/>
          <w:bCs/>
          <w:color w:val="auto"/>
          <w:sz w:val="28"/>
          <w:szCs w:val="28"/>
          <w:lang w:val="en-US" w:eastAsia="zh-CN"/>
        </w:rPr>
        <w:t>7.校级微专业</w:t>
      </w:r>
    </w:p>
    <w:p w14:paraId="364E7744">
      <w:pPr>
        <w:pageBreakBefore w:val="0"/>
        <w:numPr>
          <w:ilvl w:val="0"/>
          <w:numId w:val="0"/>
        </w:numPr>
        <w:kinsoku/>
        <w:wordWrap/>
        <w:overflowPunct/>
        <w:topLinePunct w:val="0"/>
        <w:autoSpaceDE/>
        <w:autoSpaceDN/>
        <w:bidi w:val="0"/>
        <w:snapToGrid/>
        <w:spacing w:line="360" w:lineRule="auto"/>
        <w:textAlignment w:val="auto"/>
        <w:rPr>
          <w:rFonts w:hint="eastAsia"/>
          <w:b/>
          <w:bCs/>
          <w:color w:val="auto"/>
          <w:sz w:val="28"/>
          <w:szCs w:val="28"/>
          <w:lang w:val="en-US" w:eastAsia="zh-CN"/>
        </w:rPr>
      </w:pPr>
    </w:p>
    <w:p w14:paraId="24136AB2">
      <w:pPr>
        <w:pageBreakBefore w:val="0"/>
        <w:widowControl w:val="0"/>
        <w:numPr>
          <w:ilvl w:val="0"/>
          <w:numId w:val="0"/>
        </w:numPr>
        <w:kinsoku/>
        <w:wordWrap/>
        <w:overflowPunct/>
        <w:topLinePunct w:val="0"/>
        <w:autoSpaceDE/>
        <w:autoSpaceDN/>
        <w:bidi w:val="0"/>
        <w:snapToGrid/>
        <w:spacing w:line="360" w:lineRule="auto"/>
        <w:jc w:val="both"/>
        <w:textAlignment w:val="auto"/>
        <w:rPr>
          <w:rFonts w:hint="eastAsia"/>
          <w:color w:val="auto"/>
        </w:rPr>
      </w:pPr>
    </w:p>
    <w:p w14:paraId="611109A2">
      <w:pPr>
        <w:pStyle w:val="2"/>
        <w:pageBreakBefore w:val="0"/>
        <w:kinsoku/>
        <w:wordWrap/>
        <w:overflowPunct/>
        <w:topLinePunct w:val="0"/>
        <w:autoSpaceDE/>
        <w:autoSpaceDN/>
        <w:bidi w:val="0"/>
        <w:snapToGrid/>
        <w:spacing w:line="360" w:lineRule="auto"/>
        <w:textAlignment w:val="auto"/>
        <w:rPr>
          <w:rFonts w:ascii="仿宋" w:hAnsi="仿宋" w:eastAsia="仿宋"/>
          <w:b/>
          <w:color w:val="auto"/>
          <w:kern w:val="0"/>
          <w:sz w:val="36"/>
          <w:szCs w:val="36"/>
        </w:rPr>
      </w:pPr>
      <w:r>
        <w:rPr>
          <w:rFonts w:hint="eastAsia" w:ascii="仿宋" w:hAnsi="仿宋" w:eastAsia="仿宋"/>
          <w:b/>
          <w:color w:val="auto"/>
          <w:kern w:val="0"/>
          <w:sz w:val="36"/>
          <w:szCs w:val="36"/>
        </w:rPr>
        <w:t>1</w:t>
      </w:r>
      <w:r>
        <w:rPr>
          <w:rFonts w:hint="eastAsia" w:ascii="仿宋" w:hAnsi="仿宋" w:eastAsia="仿宋"/>
          <w:b/>
          <w:color w:val="auto"/>
          <w:kern w:val="0"/>
          <w:sz w:val="36"/>
          <w:szCs w:val="36"/>
        </w:rPr>
        <w:tab/>
      </w:r>
      <w:r>
        <w:rPr>
          <w:rFonts w:hint="eastAsia" w:ascii="仿宋" w:hAnsi="仿宋" w:eastAsia="仿宋"/>
          <w:b/>
          <w:color w:val="auto"/>
          <w:kern w:val="0"/>
          <w:sz w:val="36"/>
          <w:szCs w:val="36"/>
          <w:lang w:val="en-US" w:eastAsia="zh-CN"/>
        </w:rPr>
        <w:t xml:space="preserve"> 校级</w:t>
      </w:r>
      <w:r>
        <w:rPr>
          <w:rFonts w:hint="eastAsia" w:ascii="仿宋" w:hAnsi="仿宋" w:eastAsia="仿宋"/>
          <w:b/>
          <w:color w:val="auto"/>
          <w:kern w:val="0"/>
          <w:sz w:val="36"/>
          <w:szCs w:val="36"/>
        </w:rPr>
        <w:t>教育教学研究项目</w:t>
      </w:r>
    </w:p>
    <w:p w14:paraId="7A9F6141">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4"/>
        </w:rPr>
      </w:pPr>
      <w:r>
        <w:rPr>
          <w:rFonts w:hint="eastAsia" w:ascii="宋体" w:hAnsi="宋体" w:eastAsia="宋体" w:cs="宋体"/>
          <w:b/>
          <w:bCs/>
          <w:color w:val="auto"/>
          <w:kern w:val="0"/>
          <w:sz w:val="24"/>
          <w:szCs w:val="44"/>
        </w:rPr>
        <w:t>建设目标：</w:t>
      </w:r>
      <w:r>
        <w:rPr>
          <w:rFonts w:hint="eastAsia" w:ascii="宋体" w:hAnsi="宋体" w:eastAsia="宋体" w:cs="宋体"/>
          <w:color w:val="auto"/>
          <w:kern w:val="0"/>
          <w:sz w:val="24"/>
          <w:szCs w:val="44"/>
        </w:rPr>
        <w:t>聚焦党的二十大对教育的重大决策部署，通过项目建设研究，深入推进</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为谁培养人、培养什么人、怎么培养人”，深刻把握高等教育作为社会主义现代化强国重要支撑和基础工程的特殊意义、特殊价值，强化理论、实践研究，提出思路举措，推进高等教育重大问题的解决取得突破，推动各项决策部署落地生效，助推人才培养能力持续提高，助力高等教育高质量内涵式发展。</w:t>
      </w:r>
    </w:p>
    <w:p w14:paraId="5BC6B556">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2"/>
          <w:szCs w:val="40"/>
        </w:rPr>
      </w:pPr>
      <w:r>
        <w:rPr>
          <w:rFonts w:hint="eastAsia" w:ascii="宋体" w:hAnsi="宋体" w:eastAsia="宋体" w:cs="宋体"/>
          <w:b/>
          <w:bCs/>
          <w:color w:val="auto"/>
          <w:kern w:val="0"/>
          <w:sz w:val="24"/>
          <w:szCs w:val="44"/>
          <w:lang w:val="en-US" w:eastAsia="zh-CN"/>
        </w:rPr>
        <w:t>建设内容</w:t>
      </w:r>
      <w:r>
        <w:rPr>
          <w:rFonts w:hint="eastAsia" w:ascii="宋体" w:hAnsi="宋体" w:eastAsia="宋体" w:cs="宋体"/>
          <w:b/>
          <w:bCs/>
          <w:color w:val="auto"/>
          <w:kern w:val="0"/>
          <w:sz w:val="24"/>
          <w:szCs w:val="44"/>
        </w:rPr>
        <w:t>：</w:t>
      </w:r>
    </w:p>
    <w:p w14:paraId="1548015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4"/>
          <w:lang w:eastAsia="zh-CN"/>
        </w:rPr>
      </w:pPr>
      <w:r>
        <w:rPr>
          <w:rFonts w:hint="eastAsia" w:ascii="楷体" w:hAnsi="楷体" w:eastAsia="楷体" w:cs="楷体"/>
          <w:b w:val="0"/>
          <w:bCs w:val="0"/>
          <w:color w:val="auto"/>
          <w:kern w:val="0"/>
          <w:sz w:val="24"/>
          <w:szCs w:val="44"/>
          <w:lang w:val="en-US" w:eastAsia="zh-CN"/>
        </w:rPr>
        <w:t>1.</w:t>
      </w:r>
      <w:r>
        <w:rPr>
          <w:rFonts w:hint="eastAsia" w:ascii="楷体" w:hAnsi="楷体" w:eastAsia="楷体" w:cs="楷体"/>
          <w:b w:val="0"/>
          <w:bCs w:val="0"/>
          <w:color w:val="auto"/>
          <w:kern w:val="0"/>
          <w:sz w:val="24"/>
          <w:szCs w:val="44"/>
          <w:lang w:eastAsia="zh-CN"/>
        </w:rPr>
        <w:t>教学研究项目（</w:t>
      </w:r>
      <w:r>
        <w:rPr>
          <w:rFonts w:hint="eastAsia" w:ascii="楷体" w:hAnsi="楷体" w:eastAsia="楷体" w:cs="楷体"/>
          <w:b w:val="0"/>
          <w:bCs w:val="0"/>
          <w:color w:val="auto"/>
          <w:kern w:val="0"/>
          <w:sz w:val="24"/>
          <w:szCs w:val="44"/>
          <w:lang w:val="en-US" w:eastAsia="zh-CN"/>
        </w:rPr>
        <w:t>分为重点和一般</w:t>
      </w:r>
      <w:r>
        <w:rPr>
          <w:rFonts w:hint="eastAsia" w:ascii="楷体" w:hAnsi="楷体" w:eastAsia="楷体" w:cs="楷体"/>
          <w:b w:val="0"/>
          <w:bCs w:val="0"/>
          <w:color w:val="auto"/>
          <w:kern w:val="0"/>
          <w:sz w:val="24"/>
          <w:szCs w:val="44"/>
          <w:lang w:eastAsia="zh-CN"/>
        </w:rPr>
        <w:t>）。</w:t>
      </w:r>
      <w:r>
        <w:rPr>
          <w:rFonts w:hint="eastAsia" w:ascii="宋体" w:hAnsi="宋体" w:eastAsia="宋体" w:cs="宋体"/>
          <w:color w:val="auto"/>
          <w:kern w:val="0"/>
          <w:sz w:val="24"/>
          <w:szCs w:val="44"/>
          <w:lang w:eastAsia="zh-CN"/>
        </w:rPr>
        <w:t>应体现现代教育思想，具有科学性、创新性、前瞻性和实践性。加强对高等教育发展与人才培养战略、人才培养体制与模式、专业改革与专业建设、课程体系与教学内容、教学手段与方法、线上教学模式、教学管理与教学基本建设、师资队伍建设等方面的研究与实践。优先立项课程教学重难点问题和教学方法改革创新、人才培养能力、各教学环节质量标准、质量保障与监控体系、课程评估、专业评估（认证）等方面的研究与实践。</w:t>
      </w:r>
    </w:p>
    <w:p w14:paraId="33B91676">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color w:val="auto"/>
          <w:kern w:val="0"/>
          <w:sz w:val="24"/>
          <w:szCs w:val="44"/>
          <w:lang w:val="en-US" w:eastAsia="zh-CN"/>
        </w:rPr>
      </w:pPr>
      <w:r>
        <w:rPr>
          <w:rFonts w:hint="eastAsia" w:ascii="楷体" w:hAnsi="楷体" w:eastAsia="楷体" w:cs="楷体"/>
          <w:b w:val="0"/>
          <w:bCs w:val="0"/>
          <w:color w:val="auto"/>
          <w:kern w:val="0"/>
          <w:sz w:val="24"/>
          <w:szCs w:val="44"/>
          <w:lang w:val="en-US" w:eastAsia="zh-CN"/>
        </w:rPr>
        <w:t>2.思想政治理论课教研项目（分为重点和一般）。</w:t>
      </w:r>
      <w:r>
        <w:rPr>
          <w:rFonts w:hint="eastAsia" w:ascii="宋体" w:hAnsi="宋体" w:eastAsia="宋体" w:cs="宋体"/>
          <w:color w:val="auto"/>
          <w:kern w:val="0"/>
          <w:sz w:val="24"/>
          <w:szCs w:val="44"/>
          <w:lang w:val="en-US" w:eastAsia="zh-CN"/>
        </w:rPr>
        <w:t>要求针对高校思想政治理论课教学重点难点、教学方法改革创新、教学中的理论与实践问题等进行深入研究。申请者必须是从事思想政治教育</w:t>
      </w:r>
      <w:r>
        <w:rPr>
          <w:rFonts w:hint="eastAsia" w:ascii="宋体" w:hAnsi="宋体" w:eastAsia="宋体" w:cs="宋体"/>
          <w:color w:val="auto"/>
          <w:kern w:val="0"/>
          <w:sz w:val="24"/>
          <w:szCs w:val="44"/>
          <w:highlight w:val="none"/>
          <w:lang w:val="en-US" w:eastAsia="zh-CN"/>
        </w:rPr>
        <w:t>的专兼职教师</w:t>
      </w:r>
      <w:r>
        <w:rPr>
          <w:rFonts w:hint="eastAsia" w:ascii="宋体" w:hAnsi="宋体" w:eastAsia="宋体" w:cs="宋体"/>
          <w:color w:val="auto"/>
          <w:kern w:val="0"/>
          <w:sz w:val="24"/>
          <w:szCs w:val="44"/>
          <w:lang w:val="en-US" w:eastAsia="zh-CN"/>
        </w:rPr>
        <w:t>，实际从事思想政治理论课教学、研究工作并真正承担和负责组织项目的实施。</w:t>
      </w:r>
    </w:p>
    <w:p w14:paraId="639EF8B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rPr>
      </w:pPr>
      <w:r>
        <w:rPr>
          <w:rFonts w:hint="eastAsia" w:ascii="宋体" w:hAnsi="宋体" w:eastAsia="宋体" w:cs="宋体"/>
          <w:b/>
          <w:bCs/>
          <w:color w:val="auto"/>
          <w:kern w:val="0"/>
          <w:sz w:val="24"/>
          <w:szCs w:val="44"/>
        </w:rPr>
        <w:t>申报条件：</w:t>
      </w:r>
    </w:p>
    <w:p w14:paraId="2A752950">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0"/>
          <w:lang w:bidi="ar"/>
        </w:rPr>
      </w:pPr>
      <w:r>
        <w:rPr>
          <w:rFonts w:hint="eastAsia" w:ascii="宋体" w:hAnsi="宋体" w:cs="宋体"/>
          <w:color w:val="auto"/>
          <w:kern w:val="0"/>
          <w:sz w:val="24"/>
          <w:szCs w:val="40"/>
          <w:lang w:val="en-US" w:eastAsia="zh-CN" w:bidi="ar"/>
        </w:rPr>
        <w:t>1.</w:t>
      </w:r>
      <w:r>
        <w:rPr>
          <w:rFonts w:hint="eastAsia" w:ascii="宋体" w:hAnsi="宋体" w:eastAsia="宋体" w:cs="宋体"/>
          <w:color w:val="auto"/>
          <w:kern w:val="0"/>
          <w:sz w:val="24"/>
          <w:szCs w:val="40"/>
          <w:lang w:bidi="ar"/>
        </w:rPr>
        <w:t>申报人要做到岗责相符，选题设计要聚焦研究课程建设、教学方法改革、教学技能提高、教师能力发展等微观教育教学问题</w:t>
      </w:r>
      <w:r>
        <w:rPr>
          <w:rFonts w:hint="eastAsia" w:ascii="宋体" w:hAnsi="宋体" w:cs="宋体"/>
          <w:color w:val="auto"/>
          <w:kern w:val="0"/>
          <w:sz w:val="24"/>
          <w:szCs w:val="40"/>
          <w:lang w:eastAsia="zh-CN" w:bidi="ar"/>
        </w:rPr>
        <w:t>。</w:t>
      </w:r>
    </w:p>
    <w:p w14:paraId="0811A0F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szCs w:val="44"/>
          <w:lang w:eastAsia="zh-CN"/>
        </w:rPr>
      </w:pPr>
      <w:r>
        <w:rPr>
          <w:rFonts w:hint="eastAsia" w:ascii="宋体" w:hAnsi="宋体" w:cs="宋体"/>
          <w:color w:val="auto"/>
          <w:kern w:val="0"/>
          <w:sz w:val="24"/>
          <w:szCs w:val="44"/>
          <w:lang w:val="en-US" w:eastAsia="zh-CN"/>
        </w:rPr>
        <w:t>2.</w:t>
      </w:r>
      <w:r>
        <w:rPr>
          <w:rFonts w:hint="eastAsia" w:ascii="宋体" w:hAnsi="宋体" w:eastAsia="宋体" w:cs="宋体"/>
          <w:color w:val="auto"/>
          <w:kern w:val="0"/>
          <w:sz w:val="24"/>
          <w:szCs w:val="44"/>
        </w:rPr>
        <w:t>重点教育教学改革研究项目应侧重于</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五育并举”人才培养体系建设、高等教育评估评价、质量保障体系建设等方向；一般教育教学改革研究项目应侧重于课程思政建设、教学要素功能发挥、教学过程评价、教学模式创新等方面</w:t>
      </w:r>
      <w:r>
        <w:rPr>
          <w:rFonts w:hint="eastAsia" w:ascii="宋体" w:hAnsi="宋体" w:cs="宋体"/>
          <w:color w:val="auto"/>
          <w:kern w:val="0"/>
          <w:sz w:val="24"/>
          <w:szCs w:val="44"/>
          <w:lang w:eastAsia="zh-CN"/>
        </w:rPr>
        <w:t>。</w:t>
      </w:r>
    </w:p>
    <w:p w14:paraId="23643223">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0"/>
          <w:sz w:val="24"/>
          <w:szCs w:val="44"/>
        </w:rPr>
      </w:pPr>
      <w:r>
        <w:rPr>
          <w:rFonts w:hint="eastAsia" w:ascii="宋体" w:hAnsi="宋体" w:cs="宋体"/>
          <w:color w:val="auto"/>
          <w:kern w:val="0"/>
          <w:sz w:val="24"/>
          <w:szCs w:val="44"/>
          <w:lang w:val="en-US" w:eastAsia="zh-CN"/>
        </w:rPr>
        <w:t>3.</w:t>
      </w:r>
      <w:r>
        <w:rPr>
          <w:rFonts w:hint="eastAsia" w:ascii="宋体" w:hAnsi="宋体" w:eastAsia="宋体" w:cs="宋体"/>
          <w:color w:val="auto"/>
          <w:kern w:val="0"/>
          <w:sz w:val="24"/>
          <w:szCs w:val="44"/>
        </w:rPr>
        <w:t>符合社会经济发展需求，对标我省十大新兴产业发展布局，统筹推进</w:t>
      </w:r>
      <w:r>
        <w:rPr>
          <w:rFonts w:hint="eastAsia" w:ascii="宋体" w:hAnsi="宋体" w:cs="宋体"/>
          <w:color w:val="auto"/>
          <w:kern w:val="0"/>
          <w:sz w:val="24"/>
          <w:szCs w:val="44"/>
          <w:lang w:eastAsia="zh-CN"/>
        </w:rPr>
        <w:t>“</w:t>
      </w:r>
      <w:r>
        <w:rPr>
          <w:rFonts w:hint="eastAsia" w:ascii="宋体" w:hAnsi="宋体" w:eastAsia="宋体" w:cs="宋体"/>
          <w:color w:val="auto"/>
          <w:kern w:val="0"/>
          <w:sz w:val="24"/>
          <w:szCs w:val="44"/>
        </w:rPr>
        <w:t>产业、专业、就业”一体化发展。注重系统研究、整体优化、综合实践，具有一定应用推广性</w:t>
      </w:r>
      <w:r>
        <w:rPr>
          <w:rFonts w:hint="eastAsia" w:ascii="宋体" w:hAnsi="宋体" w:cs="宋体"/>
          <w:color w:val="auto"/>
          <w:kern w:val="0"/>
          <w:sz w:val="24"/>
          <w:szCs w:val="44"/>
          <w:lang w:eastAsia="zh-CN"/>
        </w:rPr>
        <w:t>。</w:t>
      </w:r>
    </w:p>
    <w:p w14:paraId="50FE2F25">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kern w:val="0"/>
          <w:sz w:val="24"/>
          <w:szCs w:val="44"/>
          <w:lang w:val="en-US" w:eastAsia="zh-CN"/>
        </w:rPr>
      </w:pPr>
      <w:r>
        <w:rPr>
          <w:rFonts w:hint="eastAsia" w:ascii="宋体" w:hAnsi="宋体" w:cs="宋体"/>
          <w:color w:val="auto"/>
          <w:kern w:val="0"/>
          <w:sz w:val="24"/>
          <w:szCs w:val="44"/>
          <w:lang w:val="en-US" w:eastAsia="zh-CN"/>
        </w:rPr>
        <w:t>4.项目负责人需满2年及以上高校教龄。重点教学研究项目负责人应具备讲师及以上职称或博士学位。</w:t>
      </w:r>
    </w:p>
    <w:p w14:paraId="4E9E66A7">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szCs w:val="44"/>
          <w:lang w:val="en-US" w:eastAsia="zh-CN"/>
        </w:rPr>
      </w:pPr>
      <w:r>
        <w:rPr>
          <w:rFonts w:hint="eastAsia" w:ascii="宋体" w:hAnsi="宋体" w:cs="宋体"/>
          <w:color w:val="auto"/>
          <w:kern w:val="0"/>
          <w:sz w:val="24"/>
          <w:szCs w:val="44"/>
          <w:lang w:val="en-US" w:eastAsia="zh-CN"/>
        </w:rPr>
        <w:t>5.</w:t>
      </w:r>
      <w:r>
        <w:rPr>
          <w:rFonts w:hint="eastAsia" w:ascii="宋体" w:hAnsi="宋体" w:eastAsia="宋体" w:cs="宋体"/>
          <w:color w:val="auto"/>
          <w:kern w:val="0"/>
          <w:sz w:val="24"/>
          <w:szCs w:val="44"/>
        </w:rPr>
        <w:t>已获得</w:t>
      </w:r>
      <w:r>
        <w:rPr>
          <w:rFonts w:hint="eastAsia" w:ascii="宋体" w:hAnsi="宋体" w:eastAsia="宋体" w:cs="宋体"/>
          <w:color w:val="auto"/>
          <w:kern w:val="0"/>
          <w:sz w:val="24"/>
          <w:szCs w:val="44"/>
          <w:lang w:val="en-US" w:eastAsia="zh-CN"/>
        </w:rPr>
        <w:t>校</w:t>
      </w:r>
      <w:r>
        <w:rPr>
          <w:rFonts w:hint="eastAsia" w:ascii="宋体" w:hAnsi="宋体" w:eastAsia="宋体" w:cs="宋体"/>
          <w:color w:val="auto"/>
          <w:kern w:val="0"/>
          <w:sz w:val="24"/>
          <w:szCs w:val="44"/>
        </w:rPr>
        <w:t>级及以上立项的相关课题不得重复申报。</w:t>
      </w:r>
      <w:r>
        <w:rPr>
          <w:rFonts w:hint="eastAsia" w:ascii="宋体" w:hAnsi="宋体" w:cs="宋体"/>
          <w:color w:val="auto"/>
          <w:kern w:val="0"/>
          <w:sz w:val="24"/>
          <w:szCs w:val="44"/>
          <w:lang w:val="en-US" w:eastAsia="zh-CN"/>
        </w:rPr>
        <w:t>项目负责人所承担的校级及以上教学研究项目无延期建设现象，均已按规定程序结题。</w:t>
      </w:r>
    </w:p>
    <w:p w14:paraId="5901986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0"/>
          <w:lang w:bidi="ar"/>
        </w:rPr>
      </w:pPr>
      <w:r>
        <w:rPr>
          <w:rFonts w:hint="eastAsia" w:ascii="宋体" w:hAnsi="宋体" w:eastAsia="宋体" w:cs="宋体"/>
          <w:b/>
          <w:bCs/>
          <w:color w:val="auto"/>
          <w:kern w:val="0"/>
          <w:sz w:val="24"/>
          <w:szCs w:val="44"/>
        </w:rPr>
        <w:t>建设周期：</w:t>
      </w:r>
      <w:r>
        <w:rPr>
          <w:rFonts w:hint="eastAsia" w:ascii="宋体" w:hAnsi="宋体" w:cs="宋体"/>
          <w:color w:val="auto"/>
          <w:kern w:val="0"/>
          <w:sz w:val="24"/>
          <w:szCs w:val="40"/>
          <w:lang w:val="en-US" w:eastAsia="zh-CN" w:bidi="ar"/>
        </w:rPr>
        <w:t>2</w:t>
      </w:r>
      <w:r>
        <w:rPr>
          <w:rFonts w:hint="eastAsia" w:ascii="宋体" w:hAnsi="宋体" w:eastAsia="宋体" w:cs="宋体"/>
          <w:color w:val="auto"/>
          <w:kern w:val="0"/>
          <w:sz w:val="24"/>
          <w:szCs w:val="40"/>
          <w:lang w:bidi="ar"/>
        </w:rPr>
        <w:t>年</w:t>
      </w:r>
    </w:p>
    <w:p w14:paraId="58182DF0">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kern w:val="0"/>
          <w:sz w:val="24"/>
          <w:szCs w:val="40"/>
          <w:lang w:eastAsia="zh-CN" w:bidi="ar"/>
        </w:rPr>
      </w:pPr>
      <w:r>
        <w:rPr>
          <w:rFonts w:hint="eastAsia" w:ascii="宋体" w:hAnsi="宋体" w:cs="宋体"/>
          <w:b/>
          <w:bCs/>
          <w:color w:val="auto"/>
          <w:kern w:val="0"/>
          <w:sz w:val="24"/>
          <w:szCs w:val="44"/>
          <w:lang w:val="en-US" w:eastAsia="zh-CN"/>
        </w:rPr>
        <w:t>验收</w:t>
      </w:r>
      <w:r>
        <w:rPr>
          <w:rFonts w:hint="eastAsia" w:ascii="宋体" w:hAnsi="宋体" w:eastAsia="宋体" w:cs="宋体"/>
          <w:b/>
          <w:bCs/>
          <w:color w:val="auto"/>
          <w:kern w:val="0"/>
          <w:sz w:val="24"/>
          <w:szCs w:val="44"/>
        </w:rPr>
        <w:t>标准：</w:t>
      </w:r>
      <w:r>
        <w:rPr>
          <w:rFonts w:hint="eastAsia" w:ascii="宋体" w:hAnsi="宋体" w:eastAsia="宋体" w:cs="宋体"/>
          <w:color w:val="auto"/>
          <w:kern w:val="0"/>
          <w:sz w:val="24"/>
          <w:szCs w:val="40"/>
          <w:lang w:bidi="ar"/>
        </w:rPr>
        <w:t>完成项目研究任务，项目负责人作为第一作者公开发表带有项目编号的相关教研论文，其中重点项目至少公开发表1篇三类，一般项目至少公开发表教研论文1篇</w:t>
      </w:r>
      <w:r>
        <w:rPr>
          <w:rFonts w:hint="eastAsia" w:ascii="宋体" w:hAnsi="宋体" w:cs="宋体"/>
          <w:color w:val="auto"/>
          <w:kern w:val="0"/>
          <w:sz w:val="24"/>
          <w:szCs w:val="40"/>
          <w:lang w:eastAsia="zh-CN" w:bidi="ar"/>
        </w:rPr>
        <w:t>。</w:t>
      </w:r>
    </w:p>
    <w:p w14:paraId="5E604C41">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11C85386">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2  校级课程建设类项目</w:t>
      </w:r>
    </w:p>
    <w:p w14:paraId="73D5ADB4">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2.1“AI+教育”课程</w:t>
      </w:r>
    </w:p>
    <w:p w14:paraId="1586344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AI+教育”课程有两类，智慧课程侧重于使用人工智能技术助力课堂教学，人工智能通识课程侧重于人工智能领域基础知识、技能传授以及人工智能学科交叉前沿理论及实践。两类课程共享申报指标。</w:t>
      </w:r>
    </w:p>
    <w:p w14:paraId="045573D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cs="宋体"/>
          <w:b/>
          <w:bCs/>
          <w:color w:val="auto"/>
          <w:kern w:val="0"/>
          <w:sz w:val="24"/>
          <w:szCs w:val="44"/>
          <w:lang w:val="en-US" w:eastAsia="zh-CN"/>
        </w:rPr>
        <w:t>2.1.</w:t>
      </w:r>
      <w:r>
        <w:rPr>
          <w:rFonts w:hint="eastAsia" w:ascii="宋体" w:hAnsi="宋体" w:eastAsia="宋体" w:cs="宋体"/>
          <w:b/>
          <w:bCs/>
          <w:color w:val="auto"/>
          <w:kern w:val="0"/>
          <w:sz w:val="24"/>
          <w:szCs w:val="44"/>
          <w:lang w:val="en-US" w:eastAsia="zh-CN"/>
        </w:rPr>
        <w:t>1 智慧课程</w:t>
      </w:r>
    </w:p>
    <w:p w14:paraId="65EEBCC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建设目标</w:t>
      </w:r>
      <w:r>
        <w:rPr>
          <w:rFonts w:hint="eastAsia" w:ascii="宋体" w:hAnsi="宋体" w:cs="宋体"/>
          <w:b/>
          <w:bCs/>
          <w:color w:val="auto"/>
          <w:kern w:val="0"/>
          <w:sz w:val="24"/>
          <w:szCs w:val="44"/>
          <w:lang w:val="en-US" w:eastAsia="zh-CN"/>
        </w:rPr>
        <w:t>：</w:t>
      </w:r>
    </w:p>
    <w:p w14:paraId="17B30C7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深入贯彻落实习近平总书记关于教育的重要论述，加快人工智能在教育教学领域的创新应用，深化课程教学改革，促进广大教师积极拥抱人工智能技术，特别是围绕深度学习、LLM（ Large Language Model, 大 语 言 模 型 ） 、 AIGC （ Artificial Intelligence Generated Content,生成式人工智能）、知识图谱、新形态人机交互等前沿技术在教育教学中先行先试，形成一批有价值的资源、案例、应用，为教育数字化转型下好</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先手棋”。</w:t>
      </w:r>
    </w:p>
    <w:p w14:paraId="347EAB2C">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r>
        <w:rPr>
          <w:rFonts w:hint="eastAsia" w:ascii="宋体" w:hAnsi="宋体" w:cs="宋体"/>
          <w:b/>
          <w:bCs/>
          <w:color w:val="auto"/>
          <w:kern w:val="0"/>
          <w:sz w:val="24"/>
          <w:szCs w:val="44"/>
          <w:lang w:val="en-US" w:eastAsia="zh-CN"/>
        </w:rPr>
        <w:t>：</w:t>
      </w:r>
    </w:p>
    <w:p w14:paraId="563DCDA0">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重塑课程内容体系。梳理从人才培养目标、专业培养目标、毕业能力要求、到课程体系、课程目标的目标链，明确内在支撑关系，重新梳理课程知识点，深度结合课程进行内容重构，打破传统课程组织模式，注重知识的连贯性和系统性，同时融入最新科技成果和行业实践，强化产教融合、科教融汇，增强课程的实用性和针对性。</w:t>
      </w:r>
    </w:p>
    <w:p w14:paraId="7068451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创新教学方法。利用人工智能技术辅助教师进行教研备课、辅导答疑、学习分析等，帮助教师优化教学方法，提高备课效率，了解学生学习情况，根据学生的学习进度实施个性化教学。利用在线学习平台、虚拟实验室、智能辅导系统等智能教学工具，提高教学效果和学生的参与度。</w:t>
      </w:r>
    </w:p>
    <w:p w14:paraId="15C90A22">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3.优化教学评价。建立信息采集、评价、督导、反馈机制，进行课堂教学智能评测，对影响课堂教育教学质量的各类要素进行智能化大数据分析，实现课堂教学质量监督的全过程智能化。</w:t>
      </w:r>
    </w:p>
    <w:p w14:paraId="3F6C8CB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cs="宋体"/>
          <w:b/>
          <w:bCs/>
          <w:color w:val="auto"/>
          <w:kern w:val="0"/>
          <w:sz w:val="24"/>
          <w:szCs w:val="44"/>
          <w:lang w:val="en-US" w:eastAsia="zh-CN"/>
        </w:rPr>
        <w:t>申报要求：</w:t>
      </w:r>
    </w:p>
    <w:p w14:paraId="5D5DFC7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1.</w:t>
      </w:r>
      <w:r>
        <w:rPr>
          <w:rFonts w:hint="eastAsia" w:ascii="宋体" w:hAnsi="宋体" w:eastAsia="宋体" w:cs="宋体"/>
          <w:b w:val="0"/>
          <w:bCs w:val="0"/>
          <w:color w:val="auto"/>
          <w:kern w:val="0"/>
          <w:sz w:val="24"/>
          <w:szCs w:val="44"/>
          <w:lang w:val="en-US" w:eastAsia="zh-CN"/>
        </w:rPr>
        <w:t xml:space="preserve">申报课程应为纳入我校本科人才培养方案中的课程，课程负责人应主讲本课程至少2个学期或2个教学周期（不含当前学期）。鼓励受众面广、需求量大的公共基础课、专业基础课、专业核心课、通识核心课程申报。 </w:t>
      </w:r>
    </w:p>
    <w:p w14:paraId="1859512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课程负责人须为具有讲师及以上职称或博士学位的教师，</w:t>
      </w:r>
      <w:r>
        <w:rPr>
          <w:rFonts w:hint="eastAsia" w:ascii="宋体" w:hAnsi="宋体" w:cs="宋体"/>
          <w:b w:val="0"/>
          <w:bCs w:val="0"/>
          <w:color w:val="auto"/>
          <w:kern w:val="0"/>
          <w:sz w:val="24"/>
          <w:szCs w:val="44"/>
          <w:highlight w:val="none"/>
          <w:lang w:val="en-US" w:eastAsia="zh-CN"/>
        </w:rPr>
        <w:t>具</w:t>
      </w:r>
      <w:r>
        <w:rPr>
          <w:rFonts w:hint="eastAsia" w:ascii="宋体" w:hAnsi="宋体" w:eastAsia="宋体" w:cs="宋体"/>
          <w:b w:val="0"/>
          <w:bCs w:val="0"/>
          <w:color w:val="auto"/>
          <w:kern w:val="0"/>
          <w:sz w:val="24"/>
          <w:szCs w:val="44"/>
          <w:highlight w:val="none"/>
          <w:lang w:val="en-US" w:eastAsia="zh-CN"/>
        </w:rPr>
        <w:t>备</w:t>
      </w:r>
      <w:r>
        <w:rPr>
          <w:rFonts w:hint="eastAsia" w:ascii="宋体" w:hAnsi="宋体" w:eastAsia="宋体" w:cs="宋体"/>
          <w:b w:val="0"/>
          <w:bCs w:val="0"/>
          <w:color w:val="auto"/>
          <w:kern w:val="0"/>
          <w:sz w:val="24"/>
          <w:szCs w:val="44"/>
          <w:lang w:val="en-US" w:eastAsia="zh-CN"/>
        </w:rPr>
        <w:t>良好的师德师风，教学能力强，教学改革意识强烈，具有丰富的教学经验和较高的学术造诣，能够积极投身教学改革，运用人工智能技术提高教学效率、提升教学质量。</w:t>
      </w:r>
    </w:p>
    <w:p w14:paraId="454B7009">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建设周期：</w:t>
      </w:r>
      <w:r>
        <w:rPr>
          <w:rFonts w:hint="eastAsia" w:ascii="宋体" w:hAnsi="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年</w:t>
      </w:r>
    </w:p>
    <w:p w14:paraId="7C59A59A">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r>
        <w:rPr>
          <w:rFonts w:hint="eastAsia" w:ascii="宋体" w:hAnsi="宋体" w:eastAsia="宋体" w:cs="宋体"/>
          <w:b w:val="0"/>
          <w:bCs w:val="0"/>
          <w:color w:val="auto"/>
          <w:kern w:val="0"/>
          <w:sz w:val="24"/>
          <w:szCs w:val="44"/>
          <w:lang w:val="en-US" w:eastAsia="zh-CN"/>
        </w:rPr>
        <w:t>项目结项须提交结题报告1份，包括人工智能技术在课程中的应用、课程的教学设计改进、课程实施效果</w:t>
      </w:r>
      <w:r>
        <w:rPr>
          <w:rFonts w:hint="eastAsia" w:ascii="宋体" w:hAnsi="宋体" w:cs="宋体"/>
          <w:b w:val="0"/>
          <w:bCs w:val="0"/>
          <w:color w:val="auto"/>
          <w:kern w:val="0"/>
          <w:sz w:val="24"/>
          <w:szCs w:val="44"/>
          <w:lang w:val="en-US" w:eastAsia="zh-CN"/>
        </w:rPr>
        <w:t>（含AI助教、助学+知识图谱）</w:t>
      </w:r>
      <w:r>
        <w:rPr>
          <w:rFonts w:hint="eastAsia" w:ascii="宋体" w:hAnsi="宋体" w:eastAsia="宋体" w:cs="宋体"/>
          <w:b w:val="0"/>
          <w:bCs w:val="0"/>
          <w:color w:val="auto"/>
          <w:kern w:val="0"/>
          <w:sz w:val="24"/>
          <w:szCs w:val="44"/>
          <w:lang w:val="en-US" w:eastAsia="zh-CN"/>
        </w:rPr>
        <w:t>等，形成至少</w:t>
      </w:r>
      <w:r>
        <w:rPr>
          <w:rFonts w:hint="eastAsia" w:ascii="宋体" w:hAnsi="宋体" w:cs="宋体"/>
          <w:b w:val="0"/>
          <w:bCs w:val="0"/>
          <w:color w:val="auto"/>
          <w:kern w:val="0"/>
          <w:sz w:val="24"/>
          <w:szCs w:val="44"/>
          <w:lang w:val="en-US" w:eastAsia="zh-CN"/>
        </w:rPr>
        <w:t>两</w:t>
      </w:r>
      <w:r>
        <w:rPr>
          <w:rFonts w:hint="eastAsia" w:ascii="宋体" w:hAnsi="宋体" w:eastAsia="宋体" w:cs="宋体"/>
          <w:b w:val="0"/>
          <w:bCs w:val="0"/>
          <w:color w:val="auto"/>
          <w:kern w:val="0"/>
          <w:sz w:val="24"/>
          <w:szCs w:val="44"/>
          <w:lang w:val="en-US" w:eastAsia="zh-CN"/>
        </w:rPr>
        <w:t xml:space="preserve">节示范课堂和一个人工智能应用场景下的典型案例，鼓励通过文字、图片、音视频等多种方式进行总结呈现。 </w:t>
      </w:r>
    </w:p>
    <w:p w14:paraId="31E0A8A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 w:val="0"/>
          <w:bCs w:val="0"/>
          <w:color w:val="auto"/>
          <w:kern w:val="0"/>
          <w:sz w:val="24"/>
          <w:szCs w:val="44"/>
          <w:lang w:val="en-US" w:eastAsia="zh-CN"/>
        </w:rPr>
      </w:pPr>
    </w:p>
    <w:p w14:paraId="6F11788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宋体"/>
          <w:b/>
          <w:bCs/>
          <w:color w:val="auto"/>
          <w:kern w:val="0"/>
          <w:sz w:val="24"/>
          <w:szCs w:val="44"/>
          <w:lang w:val="en-US" w:eastAsia="zh-CN"/>
        </w:rPr>
      </w:pPr>
      <w:r>
        <w:rPr>
          <w:rFonts w:hint="eastAsia" w:ascii="宋体" w:hAnsi="宋体" w:cs="宋体"/>
          <w:b/>
          <w:bCs/>
          <w:color w:val="auto"/>
          <w:kern w:val="0"/>
          <w:sz w:val="24"/>
          <w:szCs w:val="44"/>
          <w:lang w:val="en-US" w:eastAsia="zh-CN"/>
        </w:rPr>
        <w:t>2.1.2人工智能通识课程</w:t>
      </w:r>
    </w:p>
    <w:p w14:paraId="02772E2F">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建设目标</w:t>
      </w:r>
      <w:r>
        <w:rPr>
          <w:rFonts w:hint="eastAsia" w:ascii="宋体" w:hAnsi="宋体" w:cs="宋体"/>
          <w:b/>
          <w:bCs/>
          <w:color w:val="auto"/>
          <w:kern w:val="0"/>
          <w:sz w:val="24"/>
          <w:szCs w:val="44"/>
          <w:lang w:val="en-US" w:eastAsia="zh-CN"/>
        </w:rPr>
        <w:t>：</w:t>
      </w:r>
    </w:p>
    <w:p w14:paraId="7277FDB3">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促进人工智能发展与其他学科专业交叉融合，通过构建完善的人工智能通识课程体系、加强师资队伍建设、创新教学方法与手段、深化多学科交叉融合，培养和提高学生的AI素养、创新能力和智能时代终身学习的能力，为建设教育强省提供智力支撑。</w:t>
      </w:r>
    </w:p>
    <w:p w14:paraId="08FEBBE5">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r>
        <w:rPr>
          <w:rFonts w:hint="eastAsia" w:ascii="宋体" w:hAnsi="宋体" w:cs="宋体"/>
          <w:b/>
          <w:bCs/>
          <w:color w:val="auto"/>
          <w:kern w:val="0"/>
          <w:sz w:val="24"/>
          <w:szCs w:val="44"/>
          <w:lang w:val="en-US" w:eastAsia="zh-CN"/>
        </w:rPr>
        <w:t>：</w:t>
      </w:r>
    </w:p>
    <w:p w14:paraId="522C0E98">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1.课程体系优化。阶梯式构建</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人工智能基础课程+专题式课程”的人工智能通识课程体系。人工智能基础课程如《人工智能导论》，讲解人工智能的学科发展、前世今生、基本概念、基础技术、典型应用场景、常见工具平台等；专题式课程为各类学科交叉课程，讲解人工智能在前沿科学研究中的应用、各类学科与人工智能深度融合的前沿实践等。</w:t>
      </w:r>
    </w:p>
    <w:p w14:paraId="0F9240DF">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课程内容重构。鼓励专业以人工智能与本学科交叉融合为切入点开展教学，在专业教育中融入人工智能知识，讲解人工智能在工业制造、金融服务、医疗健康、生物信息、交通运输、社会治理、环境保护、法律服务、媒体娱乐、艺术设计、国防安全等多领域的最前沿应用，培养学生面对智能化时代解决多学科领域复杂问题的创新能力。</w:t>
      </w:r>
    </w:p>
    <w:p w14:paraId="2CCB2D7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突出校本特色。融入高校优势学科建设成果，可开设AI与伦理治理，AI与生产关系，AI与未来教育，AI与人文精神，AI与心理认知，AI与语言文字，AI与法治等学科素养课程；与专业服务的产业紧密对接，可校企合作共建专题式课程。</w:t>
      </w:r>
    </w:p>
    <w:p w14:paraId="1001477D">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w:t>
      </w:r>
      <w:r>
        <w:rPr>
          <w:rFonts w:hint="eastAsia" w:ascii="宋体" w:hAnsi="宋体" w:cs="宋体"/>
          <w:b/>
          <w:bCs/>
          <w:color w:val="auto"/>
          <w:kern w:val="0"/>
          <w:sz w:val="24"/>
          <w:szCs w:val="44"/>
          <w:lang w:val="en-US" w:eastAsia="zh-CN"/>
        </w:rPr>
        <w:t>要求</w:t>
      </w:r>
      <w:r>
        <w:rPr>
          <w:rFonts w:hint="eastAsia" w:ascii="宋体" w:hAnsi="宋体" w:eastAsia="宋体" w:cs="宋体"/>
          <w:b/>
          <w:bCs/>
          <w:color w:val="auto"/>
          <w:kern w:val="0"/>
          <w:sz w:val="24"/>
          <w:szCs w:val="44"/>
          <w:lang w:val="en-US" w:eastAsia="zh-CN"/>
        </w:rPr>
        <w:t>：</w:t>
      </w:r>
    </w:p>
    <w:p w14:paraId="09F62F51">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1.</w:t>
      </w:r>
      <w:r>
        <w:rPr>
          <w:rFonts w:hint="eastAsia" w:ascii="宋体" w:hAnsi="宋体" w:eastAsia="宋体" w:cs="宋体"/>
          <w:b w:val="0"/>
          <w:bCs w:val="0"/>
          <w:color w:val="auto"/>
          <w:kern w:val="0"/>
          <w:sz w:val="24"/>
          <w:szCs w:val="44"/>
          <w:lang w:val="en-US" w:eastAsia="zh-CN"/>
        </w:rPr>
        <w:t>申报课程为计划列入我校本科人才培养方案</w:t>
      </w:r>
      <w:r>
        <w:rPr>
          <w:rFonts w:hint="eastAsia" w:ascii="宋体" w:hAnsi="宋体" w:cs="宋体"/>
          <w:b w:val="0"/>
          <w:bCs w:val="0"/>
          <w:color w:val="auto"/>
          <w:kern w:val="0"/>
          <w:sz w:val="24"/>
          <w:szCs w:val="44"/>
          <w:lang w:val="en-US" w:eastAsia="zh-CN"/>
        </w:rPr>
        <w:t>且设置学分</w:t>
      </w:r>
      <w:r>
        <w:rPr>
          <w:rFonts w:hint="eastAsia" w:ascii="宋体" w:hAnsi="宋体" w:eastAsia="宋体" w:cs="宋体"/>
          <w:b w:val="0"/>
          <w:bCs w:val="0"/>
          <w:color w:val="auto"/>
          <w:kern w:val="0"/>
          <w:sz w:val="24"/>
          <w:szCs w:val="44"/>
          <w:lang w:val="en-US" w:eastAsia="zh-CN"/>
        </w:rPr>
        <w:t>的</w:t>
      </w:r>
      <w:r>
        <w:rPr>
          <w:rFonts w:hint="eastAsia" w:ascii="宋体" w:hAnsi="宋体" w:cs="宋体"/>
          <w:b w:val="0"/>
          <w:bCs w:val="0"/>
          <w:color w:val="auto"/>
          <w:kern w:val="0"/>
          <w:sz w:val="24"/>
          <w:szCs w:val="44"/>
          <w:lang w:val="en-US" w:eastAsia="zh-CN"/>
        </w:rPr>
        <w:t>新</w:t>
      </w:r>
      <w:r>
        <w:rPr>
          <w:rFonts w:hint="eastAsia" w:ascii="宋体" w:hAnsi="宋体" w:eastAsia="宋体" w:cs="宋体"/>
          <w:b w:val="0"/>
          <w:bCs w:val="0"/>
          <w:color w:val="auto"/>
          <w:kern w:val="0"/>
          <w:sz w:val="24"/>
          <w:szCs w:val="44"/>
          <w:lang w:val="en-US" w:eastAsia="zh-CN"/>
        </w:rPr>
        <w:t xml:space="preserve">课程，建成后可作为通识课程供本校或外校学生必修或选修。 </w:t>
      </w:r>
    </w:p>
    <w:p w14:paraId="642A61DF">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default" w:ascii="宋体" w:hAnsi="宋体" w:eastAsia="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课程负责人须为具有讲师及以上职称或博士学位的教师</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 xml:space="preserve">具备良好的师德师风，教学能力强，教学改革 意识强烈，具有丰富的教学经验和较高的学术造诣，能够积极投身教学改革。 </w:t>
      </w:r>
    </w:p>
    <w:p w14:paraId="71A9A722">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建设周期：</w:t>
      </w:r>
      <w:r>
        <w:rPr>
          <w:rFonts w:hint="eastAsia" w:ascii="宋体" w:hAnsi="宋体" w:cs="宋体"/>
          <w:b w:val="0"/>
          <w:bCs w:val="0"/>
          <w:color w:val="auto"/>
          <w:kern w:val="0"/>
          <w:sz w:val="24"/>
          <w:szCs w:val="44"/>
          <w:lang w:val="en-US" w:eastAsia="zh-CN"/>
        </w:rPr>
        <w:t>2</w:t>
      </w:r>
      <w:r>
        <w:rPr>
          <w:rFonts w:hint="eastAsia" w:ascii="宋体" w:hAnsi="宋体" w:eastAsia="宋体" w:cs="宋体"/>
          <w:b w:val="0"/>
          <w:bCs w:val="0"/>
          <w:color w:val="auto"/>
          <w:kern w:val="0"/>
          <w:sz w:val="24"/>
          <w:szCs w:val="44"/>
          <w:lang w:val="en-US" w:eastAsia="zh-CN"/>
        </w:rPr>
        <w:t>年</w:t>
      </w:r>
    </w:p>
    <w:p w14:paraId="6CC460E3">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p>
    <w:p w14:paraId="335A85F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1.建设期内，课程至少开设1个教学周期，提供教学大纲，学校教务处盖章的最近一学期的教学日历，测验、考试（考核）及答案（成果等），学生成绩分布统计。</w:t>
      </w:r>
    </w:p>
    <w:p w14:paraId="767397FA">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2.提供课程负责人签字的最近一学期的课程教案、一节代表性课程的完整教学设计和教学实施流程说明，尽可能细致地反映出教师的思考和教学设计，在文档中应提供不少于5张教学活动的图片</w:t>
      </w:r>
      <w:r>
        <w:rPr>
          <w:rFonts w:hint="eastAsia" w:ascii="宋体" w:hAnsi="宋体" w:cs="宋体"/>
          <w:b w:val="0"/>
          <w:bCs w:val="0"/>
          <w:color w:val="auto"/>
          <w:kern w:val="0"/>
          <w:sz w:val="24"/>
          <w:szCs w:val="44"/>
          <w:lang w:val="en-US" w:eastAsia="zh-CN"/>
        </w:rPr>
        <w:t>，</w:t>
      </w:r>
      <w:r>
        <w:rPr>
          <w:rFonts w:hint="eastAsia" w:ascii="宋体" w:hAnsi="宋体" w:eastAsia="宋体" w:cs="宋体"/>
          <w:b w:val="0"/>
          <w:bCs w:val="0"/>
          <w:color w:val="auto"/>
          <w:kern w:val="0"/>
          <w:sz w:val="24"/>
          <w:szCs w:val="44"/>
          <w:lang w:val="en-US" w:eastAsia="zh-CN"/>
        </w:rPr>
        <w:t>要求教学设计样例应具有较强的可读性，表述清晰流畅。</w:t>
      </w:r>
      <w:r>
        <w:rPr>
          <w:rFonts w:hint="eastAsia" w:ascii="宋体" w:hAnsi="宋体" w:cs="宋体"/>
          <w:b w:val="0"/>
          <w:bCs w:val="0"/>
          <w:color w:val="auto"/>
          <w:kern w:val="0"/>
          <w:sz w:val="24"/>
          <w:szCs w:val="44"/>
          <w:lang w:val="en-US" w:eastAsia="zh-CN"/>
        </w:rPr>
        <w:t>并且</w:t>
      </w:r>
      <w:r>
        <w:rPr>
          <w:rFonts w:hint="eastAsia" w:ascii="宋体" w:hAnsi="宋体" w:eastAsia="宋体" w:cs="宋体"/>
          <w:b w:val="0"/>
          <w:bCs w:val="0"/>
          <w:color w:val="auto"/>
          <w:kern w:val="0"/>
          <w:sz w:val="24"/>
          <w:szCs w:val="44"/>
          <w:lang w:val="en-US" w:eastAsia="zh-CN"/>
        </w:rPr>
        <w:t>形成至少两节示范课堂。</w:t>
      </w:r>
    </w:p>
    <w:p w14:paraId="380B73F4">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r>
        <w:rPr>
          <w:rFonts w:hint="eastAsia" w:ascii="宋体" w:hAnsi="宋体" w:eastAsia="宋体" w:cs="宋体"/>
          <w:b w:val="0"/>
          <w:bCs w:val="0"/>
          <w:color w:val="auto"/>
          <w:kern w:val="0"/>
          <w:sz w:val="24"/>
          <w:szCs w:val="44"/>
          <w:lang w:val="en-US" w:eastAsia="zh-CN"/>
        </w:rPr>
        <w:t>3.如为线上课程，则提供线上课程链接、账号、密码，平台盖章的课程数据信息表。</w:t>
      </w:r>
    </w:p>
    <w:p w14:paraId="6D5401FE">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color w:val="auto"/>
          <w:kern w:val="0"/>
          <w:sz w:val="24"/>
          <w:szCs w:val="44"/>
          <w:lang w:val="en-US" w:eastAsia="zh-CN"/>
        </w:rPr>
      </w:pPr>
    </w:p>
    <w:p w14:paraId="62F0277F">
      <w:pPr>
        <w:keepNext w:val="0"/>
        <w:keepLines w:val="0"/>
        <w:pageBreakBefore w:val="0"/>
        <w:widowControl/>
        <w:kinsoku/>
        <w:wordWrap/>
        <w:overflowPunct/>
        <w:topLinePunct w:val="0"/>
        <w:autoSpaceDE/>
        <w:autoSpaceDN/>
        <w:bidi w:val="0"/>
        <w:adjustRightInd w:val="0"/>
        <w:snapToGrid/>
        <w:spacing w:line="460" w:lineRule="exact"/>
        <w:ind w:firstLine="562" w:firstLineChars="200"/>
        <w:textAlignment w:val="auto"/>
        <w:rPr>
          <w:rFonts w:hint="default" w:ascii="仿宋" w:hAnsi="仿宋" w:eastAsia="仿宋" w:cs="仿宋"/>
          <w:b/>
          <w:bCs/>
          <w:color w:val="auto"/>
          <w:kern w:val="0"/>
          <w:sz w:val="30"/>
          <w:szCs w:val="30"/>
          <w:lang w:val="en-US" w:eastAsia="zh-CN"/>
        </w:rPr>
      </w:pPr>
      <w:bookmarkStart w:id="25" w:name="_Toc20806"/>
      <w:bookmarkStart w:id="26" w:name="_Toc19202"/>
      <w:bookmarkStart w:id="27" w:name="_Toc13480"/>
      <w:bookmarkStart w:id="28" w:name="_Toc117584308"/>
      <w:bookmarkStart w:id="29" w:name="_Toc647"/>
      <w:bookmarkStart w:id="30" w:name="_Toc16598"/>
      <w:bookmarkStart w:id="31" w:name="_Toc16370"/>
      <w:bookmarkStart w:id="32" w:name="_Toc147652329"/>
      <w:bookmarkStart w:id="33" w:name="_Toc4040"/>
      <w:bookmarkStart w:id="34" w:name="_Toc49108508"/>
      <w:bookmarkStart w:id="35" w:name="_Toc12144"/>
      <w:r>
        <w:rPr>
          <w:rFonts w:hint="eastAsia" w:ascii="宋体" w:hAnsi="宋体" w:cs="Times New Roman"/>
          <w:b/>
          <w:bCs/>
          <w:color w:val="auto"/>
          <w:kern w:val="2"/>
          <w:sz w:val="28"/>
          <w:szCs w:val="28"/>
          <w:lang w:val="en-US" w:eastAsia="zh-CN" w:bidi="ar-SA"/>
        </w:rPr>
        <w:t>2</w:t>
      </w:r>
      <w:r>
        <w:rPr>
          <w:rFonts w:hint="eastAsia" w:ascii="宋体" w:hAnsi="宋体" w:eastAsia="宋体" w:cs="Times New Roman"/>
          <w:b/>
          <w:bCs/>
          <w:color w:val="auto"/>
          <w:kern w:val="2"/>
          <w:sz w:val="28"/>
          <w:szCs w:val="28"/>
          <w:lang w:val="en-US" w:eastAsia="zh-CN" w:bidi="ar-SA"/>
        </w:rPr>
        <w:t>.</w:t>
      </w:r>
      <w:bookmarkEnd w:id="25"/>
      <w:bookmarkEnd w:id="26"/>
      <w:bookmarkEnd w:id="27"/>
      <w:bookmarkEnd w:id="28"/>
      <w:bookmarkEnd w:id="29"/>
      <w:bookmarkEnd w:id="30"/>
      <w:bookmarkEnd w:id="31"/>
      <w:bookmarkEnd w:id="32"/>
      <w:bookmarkEnd w:id="33"/>
      <w:bookmarkEnd w:id="34"/>
      <w:bookmarkEnd w:id="35"/>
      <w:r>
        <w:rPr>
          <w:rFonts w:hint="eastAsia" w:ascii="宋体" w:hAnsi="宋体" w:cs="Times New Roman"/>
          <w:b/>
          <w:bCs/>
          <w:color w:val="auto"/>
          <w:kern w:val="2"/>
          <w:sz w:val="28"/>
          <w:szCs w:val="28"/>
          <w:lang w:val="en-US" w:eastAsia="zh-CN" w:bidi="ar-SA"/>
        </w:rPr>
        <w:t>2 校级</w:t>
      </w:r>
      <w:r>
        <w:rPr>
          <w:rFonts w:hint="eastAsia" w:ascii="仿宋" w:hAnsi="仿宋" w:eastAsia="仿宋" w:cs="仿宋"/>
          <w:b/>
          <w:bCs/>
          <w:color w:val="auto"/>
          <w:kern w:val="0"/>
          <w:sz w:val="30"/>
          <w:szCs w:val="30"/>
          <w:lang w:val="en-US" w:eastAsia="zh-CN"/>
        </w:rPr>
        <w:t>微课程</w:t>
      </w:r>
    </w:p>
    <w:p w14:paraId="1F2E0190">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微课程是依据人才培养方案、课程标准及相关教学要求，以现代教育思想和教学理念为指导，以使学生自主学习达到最佳学习效果为目标，经过精心的信息化教学设计，以视频、动画等形式记录或展示教师围绕某个某些知识点（技能点）开展的简短、完整的教学活动。微课程主要由教师教授教学内容，供学生学习。</w:t>
      </w:r>
    </w:p>
    <w:p w14:paraId="63EB3A12">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建设目标：</w:t>
      </w:r>
    </w:p>
    <w:p w14:paraId="2BAD76C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微课以视频为主要载体、时长一般控制在15分钟以内，有明确的教学目标、内容短小、集中说明一个问题、面向学生学习的课程元素，同时还必须包含与该教学内容相对应的教学设计、学习指南、练习测试等学习资源。</w:t>
      </w:r>
    </w:p>
    <w:p w14:paraId="18E92C8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微课是课程的重要组成部分，一门课程由若干微课要素组成。微课只需讲述一个教学知识点或解决一个问题，供学生自主学习使用。内容必须是需要讲述、呈现才能理解，是学习过程中的重点、难点或易错点。学生能够自己通过阅读教材理解掌握的，不宜作为微课选题。</w:t>
      </w:r>
    </w:p>
    <w:p w14:paraId="080E0A75">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3.微课需简明扼要地概述知识点，创新教学模式，运用技术创新，使用规范学术用语，表述条理清晰。</w:t>
      </w:r>
    </w:p>
    <w:p w14:paraId="2C090852">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4.针对微课主题要突出，展示形式要恰当，信息技术运用要适度，利于不同基础学生的自主学习。</w:t>
      </w:r>
    </w:p>
    <w:p w14:paraId="118E2BBE">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微课重点考察教师针对特定教学任务，充分、合理运用信息技术、数字资源和信息化教学环境进行教学设计和实际教学，并将教学的过程制作成为学习资源的能力。教师应在自己承担的课程中选取教学重点难点作为参赛作品的内容，内容要聚焦，主题要突出，注重课程思政，能帮助学生解决教学重点难点，学生学习效果突出。</w:t>
      </w:r>
    </w:p>
    <w:p w14:paraId="3D2B6666">
      <w:pPr>
        <w:keepNext w:val="0"/>
        <w:keepLines w:val="0"/>
        <w:pageBreakBefore w:val="0"/>
        <w:widowControl/>
        <w:kinsoku/>
        <w:wordWrap/>
        <w:overflowPunct/>
        <w:topLinePunct w:val="0"/>
        <w:autoSpaceDE/>
        <w:autoSpaceDN/>
        <w:bidi w:val="0"/>
        <w:adjustRightInd w:val="0"/>
        <w:snapToGrid/>
        <w:spacing w:line="460" w:lineRule="exact"/>
        <w:textAlignment w:val="auto"/>
        <w:rPr>
          <w:rFonts w:hint="default"/>
          <w:b/>
          <w:bCs/>
          <w:color w:val="auto"/>
          <w:sz w:val="24"/>
          <w:szCs w:val="24"/>
          <w:lang w:val="en-US" w:eastAsia="zh-CN"/>
        </w:rPr>
      </w:pPr>
      <w:r>
        <w:rPr>
          <w:rFonts w:hint="eastAsia" w:ascii="仿宋" w:hAnsi="仿宋" w:eastAsia="仿宋" w:cs="仿宋"/>
          <w:color w:val="auto"/>
          <w:kern w:val="0"/>
          <w:sz w:val="30"/>
          <w:szCs w:val="30"/>
          <w:lang w:val="en-US" w:eastAsia="zh-CN"/>
        </w:rPr>
        <w:t xml:space="preserve">  </w:t>
      </w:r>
      <w:r>
        <w:rPr>
          <w:rFonts w:hint="eastAsia"/>
          <w:b/>
          <w:bCs/>
          <w:color w:val="auto"/>
          <w:sz w:val="24"/>
          <w:szCs w:val="24"/>
          <w:lang w:val="en-US" w:eastAsia="zh-CN"/>
        </w:rPr>
        <w:t xml:space="preserve">  申报条件：</w:t>
      </w:r>
    </w:p>
    <w:p w14:paraId="16C10D4E">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1.重点鼓励微专业的课程开设微课程，鼓励结合人工智能等前沿课程开设微课程。</w:t>
      </w:r>
    </w:p>
    <w:p w14:paraId="31132B8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2.课程负责人须为具有讲师及以上职称或博士学位的教师，团队主要成员须为教务系统显示授课教师。负责人主讲本课程至少2个教学周期（不含当前学期）。</w:t>
      </w:r>
    </w:p>
    <w:p w14:paraId="0E34107B">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default"/>
          <w:color w:val="auto"/>
          <w:sz w:val="24"/>
          <w:szCs w:val="24"/>
          <w:lang w:val="en-US" w:eastAsia="zh-CN"/>
        </w:rPr>
        <w:t>3.课程负责人</w:t>
      </w:r>
      <w:r>
        <w:rPr>
          <w:rFonts w:hint="eastAsia"/>
          <w:color w:val="auto"/>
          <w:sz w:val="24"/>
          <w:szCs w:val="24"/>
          <w:lang w:val="en-US" w:eastAsia="zh-CN"/>
        </w:rPr>
        <w:t>应承诺申报材料的真实性，课程内容规范完整，体现前沿性和时代性，无危害国家安全、涉密及其他不适宜网络公开传播的内容，引用的课程资源要注明来源，无侵犯他人知识产权内容。</w:t>
      </w:r>
    </w:p>
    <w:p w14:paraId="65311124">
      <w:pPr>
        <w:keepNext w:val="0"/>
        <w:keepLines w:val="0"/>
        <w:pageBreakBefore w:val="0"/>
        <w:widowControl/>
        <w:numPr>
          <w:ilvl w:val="0"/>
          <w:numId w:val="0"/>
        </w:numPr>
        <w:kinsoku/>
        <w:wordWrap/>
        <w:overflowPunct/>
        <w:topLinePunct w:val="0"/>
        <w:autoSpaceDE/>
        <w:autoSpaceDN/>
        <w:bidi w:val="0"/>
        <w:adjustRightInd w:val="0"/>
        <w:snapToGrid/>
        <w:spacing w:line="460" w:lineRule="exact"/>
        <w:ind w:firstLine="480" w:firstLineChars="200"/>
        <w:textAlignment w:val="auto"/>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4.申报时需提交1个知识点的教学视频，5-8分钟。</w:t>
      </w:r>
      <w:r>
        <w:rPr>
          <w:rFonts w:hint="eastAsia" w:asciiTheme="minorHAnsi" w:hAnsiTheme="minorHAnsi" w:eastAsiaTheme="minorEastAsia" w:cstheme="minorBidi"/>
          <w:color w:val="auto"/>
          <w:kern w:val="2"/>
          <w:sz w:val="24"/>
          <w:szCs w:val="24"/>
          <w:lang w:val="en-US" w:eastAsia="zh-CN" w:bidi="ar-SA"/>
        </w:rPr>
        <w:t>教学微课作品以视频格式报送（MP4格式，分辨率不低于720p，文件小于200M）。必须同时提交该作品的教学设计文稿（PDF格式，文件小于100M，内容、格式与字数不限）。</w:t>
      </w:r>
    </w:p>
    <w:p w14:paraId="67D22C6F">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建设周期：</w:t>
      </w:r>
      <w:r>
        <w:rPr>
          <w:rFonts w:hint="eastAsia"/>
          <w:color w:val="auto"/>
          <w:sz w:val="24"/>
          <w:szCs w:val="24"/>
          <w:lang w:val="en-US" w:eastAsia="zh-CN"/>
        </w:rPr>
        <w:t>2年</w:t>
      </w:r>
    </w:p>
    <w:p w14:paraId="0F4ABC09">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验收标准：</w:t>
      </w:r>
    </w:p>
    <w:p w14:paraId="765F0205">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1.微课程在学校网络教学平台上线，正常运行且对学生开展课程教学活动。</w:t>
      </w:r>
    </w:p>
    <w:p w14:paraId="2799C16C">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微课程结构包括课程标题、课程目标、知识点或知识板块（知识点群）等的讲解视频、答题互动、活动互动、评价互动等多个板块。课程应包含“在线考试”，且题型多样，试题要求难度适中、有代表性、能覆盖课程所有考察知识点。</w:t>
      </w:r>
    </w:p>
    <w:p w14:paraId="214EE513">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stheme="minorBidi"/>
          <w:color w:val="auto"/>
          <w:kern w:val="2"/>
          <w:sz w:val="24"/>
          <w:szCs w:val="24"/>
          <w:lang w:val="en-US" w:eastAsia="zh-CN" w:bidi="ar-SA"/>
        </w:rPr>
      </w:pPr>
      <w:r>
        <w:rPr>
          <w:rFonts w:hint="eastAsia"/>
          <w:color w:val="auto"/>
          <w:sz w:val="24"/>
          <w:szCs w:val="24"/>
          <w:lang w:val="en-US" w:eastAsia="zh-CN"/>
        </w:rPr>
        <w:t>3.微课视频、</w:t>
      </w:r>
      <w:r>
        <w:rPr>
          <w:rFonts w:hint="eastAsia" w:asciiTheme="minorHAnsi" w:hAnsiTheme="minorHAnsi" w:eastAsiaTheme="minorEastAsia" w:cstheme="minorBidi"/>
          <w:color w:val="auto"/>
          <w:kern w:val="2"/>
          <w:sz w:val="24"/>
          <w:szCs w:val="24"/>
          <w:lang w:val="en-US" w:eastAsia="zh-CN" w:bidi="ar-SA"/>
        </w:rPr>
        <w:t>教案与PPT课件等微课程</w:t>
      </w:r>
      <w:r>
        <w:rPr>
          <w:rFonts w:hint="eastAsia" w:cstheme="minorBidi"/>
          <w:color w:val="auto"/>
          <w:kern w:val="2"/>
          <w:sz w:val="24"/>
          <w:szCs w:val="24"/>
          <w:lang w:val="en-US" w:eastAsia="zh-CN" w:bidi="ar-SA"/>
        </w:rPr>
        <w:t>要素材料</w:t>
      </w:r>
      <w:r>
        <w:rPr>
          <w:rFonts w:hint="eastAsia" w:asciiTheme="minorHAnsi" w:hAnsiTheme="minorHAnsi" w:eastAsiaTheme="minorEastAsia" w:cstheme="minorBidi"/>
          <w:color w:val="auto"/>
          <w:kern w:val="2"/>
          <w:sz w:val="24"/>
          <w:szCs w:val="24"/>
          <w:lang w:val="en-US" w:eastAsia="zh-CN" w:bidi="ar-SA"/>
        </w:rPr>
        <w:t>都必须</w:t>
      </w:r>
      <w:r>
        <w:rPr>
          <w:rFonts w:hint="eastAsia" w:cstheme="minorBidi"/>
          <w:color w:val="auto"/>
          <w:kern w:val="2"/>
          <w:sz w:val="24"/>
          <w:szCs w:val="24"/>
          <w:lang w:val="en-US" w:eastAsia="zh-CN" w:bidi="ar-SA"/>
        </w:rPr>
        <w:t>完整且</w:t>
      </w:r>
      <w:r>
        <w:rPr>
          <w:rFonts w:hint="eastAsia" w:asciiTheme="minorHAnsi" w:hAnsiTheme="minorHAnsi" w:eastAsiaTheme="minorEastAsia" w:cstheme="minorBidi"/>
          <w:color w:val="auto"/>
          <w:kern w:val="2"/>
          <w:sz w:val="24"/>
          <w:szCs w:val="24"/>
          <w:lang w:val="en-US" w:eastAsia="zh-CN" w:bidi="ar-SA"/>
        </w:rPr>
        <w:t>经过精心设计</w:t>
      </w:r>
      <w:r>
        <w:rPr>
          <w:rFonts w:hint="eastAsia" w:cstheme="minorBidi"/>
          <w:color w:val="auto"/>
          <w:kern w:val="2"/>
          <w:sz w:val="24"/>
          <w:szCs w:val="24"/>
          <w:lang w:val="en-US" w:eastAsia="zh-CN" w:bidi="ar-SA"/>
        </w:rPr>
        <w:t>。</w:t>
      </w:r>
    </w:p>
    <w:p w14:paraId="1ACA4F91">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4.一门微课程要有不少于10个微视频（知识点）设计。</w:t>
      </w:r>
    </w:p>
    <w:p w14:paraId="55256A6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color w:val="auto"/>
          <w:sz w:val="24"/>
          <w:szCs w:val="24"/>
          <w:lang w:val="en-US" w:eastAsia="zh-CN"/>
        </w:rPr>
      </w:pPr>
    </w:p>
    <w:p w14:paraId="731030F0">
      <w:pPr>
        <w:pageBreakBefore w:val="0"/>
        <w:numPr>
          <w:ilvl w:val="0"/>
          <w:numId w:val="0"/>
        </w:numPr>
        <w:kinsoku/>
        <w:wordWrap/>
        <w:overflowPunct/>
        <w:topLinePunct w:val="0"/>
        <w:autoSpaceDE/>
        <w:autoSpaceDN/>
        <w:bidi w:val="0"/>
        <w:snapToGrid/>
        <w:spacing w:line="360" w:lineRule="auto"/>
        <w:textAlignment w:val="auto"/>
        <w:rPr>
          <w:rFonts w:hint="eastAsia" w:ascii="宋体" w:hAnsi="宋体" w:cs="Times New Roman"/>
          <w:b/>
          <w:bCs/>
          <w:color w:val="auto"/>
          <w:kern w:val="2"/>
          <w:sz w:val="28"/>
          <w:szCs w:val="28"/>
          <w:lang w:val="en-US" w:eastAsia="zh-CN" w:bidi="ar-SA"/>
        </w:rPr>
      </w:pPr>
      <w:r>
        <w:rPr>
          <w:rFonts w:hint="eastAsia" w:ascii="仿宋" w:hAnsi="仿宋" w:eastAsia="仿宋"/>
          <w:b/>
          <w:color w:val="auto"/>
          <w:kern w:val="0"/>
          <w:sz w:val="36"/>
          <w:szCs w:val="36"/>
          <w:lang w:val="en-US" w:eastAsia="zh-CN"/>
        </w:rPr>
        <w:t>3  校级课程思政类项目</w:t>
      </w:r>
    </w:p>
    <w:p w14:paraId="7159B8B7">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.1</w:t>
      </w:r>
      <w:r>
        <w:rPr>
          <w:rFonts w:hint="eastAsia" w:ascii="宋体" w:hAnsi="宋体" w:cs="Times New Roman"/>
          <w:b/>
          <w:bCs/>
          <w:color w:val="auto"/>
          <w:kern w:val="2"/>
          <w:sz w:val="28"/>
          <w:szCs w:val="28"/>
          <w:lang w:val="en-US" w:eastAsia="zh-CN" w:bidi="ar-SA"/>
        </w:rPr>
        <w:t xml:space="preserve"> 校级</w:t>
      </w:r>
      <w:r>
        <w:rPr>
          <w:rFonts w:hint="eastAsia" w:ascii="宋体" w:hAnsi="宋体" w:eastAsia="宋体" w:cs="Times New Roman"/>
          <w:b/>
          <w:bCs/>
          <w:color w:val="auto"/>
          <w:kern w:val="2"/>
          <w:sz w:val="28"/>
          <w:szCs w:val="28"/>
          <w:lang w:val="en-US" w:eastAsia="zh-CN" w:bidi="ar-SA"/>
        </w:rPr>
        <w:t>课程思政典型案例</w:t>
      </w:r>
    </w:p>
    <w:p w14:paraId="07E0379B">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color w:val="auto"/>
          <w:sz w:val="24"/>
          <w:szCs w:val="24"/>
          <w:lang w:val="en-US" w:eastAsia="zh-CN"/>
        </w:rPr>
      </w:pPr>
      <w:r>
        <w:rPr>
          <w:rFonts w:hint="eastAsia"/>
          <w:b/>
          <w:bCs/>
          <w:color w:val="auto"/>
          <w:sz w:val="24"/>
          <w:szCs w:val="24"/>
          <w:lang w:val="en-US" w:eastAsia="zh-CN"/>
        </w:rPr>
        <w:t>建设目标：</w:t>
      </w:r>
    </w:p>
    <w:p w14:paraId="366CBD1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rPr>
        <w:t>为更好地深入贯彻落实习近平总书记关于教育的重要论述和全国教育大会精神，贯彻落实教育部《高等学校课程思政建设指导纲要》，全面推进课程思政建设，深入挖掘课程中蕴涵的思政元素，融入课程教学中，将思想政治教育引领贯穿于教育教学全过程，实现价值性和知识性的统一，达到专业知识与育人元素深度融合，实现立德树人的目标。</w:t>
      </w:r>
      <w:r>
        <w:rPr>
          <w:rFonts w:hint="eastAsia"/>
          <w:color w:val="auto"/>
          <w:sz w:val="24"/>
          <w:szCs w:val="24"/>
          <w:lang w:val="en-US" w:eastAsia="zh-CN"/>
        </w:rPr>
        <w:t>遴选一批课程思政教学典型案例，要求具有较强的针对性、时效性、创新性、示范性和可推广性。</w:t>
      </w:r>
    </w:p>
    <w:p w14:paraId="071BA5EA">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69EDDBD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1.突出价值引领。</w:t>
      </w:r>
      <w:r>
        <w:rPr>
          <w:rFonts w:hint="eastAsia"/>
          <w:color w:val="auto"/>
          <w:sz w:val="24"/>
          <w:szCs w:val="24"/>
        </w:rPr>
        <w:t>申报教师要深入挖掘提炼课程中所蕴含的思政元素和承载的思政功能，在教学理念、教学思路、内容形式、方法手段、考核评价方式等方面积极创新，实现思政元素与课程教学的深度融合，提升课程育人效果。</w:t>
      </w:r>
    </w:p>
    <w:p w14:paraId="6145B9A7">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2.</w:t>
      </w:r>
      <w:r>
        <w:rPr>
          <w:rFonts w:hint="eastAsia"/>
          <w:color w:val="auto"/>
          <w:sz w:val="24"/>
          <w:szCs w:val="24"/>
        </w:rPr>
        <w:t>体现</w:t>
      </w:r>
      <w:r>
        <w:rPr>
          <w:rFonts w:hint="eastAsia"/>
          <w:color w:val="auto"/>
          <w:sz w:val="24"/>
          <w:szCs w:val="24"/>
          <w:lang w:eastAsia="zh-CN"/>
        </w:rPr>
        <w:t>“</w:t>
      </w:r>
      <w:r>
        <w:rPr>
          <w:rFonts w:hint="eastAsia"/>
          <w:color w:val="auto"/>
          <w:sz w:val="24"/>
          <w:szCs w:val="24"/>
        </w:rPr>
        <w:t>学生中心”的教育理念，课程教学注重价值引领，体现高阶性、创新性和挑战度。教学设计符合学生认知发展规律，教学目标明确合理。</w:t>
      </w:r>
    </w:p>
    <w:p w14:paraId="45A1E172">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rPr>
      </w:pPr>
      <w:r>
        <w:rPr>
          <w:rFonts w:hint="eastAsia"/>
          <w:color w:val="auto"/>
          <w:sz w:val="24"/>
          <w:szCs w:val="24"/>
          <w:lang w:val="en-US" w:eastAsia="zh-CN"/>
        </w:rPr>
        <w:t>3.</w:t>
      </w:r>
      <w:r>
        <w:rPr>
          <w:rFonts w:hint="eastAsia"/>
          <w:color w:val="auto"/>
          <w:sz w:val="24"/>
          <w:szCs w:val="24"/>
        </w:rPr>
        <w:t>案例内容完整规范。参评案例应围绕课程教学中某一章节、教学环节或知识点展开，政治方向正确，课程思政教学目标明确，具有较强的针对性、时效性、创新性、示范性和可推广性。</w:t>
      </w:r>
    </w:p>
    <w:p w14:paraId="7B32221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sz w:val="24"/>
          <w:szCs w:val="24"/>
          <w:highlight w:val="none"/>
          <w:lang w:eastAsia="zh-CN"/>
        </w:rPr>
      </w:pPr>
      <w:r>
        <w:rPr>
          <w:rFonts w:hint="eastAsia"/>
          <w:color w:val="auto"/>
          <w:sz w:val="24"/>
          <w:szCs w:val="24"/>
        </w:rPr>
        <w:t>4</w:t>
      </w:r>
      <w:r>
        <w:rPr>
          <w:rFonts w:hint="eastAsia"/>
          <w:color w:val="auto"/>
          <w:sz w:val="24"/>
          <w:szCs w:val="24"/>
          <w:lang w:val="en-US" w:eastAsia="zh-CN"/>
        </w:rPr>
        <w:t>.</w:t>
      </w:r>
      <w:r>
        <w:rPr>
          <w:rFonts w:hint="eastAsia"/>
          <w:color w:val="auto"/>
          <w:sz w:val="24"/>
          <w:szCs w:val="24"/>
        </w:rPr>
        <w:t>案例申报教师政治立场坚</w:t>
      </w:r>
      <w:r>
        <w:rPr>
          <w:rFonts w:hint="eastAsia"/>
          <w:color w:val="auto"/>
          <w:sz w:val="24"/>
          <w:szCs w:val="24"/>
          <w:highlight w:val="none"/>
        </w:rPr>
        <w:t>定，师德师风良好</w:t>
      </w:r>
      <w:r>
        <w:rPr>
          <w:rFonts w:hint="eastAsia"/>
          <w:color w:val="auto"/>
          <w:sz w:val="24"/>
          <w:szCs w:val="24"/>
          <w:highlight w:val="none"/>
          <w:lang w:eastAsia="zh-CN"/>
        </w:rPr>
        <w:t>。</w:t>
      </w:r>
    </w:p>
    <w:p w14:paraId="14C67D0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eastAsia="宋体"/>
          <w:b/>
          <w:bCs/>
          <w:color w:val="auto"/>
          <w:sz w:val="24"/>
          <w:szCs w:val="24"/>
          <w:highlight w:val="none"/>
          <w:u w:val="none"/>
          <w:lang w:val="en-US" w:eastAsia="zh-CN"/>
        </w:rPr>
      </w:pPr>
      <w:r>
        <w:rPr>
          <w:rFonts w:hint="eastAsia"/>
          <w:color w:val="auto"/>
          <w:sz w:val="24"/>
          <w:szCs w:val="24"/>
          <w:highlight w:val="none"/>
        </w:rPr>
        <w:t>5</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课程思政”案例要坚持原创性，不得侵犯他人知识产权。</w:t>
      </w:r>
      <w:r>
        <w:rPr>
          <w:rFonts w:hint="eastAsia"/>
          <w:b/>
          <w:bCs/>
          <w:color w:val="auto"/>
          <w:sz w:val="24"/>
          <w:szCs w:val="24"/>
          <w:highlight w:val="none"/>
          <w:u w:val="none"/>
          <w:lang w:val="en-US" w:eastAsia="zh-CN"/>
        </w:rPr>
        <w:t>申报案例不得与往年立项的课程思政案例项目名称相同。</w:t>
      </w:r>
    </w:p>
    <w:p w14:paraId="38F5B59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6.鼓励专业必修课程申报课程思政典型案例。</w:t>
      </w:r>
    </w:p>
    <w:p w14:paraId="3910CC8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bCs/>
          <w:color w:val="auto"/>
          <w:sz w:val="24"/>
          <w:szCs w:val="24"/>
          <w:highlight w:val="none"/>
        </w:rPr>
      </w:pPr>
      <w:r>
        <w:rPr>
          <w:rFonts w:hint="eastAsia"/>
          <w:color w:val="auto"/>
          <w:sz w:val="24"/>
          <w:szCs w:val="24"/>
          <w:lang w:val="en-US" w:eastAsia="zh-CN"/>
        </w:rPr>
        <w:t>7.</w:t>
      </w:r>
      <w:r>
        <w:rPr>
          <w:rFonts w:hint="eastAsia"/>
          <w:color w:val="auto"/>
          <w:sz w:val="24"/>
          <w:szCs w:val="24"/>
        </w:rPr>
        <w:t>各</w:t>
      </w:r>
      <w:r>
        <w:rPr>
          <w:rFonts w:hint="eastAsia"/>
          <w:color w:val="auto"/>
          <w:sz w:val="24"/>
          <w:szCs w:val="24"/>
          <w:lang w:val="en-US" w:eastAsia="zh-CN"/>
        </w:rPr>
        <w:t>二级学院（部）</w:t>
      </w:r>
      <w:r>
        <w:rPr>
          <w:rFonts w:hint="eastAsia"/>
          <w:color w:val="auto"/>
          <w:sz w:val="24"/>
          <w:szCs w:val="24"/>
        </w:rPr>
        <w:t>要做好审核</w:t>
      </w:r>
      <w:r>
        <w:rPr>
          <w:rFonts w:hint="eastAsia"/>
          <w:color w:val="auto"/>
          <w:sz w:val="24"/>
          <w:szCs w:val="24"/>
          <w:lang w:val="en-US" w:eastAsia="zh-CN"/>
        </w:rPr>
        <w:t>工作</w:t>
      </w:r>
      <w:r>
        <w:rPr>
          <w:rFonts w:hint="eastAsia"/>
          <w:color w:val="auto"/>
          <w:sz w:val="24"/>
          <w:szCs w:val="24"/>
        </w:rPr>
        <w:t>，</w:t>
      </w:r>
      <w:r>
        <w:rPr>
          <w:rFonts w:hint="eastAsia"/>
          <w:color w:val="auto"/>
          <w:sz w:val="24"/>
          <w:szCs w:val="24"/>
          <w:highlight w:val="none"/>
          <w:lang w:val="en-US" w:eastAsia="zh-CN"/>
        </w:rPr>
        <w:t>原则上</w:t>
      </w:r>
      <w:r>
        <w:rPr>
          <w:rFonts w:hint="eastAsia"/>
          <w:b/>
          <w:bCs/>
          <w:color w:val="auto"/>
          <w:sz w:val="24"/>
          <w:szCs w:val="24"/>
          <w:highlight w:val="none"/>
        </w:rPr>
        <w:t>每个单位最多可以推荐</w:t>
      </w:r>
      <w:r>
        <w:rPr>
          <w:rFonts w:hint="eastAsia"/>
          <w:b/>
          <w:bCs/>
          <w:color w:val="auto"/>
          <w:sz w:val="24"/>
          <w:szCs w:val="24"/>
          <w:highlight w:val="none"/>
          <w:lang w:val="en-US" w:eastAsia="zh-CN"/>
        </w:rPr>
        <w:t>2</w:t>
      </w:r>
      <w:r>
        <w:rPr>
          <w:rFonts w:hint="eastAsia"/>
          <w:b/>
          <w:bCs/>
          <w:color w:val="auto"/>
          <w:sz w:val="24"/>
          <w:szCs w:val="24"/>
          <w:highlight w:val="none"/>
        </w:rPr>
        <w:t>个</w:t>
      </w:r>
      <w:r>
        <w:rPr>
          <w:rFonts w:hint="eastAsia"/>
          <w:b/>
          <w:bCs/>
          <w:color w:val="auto"/>
          <w:sz w:val="24"/>
          <w:szCs w:val="24"/>
          <w:highlight w:val="none"/>
          <w:lang w:val="en-US" w:eastAsia="zh-CN"/>
        </w:rPr>
        <w:t>典型案例</w:t>
      </w:r>
      <w:r>
        <w:rPr>
          <w:rFonts w:hint="eastAsia"/>
          <w:b/>
          <w:bCs/>
          <w:color w:val="auto"/>
          <w:sz w:val="24"/>
          <w:szCs w:val="24"/>
          <w:highlight w:val="none"/>
        </w:rPr>
        <w:t>。</w:t>
      </w:r>
    </w:p>
    <w:p w14:paraId="2C9924A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magenta"/>
        </w:rPr>
      </w:pPr>
    </w:p>
    <w:p w14:paraId="5F815D88">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3.2 校级</w:t>
      </w:r>
      <w:r>
        <w:rPr>
          <w:rFonts w:hint="eastAsia" w:ascii="宋体" w:hAnsi="宋体" w:eastAsia="宋体" w:cs="Times New Roman"/>
          <w:b/>
          <w:bCs/>
          <w:color w:val="auto"/>
          <w:kern w:val="2"/>
          <w:sz w:val="28"/>
          <w:szCs w:val="28"/>
          <w:lang w:val="en-US" w:eastAsia="zh-CN" w:bidi="ar-SA"/>
        </w:rPr>
        <w:t>课程思政示范课程</w:t>
      </w:r>
    </w:p>
    <w:p w14:paraId="2DD9DF1C">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建设目标：</w:t>
      </w:r>
      <w:r>
        <w:rPr>
          <w:rFonts w:hint="eastAsia"/>
          <w:color w:val="auto"/>
          <w:sz w:val="24"/>
          <w:szCs w:val="24"/>
          <w:lang w:val="en-US" w:eastAsia="zh-CN"/>
        </w:rPr>
        <w:t>落实《高等学校课程思政建设指导纲要》等文件精神， 坚持立德树人，强化示范引领，全面推进不同类型高校的课程思政建设理论研究和教学实践，探索创新课程思政建设的方法路径。</w:t>
      </w:r>
    </w:p>
    <w:p w14:paraId="6F53EDE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建设内容：</w:t>
      </w:r>
    </w:p>
    <w:p w14:paraId="4082D9F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1.课程准确把握“坚定学生理想信念，教育学生爱党、爱国、爱社会主义、爱人民、爱集体”主线，结合所在学科专业、所属课程类型的育人要求和特点，深入挖掘蕴含的思政育人资源，优化课程思政内容供给。</w:t>
      </w:r>
    </w:p>
    <w:p w14:paraId="44D95D34">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2.课程体现学校办学定位、专业优势和课程特色，注重价值塑造、知识传授与能力培养相统一，科学设计课程目标和教案课件，将思政教育有机融入课程教学，达到润物无声的育人效果。</w:t>
      </w:r>
    </w:p>
    <w:p w14:paraId="7FD6040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3.课程注重课程思政建设模式创新，教学内容体现思想性、前沿性与时代性，教学方法体现先进性、互动性与针对性，形成可供同类课程借鉴共享的经验、成果和模式。</w:t>
      </w:r>
    </w:p>
    <w:p w14:paraId="5105CF4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4.课程教学团队人员结构合理，集体教研制度完善且有效实施，经常性开展课程思政建设教学研究和交流，课程思政建设整体水平高。</w:t>
      </w:r>
    </w:p>
    <w:p w14:paraId="37DA3A4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5.制定体现课程思政改革思路的课程教学大纲、教案等教学文件。</w:t>
      </w:r>
    </w:p>
    <w:p w14:paraId="0C76022A">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6.课程考核方式和评价办法完善，育人效果显著，学生评教结果优秀，校内外同行专家评价良好，形成较高水平的课程思政展示成果，具有良好的示范辐射作用。</w:t>
      </w:r>
    </w:p>
    <w:p w14:paraId="5F7F514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2896DBF4">
      <w:pPr>
        <w:pageBreakBefore w:val="0"/>
        <w:numPr>
          <w:ilvl w:val="0"/>
          <w:numId w:val="0"/>
        </w:numPr>
        <w:kinsoku/>
        <w:wordWrap/>
        <w:overflowPunct/>
        <w:topLinePunct w:val="0"/>
        <w:autoSpaceDE/>
        <w:autoSpaceDN/>
        <w:bidi w:val="0"/>
        <w:snapToGrid/>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1.立项的课程思政示范课</w:t>
      </w:r>
      <w:r>
        <w:rPr>
          <w:rFonts w:hint="eastAsia"/>
          <w:b/>
          <w:bCs/>
          <w:color w:val="auto"/>
          <w:sz w:val="24"/>
          <w:szCs w:val="24"/>
          <w:highlight w:val="none"/>
          <w:lang w:val="en-US" w:eastAsia="zh-CN"/>
        </w:rPr>
        <w:t>必须为</w:t>
      </w:r>
      <w:r>
        <w:rPr>
          <w:rFonts w:hint="eastAsia"/>
          <w:color w:val="auto"/>
          <w:sz w:val="24"/>
          <w:szCs w:val="24"/>
          <w:highlight w:val="none"/>
          <w:lang w:val="en-US" w:eastAsia="zh-CN"/>
        </w:rPr>
        <w:t>人才培养方案中</w:t>
      </w:r>
      <w:r>
        <w:rPr>
          <w:rFonts w:hint="eastAsia"/>
          <w:b/>
          <w:bCs/>
          <w:color w:val="auto"/>
          <w:sz w:val="24"/>
          <w:szCs w:val="24"/>
          <w:highlight w:val="none"/>
        </w:rPr>
        <w:t>专业必修课程</w:t>
      </w:r>
      <w:r>
        <w:rPr>
          <w:rFonts w:hint="eastAsia"/>
          <w:b/>
          <w:bCs/>
          <w:color w:val="auto"/>
          <w:sz w:val="24"/>
          <w:szCs w:val="24"/>
          <w:highlight w:val="none"/>
          <w:lang w:eastAsia="zh-CN"/>
        </w:rPr>
        <w:t>，</w:t>
      </w:r>
      <w:r>
        <w:rPr>
          <w:rFonts w:hint="eastAsia"/>
          <w:b/>
          <w:bCs/>
          <w:color w:val="auto"/>
          <w:sz w:val="24"/>
          <w:szCs w:val="24"/>
          <w:highlight w:val="none"/>
          <w:lang w:val="en-US" w:eastAsia="zh-CN"/>
        </w:rPr>
        <w:t>且</w:t>
      </w:r>
      <w:r>
        <w:rPr>
          <w:rFonts w:hint="eastAsia"/>
          <w:color w:val="auto"/>
          <w:sz w:val="24"/>
          <w:szCs w:val="24"/>
          <w:highlight w:val="none"/>
          <w:lang w:val="en-US" w:eastAsia="zh-CN"/>
        </w:rPr>
        <w:t>为已开课至少2个学期的课程，项目主持人主讲该课程2学期及以上（不含当前学期）。</w:t>
      </w:r>
    </w:p>
    <w:p w14:paraId="799A099A">
      <w:pPr>
        <w:pageBreakBefore w:val="0"/>
        <w:numPr>
          <w:ilvl w:val="0"/>
          <w:numId w:val="0"/>
        </w:numPr>
        <w:kinsoku/>
        <w:wordWrap/>
        <w:overflowPunct/>
        <w:topLinePunct w:val="0"/>
        <w:autoSpaceDE/>
        <w:autoSpaceDN/>
        <w:bidi w:val="0"/>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课程负责人应具有副教授</w:t>
      </w:r>
      <w:r>
        <w:rPr>
          <w:rFonts w:hint="eastAsia"/>
          <w:color w:val="auto"/>
          <w:sz w:val="24"/>
          <w:szCs w:val="24"/>
          <w:highlight w:val="none"/>
          <w:lang w:val="en-US" w:eastAsia="zh-CN"/>
        </w:rPr>
        <w:t>及</w:t>
      </w:r>
      <w:r>
        <w:rPr>
          <w:rFonts w:hint="eastAsia"/>
          <w:color w:val="auto"/>
          <w:sz w:val="24"/>
          <w:szCs w:val="24"/>
          <w:highlight w:val="none"/>
        </w:rPr>
        <w:t>以上职称或曾在校级及以上教学类比赛中获得过二等及以上奖励、具有讲师职称的教师担任；课程团队应由试点课程教师与思政课教师共同组建，成员3-5人。</w:t>
      </w:r>
    </w:p>
    <w:p w14:paraId="65EF963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highlight w:val="none"/>
          <w:lang w:val="en-US" w:eastAsia="zh-CN"/>
        </w:rPr>
      </w:pPr>
      <w:bookmarkStart w:id="36" w:name="_Toc26542"/>
      <w:r>
        <w:rPr>
          <w:rFonts w:hint="eastAsia"/>
          <w:color w:val="auto"/>
          <w:sz w:val="24"/>
          <w:szCs w:val="24"/>
          <w:highlight w:val="none"/>
          <w:lang w:val="en-US" w:eastAsia="zh-CN"/>
        </w:rPr>
        <w:t>3.团队教师政治立场坚定，师德师风良好。</w:t>
      </w:r>
    </w:p>
    <w:p w14:paraId="102C6FB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highlight w:val="none"/>
          <w:lang w:val="en-US" w:eastAsia="zh-CN"/>
        </w:rPr>
      </w:pPr>
      <w:r>
        <w:rPr>
          <w:rFonts w:hint="eastAsia" w:ascii="宋体" w:hAnsi="宋体" w:eastAsia="宋体" w:cs="宋体"/>
          <w:b/>
          <w:bCs/>
          <w:color w:val="auto"/>
          <w:kern w:val="0"/>
          <w:sz w:val="24"/>
          <w:szCs w:val="44"/>
          <w:highlight w:val="none"/>
          <w:lang w:val="en-US" w:eastAsia="zh-CN"/>
        </w:rPr>
        <w:t>建设周期：</w:t>
      </w:r>
      <w:r>
        <w:rPr>
          <w:rFonts w:hint="eastAsia"/>
          <w:color w:val="auto"/>
          <w:sz w:val="24"/>
          <w:szCs w:val="24"/>
          <w:highlight w:val="none"/>
          <w:lang w:val="en-US" w:eastAsia="zh-CN"/>
        </w:rPr>
        <w:t>2年</w:t>
      </w:r>
    </w:p>
    <w:p w14:paraId="55CA3623">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highlight w:val="none"/>
          <w:lang w:val="en-US" w:eastAsia="zh-CN"/>
        </w:rPr>
      </w:pPr>
      <w:r>
        <w:rPr>
          <w:rFonts w:hint="eastAsia" w:ascii="宋体" w:hAnsi="宋体" w:eastAsia="宋体" w:cs="宋体"/>
          <w:b/>
          <w:bCs/>
          <w:color w:val="auto"/>
          <w:kern w:val="0"/>
          <w:sz w:val="24"/>
          <w:szCs w:val="44"/>
          <w:highlight w:val="none"/>
          <w:lang w:val="en-US" w:eastAsia="zh-CN"/>
        </w:rPr>
        <w:t>验收标准：</w:t>
      </w:r>
    </w:p>
    <w:p w14:paraId="5A8AC93E">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highlight w:val="none"/>
          <w:lang w:val="en-US" w:eastAsia="zh-CN"/>
        </w:rPr>
        <w:t>1.制定一套体现课程思政改革思路的教学大纲、</w:t>
      </w:r>
      <w:r>
        <w:rPr>
          <w:rFonts w:hint="eastAsia"/>
          <w:color w:val="auto"/>
          <w:sz w:val="24"/>
          <w:szCs w:val="24"/>
          <w:lang w:val="en-US" w:eastAsia="zh-CN"/>
        </w:rPr>
        <w:t>教案等教学文件。</w:t>
      </w:r>
    </w:p>
    <w:p w14:paraId="7DE687F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2.针对课程建设过程中的优秀案例、言传身教的有效做法、课外关心关爱学生的活动、课程的有效设计与实施成果进行总结凝练，形成一组课程思政教学素材库，提供教学改革典型案例及体现改革成效材料。</w:t>
      </w:r>
    </w:p>
    <w:p w14:paraId="419AA6F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3.完成1节40-45分钟“示范教学视频”（主讲教师原则上为课程负责人）及教学设计详案，完成不少于3节公开课，提供相关佐证材料。</w:t>
      </w:r>
    </w:p>
    <w:p w14:paraId="6B67FDA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4.对标《高等学校课程思政建设指导纲要》、国家一流课程建设标准，根据学情分析、课程性质、授课内容和教学过程等，完成课程思政育人的教学效果评价。</w:t>
      </w:r>
    </w:p>
    <w:p w14:paraId="72866B9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17649158">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.3</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大中小课程思政一体化示范课程</w:t>
      </w:r>
      <w:bookmarkEnd w:id="36"/>
    </w:p>
    <w:p w14:paraId="2FA94D32">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建设范围：</w:t>
      </w:r>
      <w:r>
        <w:rPr>
          <w:rFonts w:hint="eastAsia"/>
          <w:color w:val="auto"/>
          <w:sz w:val="24"/>
          <w:szCs w:val="24"/>
          <w:lang w:val="en-US" w:eastAsia="zh-CN"/>
        </w:rPr>
        <w:t>课程应是大中小学校开设的，除思想政治类课程外的语文、数学、英语、物理、化学、生物、地理、历史、信息技术、美术、音乐、体育等各类学科课程。</w:t>
      </w:r>
    </w:p>
    <w:p w14:paraId="2EFC669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建设</w:t>
      </w:r>
      <w:r>
        <w:rPr>
          <w:rFonts w:hint="eastAsia" w:ascii="宋体" w:hAnsi="宋体" w:cs="宋体"/>
          <w:b/>
          <w:bCs/>
          <w:color w:val="auto"/>
          <w:kern w:val="0"/>
          <w:sz w:val="24"/>
          <w:szCs w:val="44"/>
          <w:lang w:val="en-US" w:eastAsia="zh-CN"/>
        </w:rPr>
        <w:t>目标</w:t>
      </w:r>
      <w:r>
        <w:rPr>
          <w:rFonts w:hint="eastAsia" w:ascii="宋体" w:hAnsi="宋体" w:eastAsia="宋体" w:cs="宋体"/>
          <w:b/>
          <w:bCs/>
          <w:color w:val="auto"/>
          <w:kern w:val="0"/>
          <w:sz w:val="24"/>
          <w:szCs w:val="44"/>
          <w:lang w:val="en-US" w:eastAsia="zh-CN"/>
        </w:rPr>
        <w:t>：</w:t>
      </w:r>
    </w:p>
    <w:p w14:paraId="2437E42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1.课程打破学段壁垒，围绕大中小学各学科课程的育人要求和特点，形成符合学生成长规律和学习情况，整体螺旋上升的课程思政育人目标。</w:t>
      </w:r>
    </w:p>
    <w:p w14:paraId="2BC240DA">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2.联合中小学校师资组建课程组，常态化开展“面对面”“手拉手”集体备课、磨课、研课等教学研究活动。</w:t>
      </w:r>
    </w:p>
    <w:p w14:paraId="70340972">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申报条件：</w:t>
      </w:r>
    </w:p>
    <w:p w14:paraId="1DA032C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课程施行“双负责人”制，</w:t>
      </w:r>
      <w:r>
        <w:rPr>
          <w:rFonts w:hint="eastAsia"/>
          <w:color w:val="auto"/>
          <w:sz w:val="24"/>
          <w:szCs w:val="24"/>
          <w:highlight w:val="none"/>
          <w:lang w:val="en-US" w:eastAsia="zh-CN"/>
        </w:rPr>
        <w:t>高校教师是高校课程负责人，中小学教师是中小学校课程负责人。</w:t>
      </w:r>
      <w:r>
        <w:rPr>
          <w:rFonts w:hint="eastAsia"/>
          <w:color w:val="auto"/>
          <w:sz w:val="24"/>
          <w:szCs w:val="24"/>
          <w:lang w:val="en-US" w:eastAsia="zh-CN"/>
        </w:rPr>
        <w:t>高校课程负责人原则上应具有讲师及以上职称或具有博士学位。</w:t>
      </w:r>
    </w:p>
    <w:p w14:paraId="3ECAC769">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建设周期：</w:t>
      </w:r>
      <w:r>
        <w:rPr>
          <w:rFonts w:hint="eastAsia"/>
          <w:color w:val="auto"/>
          <w:sz w:val="24"/>
          <w:szCs w:val="24"/>
          <w:lang w:val="en-US" w:eastAsia="zh-CN"/>
        </w:rPr>
        <w:t>2年</w:t>
      </w:r>
    </w:p>
    <w:p w14:paraId="5EC81E60">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ascii="宋体" w:hAnsi="宋体" w:eastAsia="宋体" w:cs="宋体"/>
          <w:b/>
          <w:bCs/>
          <w:color w:val="auto"/>
          <w:kern w:val="0"/>
          <w:sz w:val="24"/>
          <w:szCs w:val="44"/>
          <w:lang w:val="en-US" w:eastAsia="zh-CN"/>
        </w:rPr>
      </w:pPr>
      <w:r>
        <w:rPr>
          <w:rFonts w:hint="eastAsia" w:ascii="宋体" w:hAnsi="宋体" w:eastAsia="宋体" w:cs="宋体"/>
          <w:b/>
          <w:bCs/>
          <w:color w:val="auto"/>
          <w:kern w:val="0"/>
          <w:sz w:val="24"/>
          <w:szCs w:val="44"/>
          <w:lang w:val="en-US" w:eastAsia="zh-CN"/>
        </w:rPr>
        <w:t>验收标准：</w:t>
      </w:r>
    </w:p>
    <w:p w14:paraId="34ACE9D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1.制定一套体现课程思政改革思路的教学大纲、教案等教学文件。</w:t>
      </w:r>
    </w:p>
    <w:p w14:paraId="7348980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default"/>
          <w:color w:val="auto"/>
          <w:sz w:val="24"/>
          <w:szCs w:val="24"/>
          <w:lang w:val="en-US" w:eastAsia="zh-CN"/>
        </w:rPr>
        <w:t>2</w:t>
      </w:r>
      <w:r>
        <w:rPr>
          <w:rFonts w:hint="eastAsia"/>
          <w:color w:val="auto"/>
          <w:sz w:val="24"/>
          <w:szCs w:val="24"/>
          <w:lang w:val="en-US" w:eastAsia="zh-CN"/>
        </w:rPr>
        <w:t>.课程深入挖掘各学科蕴含的思政育人资源，优化课程思政内容供给，将大中小学课程思政元素融会贯通，形成课程思政优秀案例，并面向1-2个中小学示范推广</w:t>
      </w:r>
      <w:bookmarkStart w:id="37" w:name="bookmark11"/>
      <w:bookmarkEnd w:id="37"/>
      <w:r>
        <w:rPr>
          <w:rFonts w:hint="eastAsia"/>
          <w:color w:val="auto"/>
          <w:sz w:val="24"/>
          <w:szCs w:val="24"/>
          <w:lang w:val="en-US" w:eastAsia="zh-CN"/>
        </w:rPr>
        <w:t>。</w:t>
      </w:r>
    </w:p>
    <w:p w14:paraId="15FC47B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3.针对课程建设过程中的优秀案例、言传身教的有效做法、课外关心关爱学生的活动、课程的有效设计与实施成果进行总结凝练，形成一组课程思政教学素材库。</w:t>
      </w:r>
    </w:p>
    <w:p w14:paraId="7DBF5A50">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4A449F2E">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w:t>
      </w:r>
      <w:r>
        <w:rPr>
          <w:rFonts w:hint="eastAsia" w:ascii="宋体" w:hAnsi="宋体" w:cs="Times New Roman"/>
          <w:b/>
          <w:bCs/>
          <w:color w:val="auto"/>
          <w:kern w:val="2"/>
          <w:sz w:val="28"/>
          <w:szCs w:val="28"/>
          <w:lang w:val="en-US" w:eastAsia="zh-CN" w:bidi="ar-SA"/>
        </w:rPr>
        <w:t>4校级</w:t>
      </w:r>
      <w:r>
        <w:rPr>
          <w:rFonts w:hint="eastAsia" w:ascii="宋体" w:hAnsi="宋体" w:eastAsia="宋体" w:cs="Times New Roman"/>
          <w:b/>
          <w:bCs/>
          <w:color w:val="auto"/>
          <w:kern w:val="2"/>
          <w:sz w:val="28"/>
          <w:szCs w:val="28"/>
          <w:lang w:val="en-US" w:eastAsia="zh-CN" w:bidi="ar-SA"/>
        </w:rPr>
        <w:t>课程思政教学名师</w:t>
      </w:r>
    </w:p>
    <w:p w14:paraId="70FED50F">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评选范围：</w:t>
      </w:r>
      <w:r>
        <w:rPr>
          <w:rFonts w:hint="eastAsia"/>
          <w:color w:val="auto"/>
          <w:sz w:val="24"/>
          <w:szCs w:val="24"/>
          <w:lang w:val="en-US" w:eastAsia="zh-CN"/>
        </w:rPr>
        <w:t>在校承担课程教学任务的专任教师。已获得校级及以上教学名师奖的教师，不得再参加本次校级课程思政教学名师奖评选。</w:t>
      </w:r>
    </w:p>
    <w:p w14:paraId="49671BFB">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3AE386B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1.政治立场坚定，师德高尚；事业心强，富有创新协作精神；治学严谨，教风端正；诚信育人，为人师表。</w:t>
      </w:r>
    </w:p>
    <w:p w14:paraId="46AC180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2.高校教师应具有副教授及以上职称，年龄60周岁以下，且任现职2年以上，长期承担课程教学任务。近五年来，面向全日制在校生年均教学工作量不少于100学时。</w:t>
      </w:r>
    </w:p>
    <w:p w14:paraId="3E3E424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3.教学效果好，将课程思政内容有机融入所主讲的各门课程，且在全校同领域内有较大影响，并形成独特而有效的教学风格，在校内起到示范作用，学生评价和同行评价优秀。</w:t>
      </w:r>
    </w:p>
    <w:p w14:paraId="3406599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因材施教，方法灵活。课程讲授能激发学生的学习兴趣，促进学生积极思维和调动学生潜在的能力，给学生以深刻的创新熏陶；积极开展课程思政教学方法的研究与应用，科学、有效使用现代教育技术，效果好，有自己研制的多媒体课件；注重引导学生自主学习。</w:t>
      </w:r>
    </w:p>
    <w:p w14:paraId="08920CD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5.教学研究能力突出。参评教师应主持过校级及以上质量工程项目，在教学内容、教学方法改革方面取得突出成绩，作出重要贡献，发表过高质量的教研论文或出版具有一定影响的教研专著。</w:t>
      </w:r>
    </w:p>
    <w:p w14:paraId="600B334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6.注重教学梯队建设。自觉指导和帮助中青年教师不断提高授课水平，重视教学队伍建设，作为教学团队建设重要参与者对建设结构合理的教学梯队、形成本校该领域教学成就作出重要贡献。</w:t>
      </w:r>
    </w:p>
    <w:p w14:paraId="1B149E6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2066264D">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w:t>
      </w:r>
      <w:r>
        <w:rPr>
          <w:rFonts w:hint="eastAsia" w:ascii="宋体" w:hAnsi="宋体" w:cs="Times New Roman"/>
          <w:b/>
          <w:bCs/>
          <w:color w:val="auto"/>
          <w:kern w:val="2"/>
          <w:sz w:val="28"/>
          <w:szCs w:val="28"/>
          <w:lang w:val="en-US" w:eastAsia="zh-CN" w:bidi="ar-SA"/>
        </w:rPr>
        <w:t>5校级</w:t>
      </w:r>
      <w:r>
        <w:rPr>
          <w:rFonts w:hint="eastAsia" w:ascii="宋体" w:hAnsi="宋体" w:eastAsia="宋体" w:cs="Times New Roman"/>
          <w:b/>
          <w:bCs/>
          <w:color w:val="auto"/>
          <w:kern w:val="2"/>
          <w:sz w:val="28"/>
          <w:szCs w:val="28"/>
          <w:lang w:val="en-US" w:eastAsia="zh-CN" w:bidi="ar-SA"/>
        </w:rPr>
        <w:t>课程思政教学团队</w:t>
      </w:r>
    </w:p>
    <w:p w14:paraId="760FD91E">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建设目标：</w:t>
      </w:r>
      <w:r>
        <w:rPr>
          <w:rFonts w:hint="eastAsia"/>
          <w:color w:val="auto"/>
          <w:sz w:val="24"/>
          <w:szCs w:val="24"/>
          <w:lang w:val="en-US" w:eastAsia="zh-CN"/>
        </w:rPr>
        <w:t>通过建立有效的课程思政建设团队合作机制，促进课程思政教师间的合作交流，加强对青年教师的培养，推进教学工作的老中青相结合。通过队伍建设，积极促进课程思政教育教学经验交流，推动教学内容、方法的改革研究，拓展教学资源，切实提高立德树人工作成效。</w:t>
      </w:r>
    </w:p>
    <w:p w14:paraId="4B2408F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建设内容：</w:t>
      </w:r>
      <w:r>
        <w:rPr>
          <w:rFonts w:hint="eastAsia"/>
          <w:color w:val="auto"/>
          <w:sz w:val="24"/>
          <w:szCs w:val="24"/>
          <w:lang w:val="en-US" w:eastAsia="zh-CN"/>
        </w:rPr>
        <w:t>根据学科专业特征，建立知识结构完善，老中青搭配合理、教学效果明显、在师资队伍建设方面起到示范作用的校级教学团队，资助团队开展教学研究，编辑出版课程思政教学案例和教研成果，培养青年教师，接受教师进修。把促进学科交叉作为创新人才培养的重要途径，鼓励高校组建跨专业、跨学科、跨学院教学团队，整合教学资源，积极探索新型教学模式。</w:t>
      </w:r>
    </w:p>
    <w:p w14:paraId="1BC21D87">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645C2EB9">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团队及组成。根据专业、课程群建设等情况，以教研室、研究所、实验室、教学基地、实训基地和工程中心等为建设单位，以系列课程或专业为建设平台，在课程思政教育教学改革与实践中形成团队，具有明确的发展目标、良好的合作精神和梯队结构，老中青搭配，职称和知识结构合理，在指导和激励中青年教师提高专业素质和业务水平方面成效显著。</w:t>
      </w:r>
    </w:p>
    <w:p w14:paraId="3C7B6A67">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带头人。应为副教授及以上职称的专家，具有较深的学术造诣和创新性学术思想；坚持在教学第一线为在校生授课。品德高尚，治学严谨，具有团结、协作精神和较好的组织、管理和领导能力。一名专家只能担任一个校级教学团队的带头人。</w:t>
      </w:r>
    </w:p>
    <w:p w14:paraId="36C47A51">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教学工作。了解高校课程思政建设现状、特点和规律，及时更新教学内容。教学方法科学，教学手段先进，引导学生进行研究性学习和创新性实践，培养学生发现、分析和解决问题的兴趣和能力。具有强烈的质量意识和有效的教学质量管理措施，教学效果好，团队无教学事故。</w:t>
      </w:r>
    </w:p>
    <w:p w14:paraId="53A6937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4.教学研究。积极参加教学改革与创新，团队中有成员主持过教学改革研究、一流专业、精品课程等校级及以上质量工程项目，或者获得过校级及以上教学成果奖励。</w:t>
      </w:r>
    </w:p>
    <w:p w14:paraId="0DEA137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5.已在校级质量工程立项的教学团队不得再申报此项目。</w:t>
      </w:r>
    </w:p>
    <w:p w14:paraId="6EE00AF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ascii="宋体" w:hAnsi="宋体" w:eastAsia="宋体" w:cs="宋体"/>
          <w:b/>
          <w:bCs/>
          <w:color w:val="auto"/>
          <w:kern w:val="0"/>
          <w:sz w:val="24"/>
          <w:szCs w:val="44"/>
          <w:lang w:val="en-US" w:eastAsia="zh-CN"/>
        </w:rPr>
        <w:t>建设周期：</w:t>
      </w:r>
      <w:r>
        <w:rPr>
          <w:rFonts w:hint="eastAsia"/>
          <w:color w:val="auto"/>
          <w:sz w:val="24"/>
          <w:szCs w:val="24"/>
          <w:lang w:val="en-US" w:eastAsia="zh-CN"/>
        </w:rPr>
        <w:t>2年</w:t>
      </w:r>
    </w:p>
    <w:p w14:paraId="78C81A06">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4CD0E709">
      <w:pPr>
        <w:pageBreakBefore w:val="0"/>
        <w:widowControl w:val="0"/>
        <w:kinsoku/>
        <w:wordWrap/>
        <w:overflowPunct/>
        <w:topLinePunct w:val="0"/>
        <w:autoSpaceDE/>
        <w:autoSpaceDN/>
        <w:bidi w:val="0"/>
        <w:snapToGrid/>
        <w:spacing w:line="360" w:lineRule="auto"/>
        <w:ind w:firstLine="562" w:firstLineChars="200"/>
        <w:jc w:val="both"/>
        <w:textAlignment w:val="auto"/>
        <w:outlineLvl w:val="0"/>
        <w:rPr>
          <w:rFonts w:hint="eastAsia" w:ascii="宋体" w:hAnsi="宋体" w:eastAsia="宋体" w:cs="Times New Roman"/>
          <w:b/>
          <w:bCs/>
          <w:color w:val="auto"/>
          <w:kern w:val="2"/>
          <w:sz w:val="28"/>
          <w:szCs w:val="28"/>
          <w:lang w:val="en-US" w:eastAsia="zh-CN" w:bidi="ar-SA"/>
        </w:rPr>
      </w:pPr>
      <w:r>
        <w:rPr>
          <w:rFonts w:hint="eastAsia" w:ascii="宋体" w:hAnsi="宋体" w:cs="Times New Roman"/>
          <w:b/>
          <w:bCs/>
          <w:color w:val="auto"/>
          <w:kern w:val="2"/>
          <w:sz w:val="28"/>
          <w:szCs w:val="28"/>
          <w:lang w:val="en-US" w:eastAsia="zh-CN" w:bidi="ar-SA"/>
        </w:rPr>
        <w:t>3</w:t>
      </w:r>
      <w:r>
        <w:rPr>
          <w:rFonts w:hint="eastAsia" w:ascii="宋体" w:hAnsi="宋体" w:eastAsia="宋体" w:cs="Times New Roman"/>
          <w:b/>
          <w:bCs/>
          <w:color w:val="auto"/>
          <w:kern w:val="2"/>
          <w:sz w:val="28"/>
          <w:szCs w:val="28"/>
          <w:lang w:val="en-US" w:eastAsia="zh-CN" w:bidi="ar-SA"/>
        </w:rPr>
        <w:t>.6</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课程思政</w:t>
      </w:r>
      <w:r>
        <w:rPr>
          <w:rFonts w:hint="eastAsia" w:ascii="宋体" w:hAnsi="宋体" w:cs="Times New Roman"/>
          <w:b/>
          <w:bCs/>
          <w:color w:val="auto"/>
          <w:kern w:val="2"/>
          <w:sz w:val="28"/>
          <w:szCs w:val="28"/>
          <w:lang w:val="en-US" w:eastAsia="zh-CN" w:bidi="ar-SA"/>
        </w:rPr>
        <w:t>建设示范</w:t>
      </w:r>
      <w:r>
        <w:rPr>
          <w:rFonts w:hint="eastAsia" w:ascii="宋体" w:hAnsi="宋体" w:eastAsia="宋体" w:cs="Times New Roman"/>
          <w:b/>
          <w:bCs/>
          <w:color w:val="auto"/>
          <w:kern w:val="2"/>
          <w:sz w:val="28"/>
          <w:szCs w:val="28"/>
          <w:lang w:val="en-US" w:eastAsia="zh-CN" w:bidi="ar-SA"/>
        </w:rPr>
        <w:t>中心</w:t>
      </w:r>
    </w:p>
    <w:p w14:paraId="51DE7F69">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建设目标：</w:t>
      </w:r>
      <w:r>
        <w:rPr>
          <w:rFonts w:hint="eastAsia"/>
          <w:color w:val="auto"/>
          <w:sz w:val="24"/>
          <w:szCs w:val="24"/>
          <w:lang w:val="en-US" w:eastAsia="zh-CN"/>
        </w:rPr>
        <w:t>坚持以习近平新时代中国特色社会主义思想为指导，以课程思政研究中心建设为抓手，进一步推进课程思政教学改革，创新大学生思想政治教育，鼓励全校教师深入挖掘各类专业课程的思想政治元素，在课程教学中融合传播习近平新时代中国特色社会主义思想、社会主义核心价值观和中华民族优秀文化传统等正能量知识，实现各类课程与思想政治理论课同向同行、协同共建，形成全员育人、全过程育人和全方位育人格局，着力提升高校人才培养能力。</w:t>
      </w:r>
    </w:p>
    <w:p w14:paraId="49E376C4">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申报范围：</w:t>
      </w:r>
      <w:r>
        <w:rPr>
          <w:rFonts w:hint="eastAsia"/>
          <w:color w:val="auto"/>
          <w:sz w:val="24"/>
          <w:szCs w:val="24"/>
          <w:lang w:val="en-US" w:eastAsia="zh-CN"/>
        </w:rPr>
        <w:t>所有已切实开展课程思政研究且已取得良好的成效的研究中心均可申报。学校将组织专家进行严格评审，择优立项。</w:t>
      </w:r>
    </w:p>
    <w:p w14:paraId="68DF3228">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申报条件：</w:t>
      </w:r>
    </w:p>
    <w:p w14:paraId="4C8A607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1.形成高校教师贯彻课程思政理念并付诸教学过程新局面。</w:t>
      </w:r>
    </w:p>
    <w:p w14:paraId="18C1AB3C">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2.拥有一批专业特色鲜明、专业知识与思政元素深度融合的金课。</w:t>
      </w:r>
    </w:p>
    <w:p w14:paraId="08F0EFB8">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3.拥有一批师德高尚、教学能力突出的教学名师和教学团队。</w:t>
      </w:r>
    </w:p>
    <w:p w14:paraId="1B64AE3E">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4.建立了一套科学有效的课程思政建设和评价体系。</w:t>
      </w:r>
    </w:p>
    <w:p w14:paraId="763D0B30">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r>
        <w:rPr>
          <w:rFonts w:hint="eastAsia"/>
          <w:color w:val="auto"/>
          <w:sz w:val="24"/>
          <w:szCs w:val="24"/>
          <w:lang w:val="en-US" w:eastAsia="zh-CN"/>
        </w:rPr>
        <w:t>5.建成一个辐射区域高校的课程思政示范研究中心。</w:t>
      </w:r>
    </w:p>
    <w:p w14:paraId="537C40D6">
      <w:pPr>
        <w:pageBreakBefore w:val="0"/>
        <w:widowControl/>
        <w:numPr>
          <w:ilvl w:val="0"/>
          <w:numId w:val="0"/>
        </w:numPr>
        <w:kinsoku/>
        <w:wordWrap/>
        <w:overflowPunct/>
        <w:topLinePunct w:val="0"/>
        <w:autoSpaceDE/>
        <w:autoSpaceDN/>
        <w:bidi w:val="0"/>
        <w:adjustRightInd w:val="0"/>
        <w:snapToGrid/>
        <w:spacing w:line="360" w:lineRule="auto"/>
        <w:ind w:left="0" w:leftChars="0" w:firstLine="482" w:firstLineChars="200"/>
        <w:textAlignment w:val="auto"/>
        <w:rPr>
          <w:rFonts w:hint="eastAsia"/>
          <w:color w:val="auto"/>
          <w:sz w:val="24"/>
          <w:szCs w:val="24"/>
          <w:lang w:val="en-US" w:eastAsia="zh-CN"/>
        </w:rPr>
      </w:pPr>
      <w:r>
        <w:rPr>
          <w:rFonts w:hint="eastAsia"/>
          <w:b/>
          <w:bCs/>
          <w:color w:val="auto"/>
          <w:sz w:val="24"/>
          <w:szCs w:val="24"/>
          <w:lang w:val="en-US" w:eastAsia="zh-CN"/>
        </w:rPr>
        <w:t>建设周期：</w:t>
      </w:r>
      <w:r>
        <w:rPr>
          <w:rFonts w:hint="eastAsia"/>
          <w:color w:val="auto"/>
          <w:sz w:val="24"/>
          <w:szCs w:val="24"/>
          <w:lang w:val="en-US" w:eastAsia="zh-CN"/>
        </w:rPr>
        <w:t>2年。</w:t>
      </w:r>
    </w:p>
    <w:p w14:paraId="5DF305FB">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color w:val="auto"/>
          <w:sz w:val="24"/>
          <w:szCs w:val="24"/>
          <w:lang w:val="en-US" w:eastAsia="zh-CN"/>
        </w:rPr>
      </w:pPr>
    </w:p>
    <w:p w14:paraId="1F5C8A5F">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655252D1">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46CF9835">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lang w:val="en-US" w:eastAsia="zh-CN"/>
        </w:rPr>
      </w:pPr>
    </w:p>
    <w:p w14:paraId="5B12C1F6">
      <w:pPr>
        <w:pStyle w:val="2"/>
        <w:pageBreakBefore w:val="0"/>
        <w:kinsoku/>
        <w:wordWrap/>
        <w:overflowPunct/>
        <w:topLinePunct w:val="0"/>
        <w:autoSpaceDE/>
        <w:autoSpaceDN/>
        <w:bidi w:val="0"/>
        <w:snapToGrid/>
        <w:spacing w:line="360" w:lineRule="auto"/>
        <w:textAlignment w:val="auto"/>
        <w:rPr>
          <w:rFonts w:hint="eastAsia" w:ascii="仿宋" w:hAnsi="仿宋" w:eastAsia="仿宋"/>
          <w:b/>
          <w:color w:val="auto"/>
          <w:kern w:val="0"/>
          <w:sz w:val="36"/>
          <w:szCs w:val="36"/>
        </w:rPr>
      </w:pPr>
      <w:r>
        <w:rPr>
          <w:rFonts w:hint="eastAsia" w:ascii="仿宋" w:hAnsi="仿宋" w:eastAsia="仿宋"/>
          <w:b/>
          <w:color w:val="auto"/>
          <w:kern w:val="0"/>
          <w:sz w:val="36"/>
          <w:szCs w:val="36"/>
          <w:lang w:val="en-US" w:eastAsia="zh-CN"/>
        </w:rPr>
        <w:t>4</w:t>
      </w:r>
      <w:r>
        <w:rPr>
          <w:rFonts w:hint="eastAsia" w:ascii="仿宋" w:hAnsi="仿宋" w:eastAsia="仿宋"/>
          <w:b/>
          <w:color w:val="auto"/>
          <w:kern w:val="0"/>
          <w:sz w:val="36"/>
          <w:szCs w:val="36"/>
        </w:rPr>
        <w:tab/>
      </w:r>
      <w:r>
        <w:rPr>
          <w:rFonts w:hint="eastAsia" w:ascii="仿宋" w:hAnsi="仿宋" w:eastAsia="仿宋"/>
          <w:b/>
          <w:color w:val="auto"/>
          <w:kern w:val="0"/>
          <w:sz w:val="36"/>
          <w:szCs w:val="36"/>
          <w:lang w:val="en-US" w:eastAsia="zh-CN"/>
        </w:rPr>
        <w:t>校级</w:t>
      </w:r>
      <w:r>
        <w:rPr>
          <w:rFonts w:hint="eastAsia" w:ascii="仿宋" w:hAnsi="仿宋" w:eastAsia="仿宋"/>
          <w:b/>
          <w:color w:val="auto"/>
          <w:kern w:val="0"/>
          <w:sz w:val="36"/>
          <w:szCs w:val="36"/>
        </w:rPr>
        <w:t>师资队伍建设类</w:t>
      </w:r>
    </w:p>
    <w:p w14:paraId="39FDA65D">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bookmarkStart w:id="38" w:name="_Toc147652337"/>
      <w:bookmarkStart w:id="39" w:name="_Toc31587"/>
      <w:bookmarkStart w:id="40" w:name="_Toc117584315"/>
      <w:bookmarkStart w:id="41" w:name="_Toc4273"/>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.1</w:t>
      </w:r>
      <w:bookmarkEnd w:id="38"/>
      <w:bookmarkEnd w:id="39"/>
      <w:bookmarkEnd w:id="40"/>
      <w:bookmarkEnd w:id="41"/>
      <w:bookmarkStart w:id="42" w:name="_Toc29923"/>
      <w:bookmarkStart w:id="43" w:name="_Toc19790"/>
      <w:bookmarkStart w:id="44" w:name="_Toc25051"/>
      <w:bookmarkStart w:id="45" w:name="_Toc30305"/>
      <w:bookmarkStart w:id="46" w:name="_Toc49108514"/>
      <w:bookmarkStart w:id="47" w:name="_Toc28249"/>
      <w:bookmarkStart w:id="48" w:name="_Toc22368"/>
      <w:bookmarkStart w:id="49" w:name="_Toc7395"/>
      <w:bookmarkStart w:id="50" w:name="_Toc8343"/>
      <w:bookmarkStart w:id="51" w:name="_Toc147652338"/>
      <w:bookmarkStart w:id="52" w:name="_Toc117584316"/>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跨学科教学</w:t>
      </w:r>
      <w:r>
        <w:rPr>
          <w:rFonts w:hint="eastAsia" w:ascii="宋体" w:hAnsi="宋体" w:cs="Times New Roman"/>
          <w:b/>
          <w:bCs/>
          <w:color w:val="auto"/>
          <w:kern w:val="2"/>
          <w:sz w:val="28"/>
          <w:szCs w:val="28"/>
          <w:lang w:val="en-US" w:eastAsia="zh-CN" w:bidi="ar-SA"/>
        </w:rPr>
        <w:t>创新</w:t>
      </w:r>
      <w:r>
        <w:rPr>
          <w:rFonts w:hint="eastAsia" w:ascii="宋体" w:hAnsi="宋体" w:eastAsia="宋体" w:cs="Times New Roman"/>
          <w:b/>
          <w:bCs/>
          <w:color w:val="auto"/>
          <w:kern w:val="2"/>
          <w:sz w:val="28"/>
          <w:szCs w:val="28"/>
          <w:lang w:val="en-US" w:eastAsia="zh-CN" w:bidi="ar-SA"/>
        </w:rPr>
        <w:t>团队</w:t>
      </w:r>
    </w:p>
    <w:p w14:paraId="2E15A1B4">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建设目标：积极响应国家“人工智能+教育”战略，推动学科交叉融合</w:t>
      </w:r>
      <w:r>
        <w:rPr>
          <w:rFonts w:hint="eastAsia" w:ascii="宋体" w:hAnsi="宋体" w:cs="Times New Roman"/>
          <w:b w:val="0"/>
          <w:bCs w:val="0"/>
          <w:color w:val="auto"/>
          <w:kern w:val="2"/>
          <w:sz w:val="24"/>
          <w:szCs w:val="24"/>
          <w:lang w:val="en-US" w:eastAsia="zh-CN" w:bidi="ar-SA"/>
        </w:rPr>
        <w:t>，通过</w:t>
      </w:r>
      <w:r>
        <w:rPr>
          <w:rFonts w:hint="eastAsia" w:ascii="宋体" w:hAnsi="宋体" w:eastAsia="宋体" w:cs="Times New Roman"/>
          <w:b w:val="0"/>
          <w:bCs w:val="0"/>
          <w:color w:val="auto"/>
          <w:kern w:val="2"/>
          <w:sz w:val="24"/>
          <w:szCs w:val="24"/>
          <w:lang w:val="en-US" w:eastAsia="zh-CN" w:bidi="ar-SA"/>
        </w:rPr>
        <w:t>AI技术与传统学科的深度融合，促进教学研讨和经验交流，推动教学内容、方法的改革与创新，开发和共享教学资源，鼓励组建跨专业、跨学科、跨学院教学创新团队，打造一批</w:t>
      </w:r>
      <w:r>
        <w:rPr>
          <w:rFonts w:hint="eastAsia" w:ascii="宋体" w:hAnsi="宋体" w:cs="Times New Roman"/>
          <w:b w:val="0"/>
          <w:bCs w:val="0"/>
          <w:color w:val="auto"/>
          <w:kern w:val="2"/>
          <w:sz w:val="24"/>
          <w:szCs w:val="24"/>
          <w:lang w:val="en-US" w:eastAsia="zh-CN" w:bidi="ar-SA"/>
        </w:rPr>
        <w:t>高水平学科交叉融合团队</w:t>
      </w:r>
      <w:r>
        <w:rPr>
          <w:rFonts w:hint="eastAsia" w:ascii="宋体" w:hAnsi="宋体" w:eastAsia="宋体" w:cs="Times New Roman"/>
          <w:b w:val="0"/>
          <w:bCs w:val="0"/>
          <w:color w:val="auto"/>
          <w:kern w:val="2"/>
          <w:sz w:val="24"/>
          <w:szCs w:val="24"/>
          <w:lang w:val="en-US" w:eastAsia="zh-CN" w:bidi="ar-SA"/>
        </w:rPr>
        <w:t>，培养复合型创新人才</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提高教育教学质量。</w:t>
      </w:r>
    </w:p>
    <w:p w14:paraId="79BEC2D0">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申报条件：</w:t>
      </w:r>
    </w:p>
    <w:p w14:paraId="024AFAB3">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1.团队结构</w:t>
      </w:r>
      <w:r>
        <w:rPr>
          <w:rFonts w:hint="eastAsia" w:ascii="宋体" w:hAnsi="宋体" w:eastAsia="宋体" w:cs="Times New Roman"/>
          <w:b w:val="0"/>
          <w:bCs w:val="0"/>
          <w:color w:val="auto"/>
          <w:kern w:val="2"/>
          <w:sz w:val="24"/>
          <w:szCs w:val="24"/>
          <w:lang w:val="en-US" w:eastAsia="zh-CN" w:bidi="ar-SA"/>
        </w:rPr>
        <w:t>。</w:t>
      </w:r>
      <w:r>
        <w:rPr>
          <w:rFonts w:hint="eastAsia" w:ascii="宋体" w:hAnsi="宋体" w:cs="Times New Roman"/>
          <w:b w:val="0"/>
          <w:bCs w:val="0"/>
          <w:color w:val="auto"/>
          <w:kern w:val="2"/>
          <w:sz w:val="24"/>
          <w:szCs w:val="24"/>
          <w:lang w:val="en-US" w:eastAsia="zh-CN" w:bidi="ar-SA"/>
        </w:rPr>
        <w:t>团队负责人</w:t>
      </w:r>
      <w:r>
        <w:rPr>
          <w:rFonts w:hint="eastAsia" w:ascii="宋体" w:hAnsi="宋体" w:eastAsia="宋体" w:cs="Times New Roman"/>
          <w:b w:val="0"/>
          <w:bCs w:val="0"/>
          <w:color w:val="auto"/>
          <w:kern w:val="2"/>
          <w:sz w:val="24"/>
          <w:szCs w:val="24"/>
          <w:lang w:val="en-US" w:eastAsia="zh-CN" w:bidi="ar-SA"/>
        </w:rPr>
        <w:t>应为</w:t>
      </w:r>
      <w:r>
        <w:rPr>
          <w:rFonts w:hint="eastAsia" w:ascii="宋体" w:hAnsi="宋体" w:eastAsia="宋体" w:cs="Times New Roman"/>
          <w:b w:val="0"/>
          <w:bCs w:val="0"/>
          <w:color w:val="auto"/>
          <w:kern w:val="2"/>
          <w:sz w:val="24"/>
          <w:szCs w:val="24"/>
          <w:highlight w:val="none"/>
          <w:lang w:val="en-US" w:eastAsia="zh-CN" w:bidi="ar-SA"/>
        </w:rPr>
        <w:t>省级及以上教学名师或本学科（专业）具有教授职称的专家，</w:t>
      </w:r>
      <w:r>
        <w:rPr>
          <w:rFonts w:hint="eastAsia" w:ascii="宋体" w:hAnsi="宋体" w:eastAsia="宋体" w:cs="Times New Roman"/>
          <w:b w:val="0"/>
          <w:bCs w:val="0"/>
          <w:color w:val="auto"/>
          <w:kern w:val="2"/>
          <w:sz w:val="24"/>
          <w:szCs w:val="24"/>
          <w:lang w:val="en-US" w:eastAsia="zh-CN" w:bidi="ar-SA"/>
        </w:rPr>
        <w:t>坚持在教学第一线为本科生授课。</w:t>
      </w:r>
      <w:r>
        <w:rPr>
          <w:rFonts w:hint="eastAsia" w:ascii="宋体" w:hAnsi="宋体" w:eastAsia="宋体" w:cs="Times New Roman"/>
          <w:b w:val="0"/>
          <w:bCs w:val="0"/>
          <w:color w:val="auto"/>
          <w:kern w:val="2"/>
          <w:sz w:val="24"/>
          <w:szCs w:val="24"/>
          <w:u w:val="none"/>
          <w:lang w:val="en-US" w:eastAsia="zh-CN" w:bidi="ar-SA"/>
        </w:rPr>
        <w:t>一名教师只能担任一个教学团队的带头人</w:t>
      </w:r>
      <w:r>
        <w:rPr>
          <w:rFonts w:hint="eastAsia" w:ascii="宋体" w:hAnsi="宋体" w:cs="Times New Roman"/>
          <w:b w:val="0"/>
          <w:bCs w:val="0"/>
          <w:color w:val="auto"/>
          <w:kern w:val="2"/>
          <w:sz w:val="24"/>
          <w:szCs w:val="24"/>
          <w:u w:val="none"/>
          <w:lang w:val="en-US" w:eastAsia="zh-CN" w:bidi="ar-SA"/>
        </w:rPr>
        <w:t>。</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团队</w:t>
      </w:r>
      <w:r>
        <w:rPr>
          <w:rFonts w:hint="eastAsia" w:ascii="宋体" w:hAnsi="宋体" w:cs="Times New Roman"/>
          <w:b w:val="0"/>
          <w:bCs w:val="0"/>
          <w:color w:val="auto"/>
          <w:kern w:val="2"/>
          <w:sz w:val="24"/>
          <w:szCs w:val="24"/>
          <w:lang w:val="en-US" w:eastAsia="zh-CN" w:bidi="ar-SA"/>
        </w:rPr>
        <w:t>成员需由跨学科专业教师组成</w:t>
      </w:r>
      <w:r>
        <w:rPr>
          <w:rFonts w:hint="eastAsia" w:ascii="宋体" w:hAnsi="宋体" w:eastAsia="宋体" w:cs="Times New Roman"/>
          <w:b w:val="0"/>
          <w:bCs w:val="0"/>
          <w:color w:val="auto"/>
          <w:kern w:val="2"/>
          <w:sz w:val="24"/>
          <w:szCs w:val="24"/>
          <w:lang w:val="en-US" w:eastAsia="zh-CN" w:bidi="ar-SA"/>
        </w:rPr>
        <w:t>，</w:t>
      </w:r>
      <w:r>
        <w:rPr>
          <w:rFonts w:hint="eastAsia" w:ascii="宋体" w:hAnsi="宋体" w:cs="Times New Roman"/>
          <w:b w:val="0"/>
          <w:bCs w:val="0"/>
          <w:color w:val="auto"/>
          <w:kern w:val="2"/>
          <w:sz w:val="24"/>
          <w:szCs w:val="24"/>
          <w:lang w:val="en-US" w:eastAsia="zh-CN" w:bidi="ar-SA"/>
        </w:rPr>
        <w:t>需包含AI技术专家、学科教学骨干等，人工智能专业或计算机专业教师成员占比≥30%。</w:t>
      </w:r>
    </w:p>
    <w:p w14:paraId="257E1F5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w:t>
      </w:r>
      <w:r>
        <w:rPr>
          <w:rFonts w:hint="eastAsia" w:ascii="宋体" w:hAnsi="宋体" w:eastAsia="宋体" w:cs="Times New Roman"/>
          <w:b w:val="0"/>
          <w:bCs w:val="0"/>
          <w:color w:val="auto"/>
          <w:kern w:val="2"/>
          <w:sz w:val="24"/>
          <w:szCs w:val="24"/>
          <w:lang w:val="en-US" w:eastAsia="zh-CN" w:bidi="ar-SA"/>
        </w:rPr>
        <w:t>.教学工作。了解学科专业、行业现状，追踪学科专业前沿，及时更新教学内容。教学方法科学，教学手段先进，重视实验实践教学，以学生为中心，引导学生进行研究性学习和创新性实践，培养学生发现、分析和解决问题的兴趣和能力。在教学工作中有强烈的质量意识，具有完整、有效、可持续改进的教学质量管理措施，教学效果好。团队成员无教学事故</w:t>
      </w:r>
      <w:r>
        <w:rPr>
          <w:rFonts w:hint="eastAsia" w:ascii="宋体" w:hAnsi="宋体" w:cs="Times New Roman"/>
          <w:b w:val="0"/>
          <w:bCs w:val="0"/>
          <w:color w:val="auto"/>
          <w:kern w:val="2"/>
          <w:sz w:val="24"/>
          <w:szCs w:val="24"/>
          <w:lang w:val="en-US" w:eastAsia="zh-CN" w:bidi="ar-SA"/>
        </w:rPr>
        <w:t>。</w:t>
      </w:r>
    </w:p>
    <w:p w14:paraId="39F1780D">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u w:val="none"/>
          <w:lang w:val="en-US" w:eastAsia="zh-CN" w:bidi="ar-SA"/>
        </w:rPr>
      </w:pPr>
      <w:r>
        <w:rPr>
          <w:rFonts w:hint="eastAsia" w:ascii="宋体" w:hAnsi="宋体" w:eastAsia="宋体" w:cs="Times New Roman"/>
          <w:b w:val="0"/>
          <w:bCs w:val="0"/>
          <w:color w:val="auto"/>
          <w:kern w:val="2"/>
          <w:sz w:val="24"/>
          <w:szCs w:val="24"/>
          <w:lang w:val="en-US" w:eastAsia="zh-CN" w:bidi="ar-SA"/>
        </w:rPr>
        <w:t>4.教学研究。积极参加教学改革与创新，团队中有成员</w:t>
      </w:r>
      <w:r>
        <w:rPr>
          <w:rFonts w:hint="eastAsia" w:ascii="宋体" w:hAnsi="宋体" w:eastAsia="宋体" w:cs="Times New Roman"/>
          <w:b w:val="0"/>
          <w:bCs w:val="0"/>
          <w:color w:val="auto"/>
          <w:kern w:val="2"/>
          <w:sz w:val="24"/>
          <w:szCs w:val="24"/>
          <w:u w:val="none"/>
          <w:lang w:val="en-US" w:eastAsia="zh-CN" w:bidi="ar-SA"/>
        </w:rPr>
        <w:t>主持过教学改革研究、综合改革试点专业、品牌专业、课程类建设等省级及以上质量工程项目；获得过省级</w:t>
      </w:r>
      <w:r>
        <w:rPr>
          <w:rFonts w:hint="eastAsia" w:ascii="宋体" w:hAnsi="宋体" w:cs="Times New Roman"/>
          <w:b w:val="0"/>
          <w:bCs w:val="0"/>
          <w:color w:val="auto"/>
          <w:kern w:val="2"/>
          <w:sz w:val="24"/>
          <w:szCs w:val="24"/>
          <w:u w:val="none"/>
          <w:lang w:val="en-US" w:eastAsia="zh-CN" w:bidi="ar-SA"/>
        </w:rPr>
        <w:t>及</w:t>
      </w:r>
      <w:r>
        <w:rPr>
          <w:rFonts w:hint="eastAsia" w:ascii="宋体" w:hAnsi="宋体" w:eastAsia="宋体" w:cs="Times New Roman"/>
          <w:b w:val="0"/>
          <w:bCs w:val="0"/>
          <w:color w:val="auto"/>
          <w:kern w:val="2"/>
          <w:sz w:val="24"/>
          <w:szCs w:val="24"/>
          <w:u w:val="none"/>
          <w:lang w:val="en-US" w:eastAsia="zh-CN" w:bidi="ar-SA"/>
        </w:rPr>
        <w:t>以上教学成果奖或教学竞赛类奖励</w:t>
      </w:r>
      <w:r>
        <w:rPr>
          <w:rFonts w:hint="eastAsia" w:ascii="宋体" w:hAnsi="宋体" w:cs="Times New Roman"/>
          <w:b w:val="0"/>
          <w:bCs w:val="0"/>
          <w:color w:val="auto"/>
          <w:kern w:val="2"/>
          <w:sz w:val="24"/>
          <w:szCs w:val="24"/>
          <w:u w:val="none"/>
          <w:lang w:val="en-US" w:eastAsia="zh-CN" w:bidi="ar-SA"/>
        </w:rPr>
        <w:t>。</w:t>
      </w:r>
    </w:p>
    <w:p w14:paraId="461DF8A8">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5.教材建设。重视教材研究和教材建设，团队有成员承担过</w:t>
      </w:r>
      <w:r>
        <w:rPr>
          <w:rFonts w:hint="eastAsia" w:ascii="宋体" w:hAnsi="宋体" w:cs="Times New Roman"/>
          <w:b w:val="0"/>
          <w:bCs w:val="0"/>
          <w:color w:val="auto"/>
          <w:kern w:val="2"/>
          <w:sz w:val="24"/>
          <w:szCs w:val="24"/>
          <w:lang w:val="en-US" w:eastAsia="zh-CN" w:bidi="ar-SA"/>
        </w:rPr>
        <w:t>校级及以上</w:t>
      </w:r>
      <w:r>
        <w:rPr>
          <w:rFonts w:hint="eastAsia" w:ascii="宋体" w:hAnsi="宋体" w:eastAsia="宋体" w:cs="Times New Roman"/>
          <w:b w:val="0"/>
          <w:bCs w:val="0"/>
          <w:color w:val="auto"/>
          <w:kern w:val="2"/>
          <w:sz w:val="24"/>
          <w:szCs w:val="24"/>
          <w:lang w:val="en-US" w:eastAsia="zh-CN" w:bidi="ar-SA"/>
        </w:rPr>
        <w:t>规划教材编写任务，教材使用效果良好</w:t>
      </w:r>
      <w:r>
        <w:rPr>
          <w:rFonts w:hint="eastAsia" w:ascii="宋体" w:hAnsi="宋体" w:cs="Times New Roman"/>
          <w:b w:val="0"/>
          <w:bCs w:val="0"/>
          <w:color w:val="auto"/>
          <w:kern w:val="2"/>
          <w:sz w:val="24"/>
          <w:szCs w:val="24"/>
          <w:lang w:val="en-US" w:eastAsia="zh-CN" w:bidi="ar-SA"/>
        </w:rPr>
        <w:t>。</w:t>
      </w:r>
    </w:p>
    <w:p w14:paraId="2FDFC1A7">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建设周期：</w:t>
      </w:r>
      <w:r>
        <w:rPr>
          <w:rFonts w:hint="eastAsia" w:ascii="宋体" w:hAnsi="宋体" w:cs="Times New Roman"/>
          <w:b w:val="0"/>
          <w:bCs w:val="0"/>
          <w:color w:val="auto"/>
          <w:kern w:val="2"/>
          <w:sz w:val="24"/>
          <w:szCs w:val="24"/>
          <w:highlight w:val="none"/>
          <w:lang w:val="en-US" w:eastAsia="zh-CN" w:bidi="ar-SA"/>
        </w:rPr>
        <w:t>2</w:t>
      </w:r>
      <w:r>
        <w:rPr>
          <w:rFonts w:hint="eastAsia" w:ascii="宋体" w:hAnsi="宋体" w:eastAsia="宋体" w:cs="Times New Roman"/>
          <w:b w:val="0"/>
          <w:bCs w:val="0"/>
          <w:color w:val="auto"/>
          <w:kern w:val="2"/>
          <w:sz w:val="24"/>
          <w:szCs w:val="24"/>
          <w:highlight w:val="none"/>
          <w:lang w:val="en-US" w:eastAsia="zh-CN" w:bidi="ar-SA"/>
        </w:rPr>
        <w:t>年</w:t>
      </w:r>
    </w:p>
    <w:p w14:paraId="73646B6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highlight w:val="none"/>
          <w:lang w:val="en-US" w:eastAsia="zh-CN" w:bidi="ar-SA"/>
        </w:rPr>
      </w:pPr>
      <w:r>
        <w:rPr>
          <w:rFonts w:hint="eastAsia" w:ascii="宋体" w:hAnsi="宋体" w:cs="Times New Roman"/>
          <w:b w:val="0"/>
          <w:bCs w:val="0"/>
          <w:color w:val="auto"/>
          <w:kern w:val="2"/>
          <w:sz w:val="24"/>
          <w:szCs w:val="24"/>
          <w:highlight w:val="none"/>
          <w:lang w:val="en-US" w:eastAsia="zh-CN" w:bidi="ar-SA"/>
        </w:rPr>
        <w:t>结项标准：</w:t>
      </w:r>
    </w:p>
    <w:p w14:paraId="357AD83F">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1.</w:t>
      </w:r>
      <w:r>
        <w:rPr>
          <w:rFonts w:hint="eastAsia" w:ascii="宋体" w:hAnsi="宋体" w:eastAsia="宋体" w:cs="Times New Roman"/>
          <w:b w:val="0"/>
          <w:bCs w:val="0"/>
          <w:color w:val="auto"/>
          <w:kern w:val="2"/>
          <w:sz w:val="24"/>
          <w:szCs w:val="24"/>
          <w:lang w:val="en-US" w:eastAsia="zh-CN" w:bidi="ar-SA"/>
        </w:rPr>
        <w:t>研究报告：</w:t>
      </w:r>
      <w:r>
        <w:rPr>
          <w:rFonts w:hint="eastAsia" w:ascii="宋体" w:hAnsi="宋体" w:cs="Times New Roman"/>
          <w:b w:val="0"/>
          <w:bCs w:val="0"/>
          <w:color w:val="auto"/>
          <w:kern w:val="2"/>
          <w:sz w:val="24"/>
          <w:szCs w:val="24"/>
          <w:lang w:val="en-US" w:eastAsia="zh-CN" w:bidi="ar-SA"/>
        </w:rPr>
        <w:t>教学</w:t>
      </w:r>
      <w:r>
        <w:rPr>
          <w:rFonts w:hint="eastAsia" w:ascii="宋体" w:hAnsi="宋体" w:eastAsia="宋体" w:cs="Times New Roman"/>
          <w:b w:val="0"/>
          <w:bCs w:val="0"/>
          <w:color w:val="auto"/>
          <w:kern w:val="2"/>
          <w:sz w:val="24"/>
          <w:szCs w:val="24"/>
          <w:lang w:val="en-US" w:eastAsia="zh-CN" w:bidi="ar-SA"/>
        </w:rPr>
        <w:t>团队需提交</w:t>
      </w:r>
      <w:r>
        <w:rPr>
          <w:rFonts w:hint="eastAsia" w:ascii="宋体" w:hAnsi="宋体" w:cs="Times New Roman"/>
          <w:b w:val="0"/>
          <w:bCs w:val="0"/>
          <w:color w:val="auto"/>
          <w:kern w:val="2"/>
          <w:sz w:val="24"/>
          <w:szCs w:val="24"/>
          <w:lang w:val="en-US" w:eastAsia="zh-CN" w:bidi="ar-SA"/>
        </w:rPr>
        <w:t>建设</w:t>
      </w:r>
      <w:r>
        <w:rPr>
          <w:rFonts w:hint="eastAsia" w:ascii="宋体" w:hAnsi="宋体" w:eastAsia="宋体" w:cs="Times New Roman"/>
          <w:b w:val="0"/>
          <w:bCs w:val="0"/>
          <w:color w:val="auto"/>
          <w:kern w:val="2"/>
          <w:sz w:val="24"/>
          <w:szCs w:val="24"/>
          <w:lang w:val="en-US" w:eastAsia="zh-CN" w:bidi="ar-SA"/>
        </w:rPr>
        <w:t>报告，需包含AI解决方案</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实践效果</w:t>
      </w:r>
      <w:r>
        <w:rPr>
          <w:rFonts w:hint="eastAsia" w:ascii="宋体" w:hAnsi="宋体" w:cs="Times New Roman"/>
          <w:b w:val="0"/>
          <w:bCs w:val="0"/>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推广价值</w:t>
      </w:r>
      <w:r>
        <w:rPr>
          <w:rFonts w:hint="eastAsia" w:ascii="宋体" w:hAnsi="宋体" w:cs="Times New Roman"/>
          <w:b w:val="0"/>
          <w:bCs w:val="0"/>
          <w:color w:val="auto"/>
          <w:kern w:val="2"/>
          <w:sz w:val="24"/>
          <w:szCs w:val="24"/>
          <w:lang w:val="en-US" w:eastAsia="zh-CN" w:bidi="ar-SA"/>
        </w:rPr>
        <w:t>等</w:t>
      </w:r>
      <w:r>
        <w:rPr>
          <w:rFonts w:hint="eastAsia" w:ascii="宋体" w:hAnsi="宋体" w:eastAsia="宋体" w:cs="Times New Roman"/>
          <w:b w:val="0"/>
          <w:bCs w:val="0"/>
          <w:color w:val="auto"/>
          <w:kern w:val="2"/>
          <w:sz w:val="24"/>
          <w:szCs w:val="24"/>
          <w:lang w:val="en-US" w:eastAsia="zh-CN" w:bidi="ar-SA"/>
        </w:rPr>
        <w:t>部分。</w:t>
      </w:r>
    </w:p>
    <w:p w14:paraId="5BC38F9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w:t>
      </w:r>
      <w:r>
        <w:rPr>
          <w:rFonts w:hint="eastAsia" w:ascii="宋体" w:hAnsi="宋体" w:eastAsia="宋体" w:cs="Times New Roman"/>
          <w:b w:val="0"/>
          <w:bCs w:val="0"/>
          <w:color w:val="auto"/>
          <w:kern w:val="2"/>
          <w:sz w:val="24"/>
          <w:szCs w:val="24"/>
          <w:lang w:val="en-US" w:eastAsia="zh-CN" w:bidi="ar-SA"/>
        </w:rPr>
        <w:t>实践成果：至少形成</w:t>
      </w:r>
      <w:r>
        <w:rPr>
          <w:rFonts w:hint="eastAsia" w:ascii="宋体" w:hAnsi="宋体" w:cs="Times New Roman"/>
          <w:b w:val="0"/>
          <w:bCs w:val="0"/>
          <w:color w:val="auto"/>
          <w:kern w:val="2"/>
          <w:sz w:val="24"/>
          <w:szCs w:val="24"/>
          <w:lang w:val="en-US" w:eastAsia="zh-CN" w:bidi="ar-SA"/>
        </w:rPr>
        <w:t>2门“AI+教育”</w:t>
      </w:r>
      <w:r>
        <w:rPr>
          <w:rFonts w:hint="eastAsia" w:ascii="宋体" w:hAnsi="宋体" w:eastAsia="宋体" w:cs="Times New Roman"/>
          <w:b w:val="0"/>
          <w:bCs w:val="0"/>
          <w:color w:val="auto"/>
          <w:kern w:val="2"/>
          <w:sz w:val="24"/>
          <w:szCs w:val="24"/>
          <w:lang w:val="en-US" w:eastAsia="zh-CN" w:bidi="ar-SA"/>
        </w:rPr>
        <w:t>课程，覆盖≥2个学科，学生满意度测评≥85分</w:t>
      </w:r>
      <w:r>
        <w:rPr>
          <w:rFonts w:hint="eastAsia" w:ascii="宋体" w:hAnsi="宋体" w:cs="Times New Roman"/>
          <w:b w:val="0"/>
          <w:bCs w:val="0"/>
          <w:color w:val="auto"/>
          <w:kern w:val="2"/>
          <w:sz w:val="24"/>
          <w:szCs w:val="24"/>
          <w:lang w:val="en-US" w:eastAsia="zh-CN" w:bidi="ar-SA"/>
        </w:rPr>
        <w:t>。提交学科交叉课程设计方案，并制定结题后2年建设规划，确保AI资源年更新率≥10%，并参与省级及以上教学竞赛或案例评选。</w:t>
      </w:r>
    </w:p>
    <w:p w14:paraId="74673AFD">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.2</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教学名师</w:t>
      </w:r>
      <w:bookmarkEnd w:id="42"/>
      <w:bookmarkEnd w:id="43"/>
      <w:bookmarkEnd w:id="44"/>
      <w:bookmarkEnd w:id="45"/>
      <w:bookmarkEnd w:id="46"/>
      <w:bookmarkEnd w:id="47"/>
      <w:bookmarkEnd w:id="48"/>
      <w:bookmarkEnd w:id="49"/>
      <w:bookmarkEnd w:id="50"/>
      <w:bookmarkEnd w:id="51"/>
      <w:bookmarkEnd w:id="52"/>
      <w:bookmarkStart w:id="53" w:name="_Toc30969"/>
      <w:bookmarkStart w:id="54" w:name="_Toc2943"/>
      <w:bookmarkStart w:id="55" w:name="_Toc17991"/>
      <w:bookmarkStart w:id="56" w:name="_Toc13679"/>
      <w:bookmarkStart w:id="57" w:name="_Toc49108515"/>
      <w:bookmarkStart w:id="58" w:name="_Toc20968"/>
    </w:p>
    <w:p w14:paraId="4369C7D9">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default" w:ascii="宋体" w:hAnsi="宋体" w:eastAsia="宋体" w:cs="Times New Roman"/>
          <w:b w:val="0"/>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评选范围</w:t>
      </w: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承担</w:t>
      </w:r>
      <w:r>
        <w:rPr>
          <w:rFonts w:hint="eastAsia" w:ascii="宋体" w:hAnsi="宋体" w:cs="Times New Roman"/>
          <w:b w:val="0"/>
          <w:color w:val="auto"/>
          <w:kern w:val="2"/>
          <w:sz w:val="24"/>
          <w:szCs w:val="24"/>
          <w:lang w:val="en-US" w:eastAsia="zh-CN" w:bidi="ar-SA"/>
        </w:rPr>
        <w:t>本校</w:t>
      </w:r>
      <w:r>
        <w:rPr>
          <w:rFonts w:hint="eastAsia" w:ascii="宋体" w:hAnsi="宋体" w:eastAsia="宋体" w:cs="Times New Roman"/>
          <w:b w:val="0"/>
          <w:color w:val="auto"/>
          <w:kern w:val="2"/>
          <w:sz w:val="24"/>
          <w:szCs w:val="24"/>
          <w:lang w:val="en-US" w:eastAsia="zh-CN" w:bidi="ar-SA"/>
        </w:rPr>
        <w:t>课程教学任务的专任教师。已获得校级及以上教学名师奖的教师（包括课程思政教学名师、线上教学名师</w:t>
      </w:r>
      <w:r>
        <w:rPr>
          <w:rFonts w:hint="eastAsia" w:ascii="宋体" w:hAnsi="宋体" w:cs="Times New Roman"/>
          <w:b w:val="0"/>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省级教学名师等），</w:t>
      </w:r>
      <w:r>
        <w:rPr>
          <w:rFonts w:hint="eastAsia" w:ascii="宋体" w:hAnsi="宋体" w:cs="Times New Roman"/>
          <w:b w:val="0"/>
          <w:color w:val="auto"/>
          <w:kern w:val="2"/>
          <w:sz w:val="24"/>
          <w:szCs w:val="24"/>
          <w:lang w:val="en-US" w:eastAsia="zh-CN" w:bidi="ar-SA"/>
        </w:rPr>
        <w:t>不得重复申报。</w:t>
      </w:r>
    </w:p>
    <w:p w14:paraId="3A0B3EDB">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申报条件：</w:t>
      </w:r>
    </w:p>
    <w:p w14:paraId="49615631">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申报教师须同时符合下列所有条件及要求：</w:t>
      </w:r>
    </w:p>
    <w:p w14:paraId="6D1FC68D">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1.政治立场坚定，师德高尚；事业心强，富有创新协作精神；治学严谨，教风端正；诚信育人，为人师表。</w:t>
      </w:r>
    </w:p>
    <w:p w14:paraId="236F0DD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2.承担本科教学任务不少于10年的专任教师，具有教授或副教授职称。长期承担本科教学任务，坚持讲授基础课程。教学效果好，主讲课程在全校同领域内有较大影响，并形成独特而有效的教学风格，在校内起到示范作用，学生评价优秀。</w:t>
      </w:r>
    </w:p>
    <w:p w14:paraId="13E322CC">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3.作为主讲教师，荣获安徽省教育厅主办的教学类竞赛一等奖及以上奖项、国家级一流课程负责人、国家级一流专业负责人可以直接认定为校级教学名师。</w:t>
      </w:r>
    </w:p>
    <w:p w14:paraId="7D67F655">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color w:val="auto"/>
          <w:kern w:val="2"/>
          <w:sz w:val="24"/>
          <w:szCs w:val="24"/>
          <w:lang w:val="en-US" w:eastAsia="zh-CN" w:bidi="ar-SA"/>
        </w:rPr>
      </w:pPr>
    </w:p>
    <w:p w14:paraId="53455F1B">
      <w:pPr>
        <w:pStyle w:val="3"/>
        <w:pageBreakBefore w:val="0"/>
        <w:kinsoku/>
        <w:wordWrap/>
        <w:overflowPunct/>
        <w:topLinePunct w:val="0"/>
        <w:autoSpaceDE/>
        <w:autoSpaceDN/>
        <w:bidi w:val="0"/>
        <w:snapToGrid/>
        <w:spacing w:before="0" w:after="0" w:line="360" w:lineRule="auto"/>
        <w:ind w:firstLine="562" w:firstLineChars="200"/>
        <w:textAlignment w:val="auto"/>
        <w:rPr>
          <w:rFonts w:hint="eastAsia" w:ascii="宋体" w:hAnsi="宋体" w:eastAsia="宋体" w:cs="Times New Roman"/>
          <w:b/>
          <w:bCs/>
          <w:color w:val="auto"/>
          <w:kern w:val="2"/>
          <w:sz w:val="28"/>
          <w:szCs w:val="28"/>
          <w:lang w:val="en-US" w:eastAsia="zh-CN" w:bidi="ar-SA"/>
        </w:rPr>
      </w:pPr>
      <w:bookmarkStart w:id="59" w:name="_Toc117584317"/>
      <w:bookmarkStart w:id="60" w:name="_Toc7237"/>
      <w:bookmarkStart w:id="61" w:name="_Toc15235"/>
      <w:bookmarkStart w:id="62" w:name="_Toc4516"/>
      <w:bookmarkStart w:id="63" w:name="_Toc147652339"/>
      <w:r>
        <w:rPr>
          <w:rFonts w:hint="eastAsia" w:ascii="宋体" w:hAnsi="宋体" w:cs="Times New Roman"/>
          <w:b/>
          <w:bCs/>
          <w:color w:val="auto"/>
          <w:kern w:val="2"/>
          <w:sz w:val="28"/>
          <w:szCs w:val="28"/>
          <w:lang w:val="en-US" w:eastAsia="zh-CN" w:bidi="ar-SA"/>
        </w:rPr>
        <w:t>4</w:t>
      </w:r>
      <w:r>
        <w:rPr>
          <w:rFonts w:hint="eastAsia" w:ascii="宋体" w:hAnsi="宋体" w:eastAsia="宋体" w:cs="Times New Roman"/>
          <w:b/>
          <w:bCs/>
          <w:color w:val="auto"/>
          <w:kern w:val="2"/>
          <w:sz w:val="28"/>
          <w:szCs w:val="28"/>
          <w:lang w:val="en-US" w:eastAsia="zh-CN" w:bidi="ar-SA"/>
        </w:rPr>
        <w:t>.3</w:t>
      </w:r>
      <w:r>
        <w:rPr>
          <w:rFonts w:hint="eastAsia" w:ascii="宋体" w:hAnsi="宋体" w:cs="Times New Roman"/>
          <w:b/>
          <w:bCs/>
          <w:color w:val="auto"/>
          <w:kern w:val="2"/>
          <w:sz w:val="28"/>
          <w:szCs w:val="28"/>
          <w:lang w:val="en-US" w:eastAsia="zh-CN" w:bidi="ar-SA"/>
        </w:rPr>
        <w:t>校级</w:t>
      </w:r>
      <w:r>
        <w:rPr>
          <w:rFonts w:hint="eastAsia" w:ascii="宋体" w:hAnsi="宋体" w:eastAsia="宋体" w:cs="Times New Roman"/>
          <w:b/>
          <w:bCs/>
          <w:color w:val="auto"/>
          <w:kern w:val="2"/>
          <w:sz w:val="28"/>
          <w:szCs w:val="28"/>
          <w:lang w:val="en-US" w:eastAsia="zh-CN" w:bidi="ar-SA"/>
        </w:rPr>
        <w:t>教坛新秀</w:t>
      </w:r>
      <w:bookmarkEnd w:id="53"/>
      <w:bookmarkEnd w:id="54"/>
      <w:bookmarkEnd w:id="55"/>
      <w:bookmarkEnd w:id="56"/>
      <w:bookmarkEnd w:id="57"/>
      <w:bookmarkEnd w:id="58"/>
      <w:bookmarkEnd w:id="59"/>
      <w:bookmarkEnd w:id="60"/>
      <w:bookmarkEnd w:id="61"/>
      <w:bookmarkEnd w:id="62"/>
      <w:bookmarkEnd w:id="63"/>
    </w:p>
    <w:p w14:paraId="525DE656">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评选</w:t>
      </w:r>
      <w:r>
        <w:rPr>
          <w:rFonts w:hint="eastAsia" w:ascii="宋体" w:hAnsi="宋体" w:cs="Times New Roman"/>
          <w:b/>
          <w:bCs/>
          <w:color w:val="auto"/>
          <w:kern w:val="2"/>
          <w:sz w:val="24"/>
          <w:szCs w:val="24"/>
          <w:lang w:val="en-US" w:eastAsia="zh-CN" w:bidi="ar-SA"/>
        </w:rPr>
        <w:t>范围：</w:t>
      </w:r>
      <w:r>
        <w:rPr>
          <w:rFonts w:hint="eastAsia" w:ascii="宋体" w:hAnsi="宋体" w:eastAsia="宋体" w:cs="Times New Roman"/>
          <w:b w:val="0"/>
          <w:color w:val="auto"/>
          <w:kern w:val="2"/>
          <w:sz w:val="24"/>
          <w:szCs w:val="24"/>
          <w:lang w:val="en-US" w:eastAsia="zh-CN" w:bidi="ar-SA"/>
        </w:rPr>
        <w:t>承担</w:t>
      </w:r>
      <w:r>
        <w:rPr>
          <w:rFonts w:hint="eastAsia" w:ascii="宋体" w:hAnsi="宋体" w:cs="Times New Roman"/>
          <w:b w:val="0"/>
          <w:color w:val="auto"/>
          <w:kern w:val="2"/>
          <w:sz w:val="24"/>
          <w:szCs w:val="24"/>
          <w:lang w:val="en-US" w:eastAsia="zh-CN" w:bidi="ar-SA"/>
        </w:rPr>
        <w:t>本校</w:t>
      </w:r>
      <w:r>
        <w:rPr>
          <w:rFonts w:hint="eastAsia" w:ascii="宋体" w:hAnsi="宋体" w:eastAsia="宋体" w:cs="Times New Roman"/>
          <w:b w:val="0"/>
          <w:color w:val="auto"/>
          <w:kern w:val="2"/>
          <w:sz w:val="24"/>
          <w:szCs w:val="24"/>
          <w:lang w:val="en-US" w:eastAsia="zh-CN" w:bidi="ar-SA"/>
        </w:rPr>
        <w:t>课程教学任务的年轻骨干教师和学科带头人</w:t>
      </w:r>
      <w:r>
        <w:rPr>
          <w:rFonts w:hint="eastAsia" w:ascii="宋体" w:hAnsi="宋体" w:cs="Times New Roman"/>
          <w:b w:val="0"/>
          <w:color w:val="auto"/>
          <w:kern w:val="2"/>
          <w:sz w:val="24"/>
          <w:szCs w:val="24"/>
          <w:lang w:val="en-US" w:eastAsia="zh-CN" w:bidi="ar-SA"/>
        </w:rPr>
        <w:t>。已获得校级及以上教坛新秀的，不得重复申报。</w:t>
      </w:r>
    </w:p>
    <w:p w14:paraId="14DB1929">
      <w:pPr>
        <w:pageBreakBefore w:val="0"/>
        <w:widowControl/>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申报教师须同时符合下列所有条件及要求：</w:t>
      </w:r>
    </w:p>
    <w:p w14:paraId="098956FE">
      <w:pPr>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申报条件：</w:t>
      </w:r>
    </w:p>
    <w:p w14:paraId="52D3932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cs="Times New Roman"/>
          <w:b w:val="0"/>
          <w:color w:val="auto"/>
          <w:kern w:val="2"/>
          <w:sz w:val="24"/>
          <w:szCs w:val="24"/>
          <w:highlight w:val="none"/>
          <w:lang w:val="en-US" w:eastAsia="zh-CN" w:bidi="ar-SA"/>
        </w:rPr>
      </w:pPr>
      <w:r>
        <w:rPr>
          <w:rFonts w:hint="eastAsia" w:ascii="宋体" w:hAnsi="宋体" w:cs="Times New Roman"/>
          <w:b w:val="0"/>
          <w:color w:val="auto"/>
          <w:kern w:val="2"/>
          <w:sz w:val="24"/>
          <w:szCs w:val="24"/>
          <w:highlight w:val="none"/>
          <w:lang w:val="en-US" w:eastAsia="zh-CN" w:bidi="ar-SA"/>
        </w:rPr>
        <w:t>1.</w:t>
      </w:r>
      <w:r>
        <w:rPr>
          <w:rFonts w:hint="eastAsia" w:ascii="宋体" w:hAnsi="宋体" w:eastAsia="宋体" w:cs="Times New Roman"/>
          <w:b w:val="0"/>
          <w:color w:val="auto"/>
          <w:kern w:val="2"/>
          <w:sz w:val="24"/>
          <w:szCs w:val="24"/>
          <w:highlight w:val="none"/>
          <w:lang w:val="en-US" w:eastAsia="zh-CN" w:bidi="ar-SA"/>
        </w:rPr>
        <w:t>具有高校教师资格证，40周岁以下（198</w:t>
      </w:r>
      <w:r>
        <w:rPr>
          <w:rFonts w:hint="eastAsia" w:ascii="宋体" w:hAnsi="宋体" w:cs="Times New Roman"/>
          <w:b w:val="0"/>
          <w:color w:val="auto"/>
          <w:kern w:val="2"/>
          <w:sz w:val="24"/>
          <w:szCs w:val="24"/>
          <w:highlight w:val="none"/>
          <w:lang w:val="en-US" w:eastAsia="zh-CN" w:bidi="ar-SA"/>
        </w:rPr>
        <w:t>5</w:t>
      </w:r>
      <w:r>
        <w:rPr>
          <w:rFonts w:hint="eastAsia" w:ascii="宋体" w:hAnsi="宋体" w:eastAsia="宋体" w:cs="Times New Roman"/>
          <w:b w:val="0"/>
          <w:color w:val="auto"/>
          <w:kern w:val="2"/>
          <w:sz w:val="24"/>
          <w:szCs w:val="24"/>
          <w:highlight w:val="none"/>
          <w:lang w:val="en-US" w:eastAsia="zh-CN" w:bidi="ar-SA"/>
        </w:rPr>
        <w:t>年1月1日后出生）的教学一线</w:t>
      </w:r>
      <w:r>
        <w:rPr>
          <w:rFonts w:hint="eastAsia" w:ascii="宋体" w:hAnsi="宋体" w:cs="Times New Roman"/>
          <w:b w:val="0"/>
          <w:color w:val="auto"/>
          <w:kern w:val="2"/>
          <w:sz w:val="24"/>
          <w:szCs w:val="24"/>
          <w:highlight w:val="none"/>
          <w:lang w:val="en-US" w:eastAsia="zh-CN" w:bidi="ar-SA"/>
        </w:rPr>
        <w:t>的青年教师，且须荣获校级青年教师教学竞赛、教师教学创新大赛或智慧教学比赛、课程思政教学比赛二等奖及以上方可申报。</w:t>
      </w:r>
    </w:p>
    <w:p w14:paraId="3A3706A7">
      <w:pPr>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cs="Times New Roman"/>
          <w:b w:val="0"/>
          <w:color w:val="auto"/>
          <w:kern w:val="2"/>
          <w:sz w:val="24"/>
          <w:szCs w:val="24"/>
          <w:lang w:val="en-US" w:eastAsia="zh-CN" w:bidi="ar-SA"/>
        </w:rPr>
        <w:t>2.爱岗敬业，教风端正，关爱学生，为人师表，模范遵守教师职业道德，未出现教学事故或受其它处分。</w:t>
      </w:r>
    </w:p>
    <w:p w14:paraId="64A257B5">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cs="Times New Roman"/>
          <w:b w:val="0"/>
          <w:color w:val="auto"/>
          <w:kern w:val="2"/>
          <w:sz w:val="24"/>
          <w:szCs w:val="24"/>
          <w:lang w:val="en-US" w:eastAsia="zh-CN" w:bidi="ar-SA"/>
        </w:rPr>
      </w:pPr>
      <w:r>
        <w:rPr>
          <w:rFonts w:hint="eastAsia" w:ascii="宋体" w:hAnsi="宋体" w:eastAsia="宋体" w:cs="Times New Roman"/>
          <w:b w:val="0"/>
          <w:color w:val="auto"/>
          <w:kern w:val="2"/>
          <w:sz w:val="24"/>
          <w:szCs w:val="24"/>
          <w:lang w:val="en-US" w:eastAsia="zh-CN" w:bidi="ar-SA"/>
        </w:rPr>
        <w:t>3.教学工作量饱满，</w:t>
      </w:r>
      <w:r>
        <w:rPr>
          <w:rFonts w:hint="eastAsia" w:ascii="宋体" w:hAnsi="宋体" w:cs="Times New Roman"/>
          <w:b w:val="0"/>
          <w:color w:val="auto"/>
          <w:kern w:val="2"/>
          <w:sz w:val="24"/>
          <w:szCs w:val="24"/>
          <w:lang w:val="en-US" w:eastAsia="zh-CN" w:bidi="ar-SA"/>
        </w:rPr>
        <w:t>应</w:t>
      </w:r>
      <w:r>
        <w:rPr>
          <w:rFonts w:hint="eastAsia" w:ascii="宋体" w:hAnsi="宋体" w:eastAsia="宋体" w:cs="Times New Roman"/>
          <w:b w:val="0"/>
          <w:color w:val="auto"/>
          <w:kern w:val="2"/>
          <w:sz w:val="24"/>
          <w:szCs w:val="24"/>
          <w:lang w:val="en-US" w:eastAsia="zh-CN" w:bidi="ar-SA"/>
        </w:rPr>
        <w:t>高于所在教研室或课程组平均水平</w:t>
      </w:r>
      <w:r>
        <w:rPr>
          <w:rFonts w:hint="eastAsia" w:ascii="宋体" w:hAnsi="宋体" w:cs="Times New Roman"/>
          <w:b w:val="0"/>
          <w:color w:val="auto"/>
          <w:kern w:val="2"/>
          <w:sz w:val="24"/>
          <w:szCs w:val="24"/>
          <w:lang w:val="en-US" w:eastAsia="zh-CN" w:bidi="ar-SA"/>
        </w:rPr>
        <w:t>，</w:t>
      </w:r>
      <w:r>
        <w:rPr>
          <w:rFonts w:hint="eastAsia" w:ascii="宋体" w:hAnsi="宋体" w:eastAsia="宋体" w:cs="Times New Roman"/>
          <w:b w:val="0"/>
          <w:color w:val="auto"/>
          <w:kern w:val="2"/>
          <w:sz w:val="24"/>
          <w:szCs w:val="24"/>
          <w:lang w:val="en-US" w:eastAsia="zh-CN" w:bidi="ar-SA"/>
        </w:rPr>
        <w:t>教学水平高，教学效果优秀</w:t>
      </w:r>
      <w:r>
        <w:rPr>
          <w:rFonts w:hint="eastAsia" w:ascii="宋体" w:hAnsi="宋体" w:cs="Times New Roman"/>
          <w:b w:val="0"/>
          <w:color w:val="auto"/>
          <w:kern w:val="2"/>
          <w:sz w:val="24"/>
          <w:szCs w:val="24"/>
          <w:lang w:val="en-US" w:eastAsia="zh-CN" w:bidi="ar-SA"/>
        </w:rPr>
        <w:t>。</w:t>
      </w:r>
    </w:p>
    <w:p w14:paraId="4BCF65C3">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eastAsia="宋体" w:cs="Times New Roman"/>
          <w:b w:val="0"/>
          <w:color w:val="auto"/>
          <w:kern w:val="2"/>
          <w:sz w:val="24"/>
          <w:szCs w:val="24"/>
          <w:u w:val="single"/>
          <w:lang w:val="en-US" w:eastAsia="zh-CN" w:bidi="ar-SA"/>
        </w:rPr>
      </w:pPr>
      <w:r>
        <w:rPr>
          <w:rFonts w:hint="eastAsia" w:ascii="宋体" w:hAnsi="宋体" w:eastAsia="宋体" w:cs="Times New Roman"/>
          <w:b w:val="0"/>
          <w:color w:val="auto"/>
          <w:kern w:val="2"/>
          <w:sz w:val="24"/>
          <w:szCs w:val="24"/>
          <w:lang w:val="en-US" w:eastAsia="zh-CN" w:bidi="ar-SA"/>
        </w:rPr>
        <w:t>4.任现职以来，取得较突出的教研、科研和技术服务成果。在指导学生创新创业或学科技能竞赛中取得较好成绩，学生满意度较高。</w:t>
      </w:r>
    </w:p>
    <w:p w14:paraId="1647389F">
      <w:pPr>
        <w:pageBreakBefore w:val="0"/>
        <w:widowControl/>
        <w:numPr>
          <w:ilvl w:val="0"/>
          <w:numId w:val="0"/>
        </w:numPr>
        <w:kinsoku/>
        <w:wordWrap/>
        <w:overflowPunct/>
        <w:topLinePunct w:val="0"/>
        <w:autoSpaceDE/>
        <w:autoSpaceDN/>
        <w:bidi w:val="0"/>
        <w:adjustRightInd w:val="0"/>
        <w:snapToGrid/>
        <w:spacing w:line="360" w:lineRule="auto"/>
        <w:ind w:left="0" w:leftChars="0" w:firstLine="480" w:firstLineChars="200"/>
        <w:textAlignment w:val="auto"/>
        <w:rPr>
          <w:rFonts w:hint="eastAsia" w:ascii="宋体" w:hAnsi="宋体" w:eastAsia="宋体" w:cs="Times New Roman"/>
          <w:b w:val="0"/>
          <w:color w:val="auto"/>
          <w:kern w:val="2"/>
          <w:sz w:val="24"/>
          <w:szCs w:val="24"/>
          <w:u w:val="none"/>
          <w:lang w:val="en-US" w:eastAsia="zh-CN" w:bidi="ar-SA"/>
        </w:rPr>
      </w:pPr>
      <w:r>
        <w:rPr>
          <w:rFonts w:hint="eastAsia" w:ascii="宋体" w:hAnsi="宋体" w:eastAsia="宋体" w:cs="Times New Roman"/>
          <w:b w:val="0"/>
          <w:color w:val="auto"/>
          <w:kern w:val="2"/>
          <w:sz w:val="24"/>
          <w:szCs w:val="24"/>
          <w:u w:val="none"/>
          <w:lang w:val="en-US" w:eastAsia="zh-CN" w:bidi="ar-SA"/>
        </w:rPr>
        <w:t>5.</w:t>
      </w:r>
      <w:r>
        <w:rPr>
          <w:rFonts w:hint="eastAsia" w:ascii="宋体" w:hAnsi="宋体" w:cs="Times New Roman"/>
          <w:b w:val="0"/>
          <w:color w:val="auto"/>
          <w:kern w:val="2"/>
          <w:sz w:val="24"/>
          <w:szCs w:val="24"/>
          <w:u w:val="none"/>
          <w:lang w:val="en-US" w:eastAsia="zh-CN" w:bidi="ar-SA"/>
        </w:rPr>
        <w:t>作为主讲教师，</w:t>
      </w:r>
      <w:r>
        <w:rPr>
          <w:rFonts w:hint="eastAsia" w:ascii="宋体" w:hAnsi="宋体" w:eastAsia="宋体" w:cs="Times New Roman"/>
          <w:b w:val="0"/>
          <w:color w:val="auto"/>
          <w:kern w:val="2"/>
          <w:sz w:val="24"/>
          <w:szCs w:val="24"/>
          <w:u w:val="none"/>
          <w:lang w:val="en-US" w:eastAsia="zh-CN" w:bidi="ar-SA"/>
        </w:rPr>
        <w:t>荣获安徽省教育厅主办的教学类竞赛二等奖及以上奖项，可以直接认定为校级教坛新秀。</w:t>
      </w:r>
    </w:p>
    <w:p w14:paraId="1CCBD3E6">
      <w:pPr>
        <w:pageBreakBefore w:val="0"/>
        <w:widowControl/>
        <w:kinsoku/>
        <w:wordWrap/>
        <w:overflowPunct/>
        <w:topLinePunct w:val="0"/>
        <w:autoSpaceDE/>
        <w:autoSpaceDN/>
        <w:bidi w:val="0"/>
        <w:adjustRightInd w:val="0"/>
        <w:snapToGrid/>
        <w:spacing w:line="360" w:lineRule="auto"/>
        <w:textAlignment w:val="auto"/>
        <w:rPr>
          <w:rFonts w:hint="eastAsia" w:ascii="宋体" w:hAnsi="宋体" w:eastAsia="宋体" w:cs="Times New Roman"/>
          <w:b w:val="0"/>
          <w:color w:val="auto"/>
          <w:kern w:val="2"/>
          <w:sz w:val="36"/>
          <w:szCs w:val="36"/>
          <w:lang w:val="en-US" w:eastAsia="zh-CN" w:bidi="ar-SA"/>
        </w:rPr>
      </w:pPr>
    </w:p>
    <w:p w14:paraId="0BB05DD4">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5  校级数字化教材项目</w:t>
      </w:r>
    </w:p>
    <w:p w14:paraId="5F93697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一、建设目标</w:t>
      </w:r>
    </w:p>
    <w:p w14:paraId="649F0A1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为落实党的二十大精神和国家教育数字化战略行动，以教材形态转型升级激发教育潜能，实现数字教材建设与融合式教学模式改革协同发展</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打造一批内容上培根铸魂、启智增慧、适应时代要求，形式上立体化、形象化、智能化的精品数字教材，不断提高我校教材建设质量。</w:t>
      </w:r>
    </w:p>
    <w:p w14:paraId="13EC5A7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二、立项原则</w:t>
      </w:r>
    </w:p>
    <w:p w14:paraId="008D95E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（一）坚持党的领导，以马克思列宁主义、毛泽东思想、邓小平理论、</w:t>
      </w:r>
      <w:r>
        <w:rPr>
          <w:rFonts w:hint="eastAsia" w:ascii="宋体" w:hAnsi="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三个代表”重要思想、科学发展观、习近平新时代中国特色社会主义思想为指导，有机融入党的二十大精神，努力构建中国特色、融通中外的概念范畴、理论范式和话语体系。</w:t>
      </w:r>
    </w:p>
    <w:p w14:paraId="009561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二）坚持育人为本，落实立德树人根本任务，遵循教育教学规律、人才成长规律，适应人才培养模式改革，将知识传授、能力培养与思想观念、理想信念教育有机融合，防范错误政治观点和思潮的影响，引导学生建立正确的世界观、人生观和价值观，树立共产主义远大理想和中国特色社会主义共同理想。</w:t>
      </w:r>
    </w:p>
    <w:p w14:paraId="7CB8D1F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（三）坚持质量优先，立足我校优势教材及课程资源，以信息技术赋能推进适应教学方法改革的新形态教材建设。</w:t>
      </w:r>
    </w:p>
    <w:p w14:paraId="3DF0DDF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三、申报要求</w:t>
      </w:r>
    </w:p>
    <w:p w14:paraId="0315F4B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（一）申报类型</w:t>
      </w:r>
    </w:p>
    <w:p w14:paraId="3F1F34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strike w:val="0"/>
          <w:dstrike w:val="0"/>
          <w:color w:val="auto"/>
          <w:spacing w:val="0"/>
          <w:sz w:val="24"/>
          <w:szCs w:val="24"/>
          <w:u w:val="none"/>
          <w:lang w:eastAsia="zh-CN"/>
        </w:rPr>
      </w:pPr>
      <w:r>
        <w:rPr>
          <w:rFonts w:hint="eastAsia" w:ascii="宋体" w:hAnsi="宋体" w:eastAsia="宋体" w:cs="宋体"/>
          <w:i w:val="0"/>
          <w:iCs w:val="0"/>
          <w:caps w:val="0"/>
          <w:color w:val="auto"/>
          <w:spacing w:val="0"/>
          <w:sz w:val="24"/>
          <w:szCs w:val="24"/>
        </w:rPr>
        <w:t>本次立项支持的数字教材是指充</w:t>
      </w:r>
      <w:r>
        <w:rPr>
          <w:rFonts w:hint="eastAsia" w:ascii="宋体" w:hAnsi="宋体" w:cs="宋体"/>
          <w:i w:val="0"/>
          <w:iCs w:val="0"/>
          <w:caps w:val="0"/>
          <w:color w:val="auto"/>
          <w:spacing w:val="0"/>
          <w:sz w:val="24"/>
          <w:szCs w:val="24"/>
          <w:lang w:val="en-US" w:eastAsia="zh-CN"/>
        </w:rPr>
        <w:t>反映先进教学理念，</w:t>
      </w:r>
      <w:bookmarkStart w:id="64" w:name="_GoBack"/>
      <w:r>
        <w:rPr>
          <w:rFonts w:hint="eastAsia" w:ascii="宋体" w:hAnsi="宋体" w:cs="宋体"/>
          <w:i w:val="0"/>
          <w:iCs w:val="0"/>
          <w:caps w:val="0"/>
          <w:color w:val="auto"/>
          <w:spacing w:val="0"/>
          <w:sz w:val="24"/>
          <w:szCs w:val="24"/>
          <w:lang w:val="en-US" w:eastAsia="zh-CN"/>
        </w:rPr>
        <w:t>充</w:t>
      </w:r>
      <w:r>
        <w:rPr>
          <w:rFonts w:hint="eastAsia" w:ascii="宋体" w:hAnsi="宋体" w:eastAsia="宋体" w:cs="宋体"/>
          <w:i w:val="0"/>
          <w:iCs w:val="0"/>
          <w:caps w:val="0"/>
          <w:color w:val="auto"/>
          <w:spacing w:val="0"/>
          <w:sz w:val="24"/>
          <w:szCs w:val="24"/>
        </w:rPr>
        <w:t>分利</w:t>
      </w:r>
      <w:bookmarkEnd w:id="64"/>
      <w:r>
        <w:rPr>
          <w:rFonts w:hint="eastAsia" w:ascii="宋体" w:hAnsi="宋体" w:eastAsia="宋体" w:cs="宋体"/>
          <w:i w:val="0"/>
          <w:iCs w:val="0"/>
          <w:caps w:val="0"/>
          <w:color w:val="auto"/>
          <w:spacing w:val="0"/>
          <w:sz w:val="24"/>
          <w:szCs w:val="24"/>
        </w:rPr>
        <w:t>用现代信息技术，</w:t>
      </w:r>
      <w:r>
        <w:rPr>
          <w:rFonts w:hint="eastAsia" w:ascii="宋体" w:hAnsi="宋体" w:cs="宋体"/>
          <w:i w:val="0"/>
          <w:iCs w:val="0"/>
          <w:caps w:val="0"/>
          <w:color w:val="auto"/>
          <w:spacing w:val="0"/>
          <w:sz w:val="24"/>
          <w:szCs w:val="24"/>
          <w:lang w:val="en-US" w:eastAsia="zh-CN"/>
        </w:rPr>
        <w:t>综合运用多种介质，</w:t>
      </w:r>
      <w:r>
        <w:rPr>
          <w:rFonts w:hint="eastAsia" w:ascii="宋体" w:hAnsi="宋体" w:eastAsia="宋体" w:cs="宋体"/>
          <w:i w:val="0"/>
          <w:iCs w:val="0"/>
          <w:caps w:val="0"/>
          <w:color w:val="auto"/>
          <w:spacing w:val="0"/>
          <w:sz w:val="24"/>
          <w:szCs w:val="24"/>
        </w:rPr>
        <w:t>开发建设</w:t>
      </w:r>
      <w:r>
        <w:rPr>
          <w:rFonts w:hint="eastAsia" w:ascii="宋体" w:hAnsi="宋体" w:cs="宋体"/>
          <w:i w:val="0"/>
          <w:iCs w:val="0"/>
          <w:caps w:val="0"/>
          <w:color w:val="auto"/>
          <w:spacing w:val="0"/>
          <w:sz w:val="24"/>
          <w:szCs w:val="24"/>
          <w:lang w:val="en-US" w:eastAsia="zh-CN"/>
        </w:rPr>
        <w:t>可听、可视、可练、可互动的</w:t>
      </w:r>
      <w:r>
        <w:rPr>
          <w:rFonts w:hint="eastAsia" w:ascii="宋体" w:hAnsi="宋体" w:eastAsia="宋体" w:cs="宋体"/>
          <w:i w:val="0"/>
          <w:iCs w:val="0"/>
          <w:caps w:val="0"/>
          <w:color w:val="auto"/>
          <w:spacing w:val="0"/>
          <w:sz w:val="24"/>
          <w:szCs w:val="24"/>
        </w:rPr>
        <w:t>新形态教材</w:t>
      </w:r>
      <w:r>
        <w:rPr>
          <w:rFonts w:hint="eastAsia" w:ascii="宋体" w:hAnsi="宋体" w:cs="宋体"/>
          <w:i w:val="0"/>
          <w:iCs w:val="0"/>
          <w:caps w:val="0"/>
          <w:color w:val="auto"/>
          <w:spacing w:val="0"/>
          <w:sz w:val="24"/>
          <w:szCs w:val="24"/>
          <w:lang w:eastAsia="zh-CN"/>
        </w:rPr>
        <w:t>，</w:t>
      </w:r>
      <w:r>
        <w:rPr>
          <w:rFonts w:hint="eastAsia" w:ascii="宋体" w:hAnsi="宋体" w:cs="宋体"/>
          <w:i w:val="0"/>
          <w:iCs w:val="0"/>
          <w:caps w:val="0"/>
          <w:color w:val="auto"/>
          <w:spacing w:val="0"/>
          <w:sz w:val="24"/>
          <w:szCs w:val="24"/>
          <w:lang w:val="en-US" w:eastAsia="zh-CN"/>
        </w:rPr>
        <w:t>具有时效性、互动性、实用性。</w:t>
      </w:r>
      <w:r>
        <w:rPr>
          <w:rFonts w:hint="eastAsia" w:ascii="宋体" w:hAnsi="宋体" w:eastAsia="宋体" w:cs="宋体"/>
          <w:i w:val="0"/>
          <w:iCs w:val="0"/>
          <w:caps w:val="0"/>
          <w:color w:val="auto"/>
          <w:spacing w:val="0"/>
          <w:sz w:val="24"/>
          <w:szCs w:val="24"/>
          <w:lang w:val="en-US" w:eastAsia="zh-CN"/>
        </w:rPr>
        <w:t>主要包括：</w:t>
      </w:r>
      <w:r>
        <w:rPr>
          <w:rFonts w:hint="eastAsia" w:ascii="宋体" w:hAnsi="宋体" w:eastAsia="宋体" w:cs="宋体"/>
          <w:i w:val="0"/>
          <w:iCs w:val="0"/>
          <w:caps w:val="0"/>
          <w:strike w:val="0"/>
          <w:dstrike w:val="0"/>
          <w:color w:val="auto"/>
          <w:spacing w:val="0"/>
          <w:sz w:val="24"/>
          <w:szCs w:val="24"/>
          <w:u w:val="none"/>
        </w:rPr>
        <w:t>传统经典教材的数字形态建设</w:t>
      </w:r>
      <w:r>
        <w:rPr>
          <w:rFonts w:hint="eastAsia" w:ascii="宋体" w:hAnsi="宋体" w:cs="宋体"/>
          <w:i w:val="0"/>
          <w:iCs w:val="0"/>
          <w:caps w:val="0"/>
          <w:strike w:val="0"/>
          <w:dstrike w:val="0"/>
          <w:color w:val="auto"/>
          <w:spacing w:val="0"/>
          <w:sz w:val="24"/>
          <w:szCs w:val="24"/>
          <w:u w:val="none"/>
          <w:lang w:eastAsia="zh-CN"/>
        </w:rPr>
        <w:t>，</w:t>
      </w:r>
      <w:r>
        <w:rPr>
          <w:rFonts w:hint="eastAsia" w:ascii="宋体" w:hAnsi="宋体" w:eastAsia="宋体" w:cs="宋体"/>
          <w:i w:val="0"/>
          <w:iCs w:val="0"/>
          <w:caps w:val="0"/>
          <w:strike w:val="0"/>
          <w:dstrike w:val="0"/>
          <w:color w:val="auto"/>
          <w:spacing w:val="0"/>
          <w:sz w:val="24"/>
          <w:szCs w:val="24"/>
          <w:u w:val="none"/>
        </w:rPr>
        <w:t>高水平课程的数字教材建设</w:t>
      </w:r>
      <w:r>
        <w:rPr>
          <w:rFonts w:hint="eastAsia" w:ascii="宋体" w:hAnsi="宋体" w:cs="宋体"/>
          <w:i w:val="0"/>
          <w:iCs w:val="0"/>
          <w:caps w:val="0"/>
          <w:strike w:val="0"/>
          <w:dstrike w:val="0"/>
          <w:color w:val="auto"/>
          <w:spacing w:val="0"/>
          <w:sz w:val="24"/>
          <w:szCs w:val="24"/>
          <w:u w:val="none"/>
          <w:lang w:eastAsia="zh-CN"/>
        </w:rPr>
        <w:t>。</w:t>
      </w:r>
    </w:p>
    <w:p w14:paraId="3C43D6E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rPr>
        <w:t>（二）申报条件</w:t>
      </w:r>
    </w:p>
    <w:p w14:paraId="40EE74D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rPr>
        <w:t>1.</w:t>
      </w:r>
      <w:r>
        <w:rPr>
          <w:rFonts w:hint="eastAsia" w:ascii="宋体" w:hAnsi="宋体" w:eastAsia="宋体" w:cs="宋体"/>
          <w:i w:val="0"/>
          <w:iCs w:val="0"/>
          <w:caps w:val="0"/>
          <w:color w:val="auto"/>
          <w:spacing w:val="0"/>
          <w:sz w:val="24"/>
          <w:szCs w:val="24"/>
          <w:lang w:val="en-US" w:eastAsia="zh-CN"/>
        </w:rPr>
        <w:t>教材编写实行主编负责制，申请项目者须担任教材主编。主编主持编写工作，对教</w:t>
      </w:r>
      <w:r>
        <w:rPr>
          <w:rFonts w:hint="eastAsia" w:ascii="宋体" w:hAnsi="宋体" w:eastAsia="宋体" w:cs="宋体"/>
          <w:i w:val="0"/>
          <w:iCs w:val="0"/>
          <w:caps w:val="0"/>
          <w:color w:val="auto"/>
          <w:spacing w:val="0"/>
          <w:sz w:val="24"/>
          <w:szCs w:val="24"/>
          <w:highlight w:val="none"/>
          <w:lang w:val="en-US" w:eastAsia="zh-CN"/>
        </w:rPr>
        <w:t>材总体质量负责，参编人员对所编写内容负责。</w:t>
      </w:r>
      <w:r>
        <w:rPr>
          <w:rFonts w:hint="eastAsia" w:ascii="宋体" w:hAnsi="宋体" w:cs="宋体"/>
          <w:i w:val="0"/>
          <w:iCs w:val="0"/>
          <w:caps w:val="0"/>
          <w:color w:val="auto"/>
          <w:spacing w:val="0"/>
          <w:sz w:val="24"/>
          <w:szCs w:val="24"/>
          <w:highlight w:val="none"/>
          <w:lang w:val="en-US" w:eastAsia="zh-CN"/>
        </w:rPr>
        <w:t>项目负责人（</w:t>
      </w:r>
      <w:r>
        <w:rPr>
          <w:rFonts w:hint="eastAsia" w:ascii="宋体" w:hAnsi="宋体" w:eastAsia="宋体" w:cs="宋体"/>
          <w:i w:val="0"/>
          <w:iCs w:val="0"/>
          <w:caps w:val="0"/>
          <w:color w:val="auto"/>
          <w:spacing w:val="0"/>
          <w:sz w:val="24"/>
          <w:szCs w:val="24"/>
          <w:highlight w:val="none"/>
          <w:lang w:val="en-US" w:eastAsia="zh-CN"/>
        </w:rPr>
        <w:t>教材主编</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须为本校在</w:t>
      </w:r>
      <w:r>
        <w:rPr>
          <w:rFonts w:hint="eastAsia" w:ascii="宋体" w:hAnsi="宋体" w:cs="宋体"/>
          <w:i w:val="0"/>
          <w:iCs w:val="0"/>
          <w:caps w:val="0"/>
          <w:color w:val="auto"/>
          <w:spacing w:val="0"/>
          <w:sz w:val="24"/>
          <w:szCs w:val="24"/>
          <w:highlight w:val="none"/>
          <w:lang w:val="en-US" w:eastAsia="zh-CN"/>
        </w:rPr>
        <w:t>职</w:t>
      </w:r>
      <w:r>
        <w:rPr>
          <w:rFonts w:hint="eastAsia" w:ascii="宋体" w:hAnsi="宋体" w:eastAsia="宋体" w:cs="宋体"/>
          <w:i w:val="0"/>
          <w:iCs w:val="0"/>
          <w:caps w:val="0"/>
          <w:color w:val="auto"/>
          <w:spacing w:val="0"/>
          <w:sz w:val="24"/>
          <w:szCs w:val="24"/>
          <w:highlight w:val="none"/>
          <w:lang w:val="en-US" w:eastAsia="zh-CN"/>
        </w:rPr>
        <w:t>教师，具有</w:t>
      </w:r>
      <w:r>
        <w:rPr>
          <w:rFonts w:hint="eastAsia" w:ascii="宋体" w:hAnsi="宋体" w:eastAsia="宋体" w:cs="宋体"/>
          <w:b/>
          <w:bCs/>
          <w:i w:val="0"/>
          <w:iCs w:val="0"/>
          <w:caps w:val="0"/>
          <w:color w:val="auto"/>
          <w:spacing w:val="0"/>
          <w:sz w:val="24"/>
          <w:szCs w:val="24"/>
          <w:highlight w:val="none"/>
          <w:lang w:val="en-US" w:eastAsia="zh-CN"/>
        </w:rPr>
        <w:t>副高</w:t>
      </w:r>
      <w:r>
        <w:rPr>
          <w:rFonts w:hint="eastAsia" w:ascii="宋体" w:hAnsi="宋体" w:cs="宋体"/>
          <w:b/>
          <w:bCs/>
          <w:i w:val="0"/>
          <w:iCs w:val="0"/>
          <w:caps w:val="0"/>
          <w:color w:val="auto"/>
          <w:spacing w:val="0"/>
          <w:sz w:val="24"/>
          <w:szCs w:val="24"/>
          <w:highlight w:val="none"/>
          <w:lang w:val="en-US" w:eastAsia="zh-CN"/>
        </w:rPr>
        <w:t>及</w:t>
      </w:r>
      <w:r>
        <w:rPr>
          <w:rFonts w:hint="eastAsia" w:ascii="宋体" w:hAnsi="宋体" w:eastAsia="宋体" w:cs="宋体"/>
          <w:b/>
          <w:bCs/>
          <w:i w:val="0"/>
          <w:iCs w:val="0"/>
          <w:caps w:val="0"/>
          <w:color w:val="auto"/>
          <w:spacing w:val="0"/>
          <w:sz w:val="24"/>
          <w:szCs w:val="24"/>
          <w:highlight w:val="none"/>
          <w:lang w:val="en-US" w:eastAsia="zh-CN"/>
        </w:rPr>
        <w:t>以上职称</w:t>
      </w:r>
      <w:r>
        <w:rPr>
          <w:rFonts w:hint="eastAsia" w:ascii="宋体" w:hAnsi="宋体" w:cs="宋体"/>
          <w:b/>
          <w:bCs/>
          <w:i w:val="0"/>
          <w:iCs w:val="0"/>
          <w:caps w:val="0"/>
          <w:color w:val="auto"/>
          <w:spacing w:val="0"/>
          <w:sz w:val="24"/>
          <w:szCs w:val="24"/>
          <w:highlight w:val="none"/>
          <w:lang w:val="en-US" w:eastAsia="zh-CN"/>
        </w:rPr>
        <w:t>或博士学位</w:t>
      </w:r>
      <w:r>
        <w:rPr>
          <w:rFonts w:hint="eastAsia" w:ascii="宋体" w:hAnsi="宋体" w:eastAsia="宋体" w:cs="宋体"/>
          <w:i w:val="0"/>
          <w:iCs w:val="0"/>
          <w:caps w:val="0"/>
          <w:color w:val="auto"/>
          <w:spacing w:val="0"/>
          <w:sz w:val="24"/>
          <w:szCs w:val="24"/>
          <w:highlight w:val="none"/>
          <w:lang w:val="en-US" w:eastAsia="zh-CN"/>
        </w:rPr>
        <w:t>，在本学科专业有深入研究和较高造诣，担任相关课程负责人，主讲相对应的课程两轮</w:t>
      </w:r>
      <w:r>
        <w:rPr>
          <w:rFonts w:hint="eastAsia" w:ascii="宋体" w:hAnsi="宋体" w:cs="宋体"/>
          <w:i w:val="0"/>
          <w:iCs w:val="0"/>
          <w:caps w:val="0"/>
          <w:color w:val="auto"/>
          <w:spacing w:val="0"/>
          <w:sz w:val="24"/>
          <w:szCs w:val="24"/>
          <w:highlight w:val="none"/>
          <w:lang w:val="en-US" w:eastAsia="zh-CN"/>
        </w:rPr>
        <w:t>及</w:t>
      </w:r>
      <w:r>
        <w:rPr>
          <w:rFonts w:hint="eastAsia" w:ascii="宋体" w:hAnsi="宋体" w:eastAsia="宋体" w:cs="宋体"/>
          <w:i w:val="0"/>
          <w:iCs w:val="0"/>
          <w:caps w:val="0"/>
          <w:color w:val="auto"/>
          <w:spacing w:val="0"/>
          <w:sz w:val="24"/>
          <w:szCs w:val="24"/>
          <w:highlight w:val="none"/>
          <w:lang w:val="en-US" w:eastAsia="zh-CN"/>
        </w:rPr>
        <w:t>以上</w:t>
      </w:r>
      <w:r>
        <w:rPr>
          <w:rFonts w:hint="eastAsia" w:ascii="宋体" w:hAnsi="宋体" w:cs="宋体"/>
          <w:i w:val="0"/>
          <w:iCs w:val="0"/>
          <w:caps w:val="0"/>
          <w:color w:val="auto"/>
          <w:spacing w:val="0"/>
          <w:sz w:val="24"/>
          <w:szCs w:val="24"/>
          <w:highlight w:val="none"/>
          <w:lang w:val="en-US" w:eastAsia="zh-CN"/>
        </w:rPr>
        <w:t>（不含当前学期）</w:t>
      </w:r>
      <w:r>
        <w:rPr>
          <w:rFonts w:hint="eastAsia" w:ascii="宋体" w:hAnsi="宋体" w:eastAsia="宋体" w:cs="宋体"/>
          <w:i w:val="0"/>
          <w:iCs w:val="0"/>
          <w:caps w:val="0"/>
          <w:color w:val="auto"/>
          <w:spacing w:val="0"/>
          <w:sz w:val="24"/>
          <w:szCs w:val="24"/>
          <w:highlight w:val="none"/>
          <w:lang w:val="en-US" w:eastAsia="zh-CN"/>
        </w:rPr>
        <w:t>，熟悉教材编写工作。</w:t>
      </w:r>
    </w:p>
    <w:p w14:paraId="2F79FF4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rPr>
        <w:t>项目负责人与教材参编人员政治立场坚定，拥护中国共产党的领导，</w:t>
      </w:r>
      <w:r>
        <w:rPr>
          <w:rFonts w:hint="eastAsia" w:ascii="宋体" w:hAnsi="宋体" w:eastAsia="宋体" w:cs="宋体"/>
          <w:i w:val="0"/>
          <w:iCs w:val="0"/>
          <w:caps w:val="0"/>
          <w:color w:val="auto"/>
          <w:spacing w:val="0"/>
          <w:sz w:val="24"/>
          <w:szCs w:val="24"/>
        </w:rPr>
        <w:t>认同中国特色社会主义，自觉践行社会主义核心价值观。无违背党的理论和路线方针政策的言行，遵纪守法，有良好的思想品德、社会形象和师德师风。恪守学术道德，</w:t>
      </w:r>
      <w:r>
        <w:rPr>
          <w:rFonts w:hint="eastAsia" w:ascii="宋体" w:hAnsi="宋体" w:eastAsia="宋体" w:cs="宋体"/>
          <w:i w:val="0"/>
          <w:iCs w:val="0"/>
          <w:caps w:val="0"/>
          <w:color w:val="auto"/>
          <w:spacing w:val="0"/>
          <w:sz w:val="24"/>
          <w:szCs w:val="24"/>
          <w:lang w:val="en-US" w:eastAsia="zh-CN"/>
        </w:rPr>
        <w:t>无</w:t>
      </w:r>
      <w:r>
        <w:rPr>
          <w:rFonts w:hint="eastAsia" w:ascii="宋体" w:hAnsi="宋体" w:eastAsia="宋体" w:cs="宋体"/>
          <w:i w:val="0"/>
          <w:iCs w:val="0"/>
          <w:caps w:val="0"/>
          <w:color w:val="auto"/>
          <w:spacing w:val="0"/>
          <w:sz w:val="24"/>
          <w:szCs w:val="24"/>
        </w:rPr>
        <w:t>违法违纪记录或学术不端行为或师德师风问题。</w:t>
      </w:r>
    </w:p>
    <w:p w14:paraId="02839A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default"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3.有对应马工程教材的相关课程不列入项目立项范围。</w:t>
      </w:r>
    </w:p>
    <w:p w14:paraId="2D37893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lang w:val="en-US" w:eastAsia="zh-CN"/>
        </w:rPr>
        <w:t>四</w:t>
      </w:r>
      <w:r>
        <w:rPr>
          <w:rFonts w:hint="eastAsia" w:ascii="宋体" w:hAnsi="宋体" w:eastAsia="宋体" w:cs="宋体"/>
          <w:b/>
          <w:bCs/>
          <w:i w:val="0"/>
          <w:iCs w:val="0"/>
          <w:caps w:val="0"/>
          <w:color w:val="auto"/>
          <w:spacing w:val="0"/>
          <w:sz w:val="24"/>
          <w:szCs w:val="24"/>
        </w:rPr>
        <w:t>、工作要求</w:t>
      </w:r>
    </w:p>
    <w:p w14:paraId="73A75C2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rPr>
        <w:t>.传统经典教材的数字形态建设团队须形成完整的书稿修订方案，并做好融媒体资源整理、新建及改造工作，以表现形式多样的数字资源，推动教材立体化、形象化、智能化，更好服务信息化时代教育教学。</w:t>
      </w:r>
    </w:p>
    <w:p w14:paraId="7C6C5A8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rPr>
        <w:t>.高水平课程的数字教材建设团队须编写科学规范的教材文稿，推动线上资源及知识点的理论化、系统化、体系化，以教材的载体形式和使用方式有效承载、整合、输出优秀的线上教学资源。</w:t>
      </w:r>
    </w:p>
    <w:p w14:paraId="0AF2B77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lang w:val="en-US" w:eastAsia="zh-CN"/>
        </w:rPr>
        <w:t>出版单位自行联系，原则上应为一级出版社。出版时应在书中注明</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本教材获铜陵学院教材建设项目立项资助”。出版教材须为具有书号的正式出版物，教材所有数字资源按教材和出版规范编修、审核与管理。数字资源和工具须部署在出版单位自主可控的公共服务平台上，平台按照国家有关规定备案，并确保数字资源安全，保证教材内容安全和系统运行安全，保障教材资源质量和服务质量。</w:t>
      </w:r>
    </w:p>
    <w:p w14:paraId="47FC183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rPr>
        <w:t>.各教学单位对申报教材的基本信息进行审核，</w:t>
      </w:r>
      <w:r>
        <w:rPr>
          <w:rFonts w:hint="eastAsia" w:ascii="宋体" w:hAnsi="宋体" w:eastAsia="宋体" w:cs="宋体"/>
          <w:i w:val="0"/>
          <w:iCs w:val="0"/>
          <w:caps w:val="0"/>
          <w:color w:val="auto"/>
          <w:spacing w:val="0"/>
          <w:sz w:val="24"/>
          <w:szCs w:val="24"/>
          <w:highlight w:val="none"/>
          <w:lang w:val="en-US" w:eastAsia="zh-CN"/>
        </w:rPr>
        <w:t>二级学院（部）</w:t>
      </w:r>
      <w:r>
        <w:rPr>
          <w:rFonts w:hint="eastAsia" w:ascii="宋体" w:hAnsi="宋体" w:eastAsia="宋体" w:cs="宋体"/>
          <w:i w:val="0"/>
          <w:iCs w:val="0"/>
          <w:caps w:val="0"/>
          <w:color w:val="auto"/>
          <w:spacing w:val="0"/>
          <w:sz w:val="24"/>
          <w:szCs w:val="24"/>
          <w:highlight w:val="none"/>
        </w:rPr>
        <w:t>党委对编写团队及教材内容进行政治把关，教学委员会对教材内容进行学术把关。</w:t>
      </w:r>
    </w:p>
    <w:p w14:paraId="23238E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b w:val="0"/>
          <w:bCs w:val="0"/>
          <w:i w:val="0"/>
          <w:iCs w:val="0"/>
          <w:caps w:val="0"/>
          <w:color w:val="auto"/>
          <w:spacing w:val="0"/>
          <w:sz w:val="24"/>
          <w:szCs w:val="24"/>
        </w:rPr>
      </w:pPr>
      <w:r>
        <w:rPr>
          <w:rFonts w:hint="eastAsia" w:ascii="宋体" w:hAnsi="宋体" w:eastAsia="宋体" w:cs="宋体"/>
          <w:b w:val="0"/>
          <w:bCs w:val="0"/>
          <w:i w:val="0"/>
          <w:iCs w:val="0"/>
          <w:caps w:val="0"/>
          <w:color w:val="auto"/>
          <w:spacing w:val="0"/>
          <w:sz w:val="24"/>
          <w:szCs w:val="24"/>
          <w:lang w:val="en-US" w:eastAsia="zh-CN"/>
        </w:rPr>
        <w:t>5.</w:t>
      </w:r>
      <w:r>
        <w:rPr>
          <w:rFonts w:hint="eastAsia" w:ascii="宋体" w:hAnsi="宋体" w:cs="宋体"/>
          <w:b w:val="0"/>
          <w:bCs w:val="0"/>
          <w:i w:val="0"/>
          <w:iCs w:val="0"/>
          <w:caps w:val="0"/>
          <w:color w:val="auto"/>
          <w:spacing w:val="0"/>
          <w:sz w:val="24"/>
          <w:szCs w:val="24"/>
          <w:lang w:val="en-US" w:eastAsia="zh-CN"/>
        </w:rPr>
        <w:t>在同等条件下，已经完成教材</w:t>
      </w:r>
      <w:r>
        <w:rPr>
          <w:rFonts w:hint="eastAsia" w:ascii="宋体" w:hAnsi="宋体" w:eastAsia="宋体" w:cs="宋体"/>
          <w:b w:val="0"/>
          <w:bCs w:val="0"/>
          <w:i w:val="0"/>
          <w:iCs w:val="0"/>
          <w:caps w:val="0"/>
          <w:color w:val="auto"/>
          <w:spacing w:val="0"/>
          <w:sz w:val="24"/>
          <w:szCs w:val="24"/>
          <w:lang w:val="en-US" w:eastAsia="zh-CN"/>
        </w:rPr>
        <w:t>编写</w:t>
      </w:r>
      <w:r>
        <w:rPr>
          <w:rFonts w:hint="eastAsia" w:ascii="宋体" w:hAnsi="宋体" w:cs="宋体"/>
          <w:b w:val="0"/>
          <w:bCs w:val="0"/>
          <w:i w:val="0"/>
          <w:iCs w:val="0"/>
          <w:caps w:val="0"/>
          <w:color w:val="auto"/>
          <w:spacing w:val="0"/>
          <w:sz w:val="24"/>
          <w:szCs w:val="24"/>
          <w:lang w:val="en-US" w:eastAsia="zh-CN"/>
        </w:rPr>
        <w:t>或</w:t>
      </w:r>
      <w:r>
        <w:rPr>
          <w:rFonts w:hint="eastAsia" w:ascii="宋体" w:hAnsi="宋体" w:eastAsia="宋体" w:cs="宋体"/>
          <w:b w:val="0"/>
          <w:bCs w:val="0"/>
          <w:i w:val="0"/>
          <w:iCs w:val="0"/>
          <w:caps w:val="0"/>
          <w:color w:val="auto"/>
          <w:spacing w:val="0"/>
          <w:sz w:val="24"/>
          <w:szCs w:val="24"/>
          <w:lang w:val="en-US" w:eastAsia="zh-CN"/>
        </w:rPr>
        <w:t>成功在出版社平台布置数字化教材的</w:t>
      </w:r>
      <w:r>
        <w:rPr>
          <w:rFonts w:hint="eastAsia" w:ascii="宋体" w:hAnsi="宋体" w:cs="宋体"/>
          <w:b w:val="0"/>
          <w:bCs w:val="0"/>
          <w:i w:val="0"/>
          <w:iCs w:val="0"/>
          <w:caps w:val="0"/>
          <w:color w:val="auto"/>
          <w:spacing w:val="0"/>
          <w:sz w:val="24"/>
          <w:szCs w:val="24"/>
          <w:lang w:val="en-US" w:eastAsia="zh-CN"/>
        </w:rPr>
        <w:t>优先立项</w:t>
      </w:r>
      <w:r>
        <w:rPr>
          <w:rFonts w:hint="eastAsia" w:ascii="宋体" w:hAnsi="宋体" w:eastAsia="宋体" w:cs="宋体"/>
          <w:b w:val="0"/>
          <w:bCs w:val="0"/>
          <w:i w:val="0"/>
          <w:iCs w:val="0"/>
          <w:caps w:val="0"/>
          <w:color w:val="auto"/>
          <w:spacing w:val="0"/>
          <w:sz w:val="24"/>
          <w:szCs w:val="24"/>
          <w:lang w:val="en-US" w:eastAsia="zh-CN"/>
        </w:rPr>
        <w:t>。</w:t>
      </w:r>
    </w:p>
    <w:p w14:paraId="40532FF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宋体" w:hAnsi="宋体" w:eastAsia="宋体" w:cs="宋体"/>
          <w:b/>
          <w:bCs/>
          <w:i w:val="0"/>
          <w:iCs w:val="0"/>
          <w:caps w:val="0"/>
          <w:color w:val="auto"/>
          <w:spacing w:val="0"/>
          <w:sz w:val="24"/>
          <w:szCs w:val="24"/>
          <w:lang w:val="en-US" w:eastAsia="zh-CN"/>
        </w:rPr>
      </w:pPr>
      <w:r>
        <w:rPr>
          <w:rFonts w:hint="eastAsia" w:ascii="宋体" w:hAnsi="宋体" w:eastAsia="宋体" w:cs="宋体"/>
          <w:b/>
          <w:bCs/>
          <w:i w:val="0"/>
          <w:iCs w:val="0"/>
          <w:caps w:val="0"/>
          <w:color w:val="auto"/>
          <w:spacing w:val="0"/>
          <w:sz w:val="24"/>
          <w:szCs w:val="24"/>
          <w:lang w:val="en-US" w:eastAsia="zh-CN"/>
        </w:rPr>
        <w:t>五、结项管理</w:t>
      </w:r>
    </w:p>
    <w:p w14:paraId="6F2085B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hint="eastAsia" w:ascii="仿宋" w:hAnsi="仿宋" w:eastAsia="仿宋" w:cs="仿宋"/>
          <w:i w:val="0"/>
          <w:iCs w:val="0"/>
          <w:caps w:val="0"/>
          <w:color w:val="auto"/>
          <w:spacing w:val="0"/>
          <w:sz w:val="28"/>
          <w:szCs w:val="28"/>
          <w:shd w:val="clear" w:fill="FFFFFF"/>
        </w:rPr>
      </w:pPr>
      <w:r>
        <w:rPr>
          <w:rFonts w:hint="eastAsia" w:ascii="宋体" w:hAnsi="宋体" w:eastAsia="宋体" w:cs="宋体"/>
          <w:i w:val="0"/>
          <w:iCs w:val="0"/>
          <w:caps w:val="0"/>
          <w:color w:val="auto"/>
          <w:spacing w:val="0"/>
          <w:sz w:val="24"/>
          <w:szCs w:val="24"/>
        </w:rPr>
        <w:t>项目建设周期为</w:t>
      </w:r>
      <w:r>
        <w:rPr>
          <w:rFonts w:hint="eastAsia" w:ascii="宋体" w:hAnsi="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rPr>
        <w:t>年</w:t>
      </w:r>
      <w:r>
        <w:rPr>
          <w:rFonts w:hint="eastAsia" w:ascii="宋体" w:hAnsi="宋体" w:eastAsia="宋体" w:cs="宋体"/>
          <w:i w:val="0"/>
          <w:iCs w:val="0"/>
          <w:caps w:val="0"/>
          <w:color w:val="auto"/>
          <w:spacing w:val="0"/>
          <w:sz w:val="24"/>
          <w:szCs w:val="24"/>
          <w:lang w:eastAsia="zh-CN"/>
        </w:rPr>
        <w:t>。</w:t>
      </w:r>
      <w:r>
        <w:rPr>
          <w:rFonts w:hint="default" w:ascii="宋体" w:hAnsi="宋体" w:eastAsia="宋体" w:cs="宋体"/>
          <w:i w:val="0"/>
          <w:iCs w:val="0"/>
          <w:caps w:val="0"/>
          <w:color w:val="auto"/>
          <w:spacing w:val="0"/>
          <w:sz w:val="24"/>
          <w:szCs w:val="24"/>
        </w:rPr>
        <w:t>建设期满，</w:t>
      </w:r>
      <w:r>
        <w:rPr>
          <w:rFonts w:hint="eastAsia" w:ascii="宋体" w:hAnsi="宋体" w:cs="宋体"/>
          <w:i w:val="0"/>
          <w:iCs w:val="0"/>
          <w:caps w:val="0"/>
          <w:color w:val="auto"/>
          <w:spacing w:val="0"/>
          <w:sz w:val="24"/>
          <w:szCs w:val="24"/>
          <w:lang w:val="en-US" w:eastAsia="zh-CN"/>
        </w:rPr>
        <w:t>立项</w:t>
      </w:r>
      <w:r>
        <w:rPr>
          <w:rFonts w:hint="default" w:ascii="宋体" w:hAnsi="宋体" w:eastAsia="宋体" w:cs="宋体"/>
          <w:i w:val="0"/>
          <w:iCs w:val="0"/>
          <w:caps w:val="0"/>
          <w:color w:val="auto"/>
          <w:spacing w:val="0"/>
          <w:sz w:val="24"/>
          <w:szCs w:val="24"/>
        </w:rPr>
        <w:t>数字</w:t>
      </w:r>
      <w:r>
        <w:rPr>
          <w:rFonts w:hint="eastAsia" w:ascii="宋体" w:hAnsi="宋体" w:cs="宋体"/>
          <w:i w:val="0"/>
          <w:iCs w:val="0"/>
          <w:caps w:val="0"/>
          <w:color w:val="auto"/>
          <w:spacing w:val="0"/>
          <w:sz w:val="24"/>
          <w:szCs w:val="24"/>
          <w:lang w:val="en-US" w:eastAsia="zh-CN"/>
        </w:rPr>
        <w:t>化</w:t>
      </w:r>
      <w:r>
        <w:rPr>
          <w:rFonts w:hint="default" w:ascii="宋体" w:hAnsi="宋体" w:eastAsia="宋体" w:cs="宋体"/>
          <w:i w:val="0"/>
          <w:iCs w:val="0"/>
          <w:caps w:val="0"/>
          <w:color w:val="auto"/>
          <w:spacing w:val="0"/>
          <w:sz w:val="24"/>
          <w:szCs w:val="24"/>
        </w:rPr>
        <w:t>教材</w:t>
      </w:r>
      <w:r>
        <w:rPr>
          <w:rFonts w:hint="eastAsia" w:ascii="宋体" w:hAnsi="宋体" w:cs="宋体"/>
          <w:i w:val="0"/>
          <w:iCs w:val="0"/>
          <w:caps w:val="0"/>
          <w:color w:val="auto"/>
          <w:spacing w:val="0"/>
          <w:sz w:val="24"/>
          <w:szCs w:val="24"/>
          <w:lang w:val="en-US" w:eastAsia="zh-CN"/>
        </w:rPr>
        <w:t>须正式</w:t>
      </w:r>
      <w:r>
        <w:rPr>
          <w:rFonts w:hint="default" w:ascii="宋体" w:hAnsi="宋体" w:eastAsia="宋体" w:cs="宋体"/>
          <w:i w:val="0"/>
          <w:iCs w:val="0"/>
          <w:caps w:val="0"/>
          <w:color w:val="auto"/>
          <w:spacing w:val="0"/>
          <w:sz w:val="24"/>
          <w:szCs w:val="24"/>
        </w:rPr>
        <w:t>出版，并在相关服务平台上完成数字资源和工具的部署工作。</w:t>
      </w:r>
    </w:p>
    <w:p w14:paraId="0F0F328A">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6  校级“两库”项目</w:t>
      </w:r>
    </w:p>
    <w:p w14:paraId="445BF5D4">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p>
    <w:p w14:paraId="515272B6">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0" w:firstLineChars="200"/>
        <w:textAlignment w:val="auto"/>
        <w:rPr>
          <w:rFonts w:hint="default" w:ascii="宋体" w:hAnsi="宋体" w:eastAsia="宋体" w:cs="宋体"/>
          <w:i w:val="0"/>
          <w:iCs w:val="0"/>
          <w:caps w:val="0"/>
          <w:color w:val="auto"/>
          <w:spacing w:val="0"/>
          <w:kern w:val="0"/>
          <w:sz w:val="24"/>
          <w:szCs w:val="24"/>
          <w:lang w:val="en-US" w:eastAsia="zh-CN" w:bidi="ar"/>
        </w:rPr>
      </w:pPr>
      <w:r>
        <w:rPr>
          <w:rFonts w:hint="default" w:ascii="宋体" w:hAnsi="宋体" w:eastAsia="宋体" w:cs="宋体"/>
          <w:i w:val="0"/>
          <w:iCs w:val="0"/>
          <w:caps w:val="0"/>
          <w:color w:val="auto"/>
          <w:spacing w:val="0"/>
          <w:kern w:val="0"/>
          <w:sz w:val="24"/>
          <w:szCs w:val="24"/>
          <w:lang w:val="en-US" w:eastAsia="zh-CN" w:bidi="ar"/>
        </w:rPr>
        <w:t>行业企业课程资源库、真实项目案例库（简称“两库”）是教育部《普通高等学校本科教育教学审核评估实施方案（2021—2025年）》的指标要求之一。</w:t>
      </w:r>
      <w:r>
        <w:rPr>
          <w:rFonts w:hint="eastAsia" w:ascii="宋体" w:hAnsi="宋体" w:cs="宋体"/>
          <w:i w:val="0"/>
          <w:iCs w:val="0"/>
          <w:caps w:val="0"/>
          <w:color w:val="auto"/>
          <w:spacing w:val="0"/>
          <w:kern w:val="0"/>
          <w:sz w:val="24"/>
          <w:szCs w:val="24"/>
          <w:lang w:val="en-US" w:eastAsia="zh-CN" w:bidi="ar"/>
        </w:rPr>
        <w:t>通过两库建设，</w:t>
      </w:r>
      <w:r>
        <w:rPr>
          <w:rFonts w:hint="default" w:ascii="宋体" w:hAnsi="宋体" w:eastAsia="宋体" w:cs="宋体"/>
          <w:i w:val="0"/>
          <w:iCs w:val="0"/>
          <w:caps w:val="0"/>
          <w:color w:val="auto"/>
          <w:spacing w:val="0"/>
          <w:kern w:val="0"/>
          <w:sz w:val="24"/>
          <w:szCs w:val="24"/>
          <w:lang w:val="en-US" w:eastAsia="zh-CN" w:bidi="ar"/>
        </w:rPr>
        <w:t>进一步加强学校应用型课程内涵建设，进一步丰富和共享优质教学资源，进一步契合应用型高校人才培养目标</w:t>
      </w:r>
      <w:r>
        <w:rPr>
          <w:rFonts w:hint="eastAsia" w:ascii="宋体" w:hAnsi="宋体" w:cs="宋体"/>
          <w:i w:val="0"/>
          <w:iCs w:val="0"/>
          <w:caps w:val="0"/>
          <w:color w:val="auto"/>
          <w:spacing w:val="0"/>
          <w:kern w:val="0"/>
          <w:sz w:val="24"/>
          <w:szCs w:val="24"/>
          <w:lang w:val="en-US" w:eastAsia="zh-CN" w:bidi="ar"/>
        </w:rPr>
        <w:t>。本次校级“两库”项目均为“认定”类。</w:t>
      </w:r>
    </w:p>
    <w:p w14:paraId="38A13307">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r>
        <w:rPr>
          <w:rFonts w:hint="default"/>
          <w:b/>
          <w:bCs/>
          <w:color w:val="auto"/>
          <w:sz w:val="24"/>
          <w:szCs w:val="24"/>
          <w:lang w:val="en-US" w:eastAsia="zh-CN"/>
        </w:rPr>
        <w:t>一、</w:t>
      </w:r>
      <w:r>
        <w:rPr>
          <w:rFonts w:hint="eastAsia"/>
          <w:b/>
          <w:bCs/>
          <w:color w:val="auto"/>
          <w:sz w:val="24"/>
          <w:szCs w:val="24"/>
          <w:lang w:val="en-US" w:eastAsia="zh-CN"/>
        </w:rPr>
        <w:t>认定</w:t>
      </w:r>
      <w:r>
        <w:rPr>
          <w:rFonts w:hint="default"/>
          <w:b/>
          <w:bCs/>
          <w:color w:val="auto"/>
          <w:sz w:val="24"/>
          <w:szCs w:val="24"/>
          <w:lang w:val="en-US" w:eastAsia="zh-CN"/>
        </w:rPr>
        <w:t>要求</w:t>
      </w:r>
    </w:p>
    <w:p w14:paraId="1DA528AA">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（一）行业企业课程资源库</w:t>
      </w:r>
    </w:p>
    <w:p w14:paraId="5F313964">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1.获批教育部产学合作协同育人项目（教学内容和课程体系改革）、</w:t>
      </w:r>
      <w:r>
        <w:rPr>
          <w:rFonts w:hint="eastAsia"/>
          <w:color w:val="auto"/>
          <w:sz w:val="24"/>
          <w:szCs w:val="24"/>
          <w:lang w:val="en-US" w:eastAsia="zh-CN"/>
        </w:rPr>
        <w:t>“</w:t>
      </w:r>
      <w:r>
        <w:rPr>
          <w:rFonts w:hint="default"/>
          <w:color w:val="auto"/>
          <w:sz w:val="24"/>
          <w:szCs w:val="24"/>
          <w:lang w:val="en-US" w:eastAsia="zh-CN"/>
        </w:rPr>
        <w:t>校企共建示范课程</w:t>
      </w:r>
      <w:r>
        <w:rPr>
          <w:rFonts w:hint="eastAsia"/>
          <w:color w:val="auto"/>
          <w:sz w:val="24"/>
          <w:szCs w:val="24"/>
          <w:lang w:val="en-US" w:eastAsia="zh-CN"/>
        </w:rPr>
        <w:t>”</w:t>
      </w:r>
      <w:r>
        <w:rPr>
          <w:rFonts w:hint="default"/>
          <w:color w:val="auto"/>
          <w:sz w:val="24"/>
          <w:szCs w:val="24"/>
          <w:lang w:val="en-US" w:eastAsia="zh-CN"/>
        </w:rPr>
        <w:t>等相关质量工程项目的课程资源应纳入</w:t>
      </w:r>
      <w:r>
        <w:rPr>
          <w:rFonts w:hint="eastAsia"/>
          <w:color w:val="auto"/>
          <w:sz w:val="24"/>
          <w:szCs w:val="24"/>
          <w:lang w:val="en-US" w:eastAsia="zh-CN"/>
        </w:rPr>
        <w:t>“</w:t>
      </w:r>
      <w:r>
        <w:rPr>
          <w:rFonts w:hint="default"/>
          <w:color w:val="auto"/>
          <w:sz w:val="24"/>
          <w:szCs w:val="24"/>
          <w:lang w:val="en-US" w:eastAsia="zh-CN"/>
        </w:rPr>
        <w:t>行业企业课程资源库</w:t>
      </w:r>
      <w:r>
        <w:rPr>
          <w:rFonts w:hint="eastAsia"/>
          <w:color w:val="auto"/>
          <w:sz w:val="24"/>
          <w:szCs w:val="24"/>
          <w:lang w:val="en-US" w:eastAsia="zh-CN"/>
        </w:rPr>
        <w:t>”</w:t>
      </w:r>
      <w:r>
        <w:rPr>
          <w:rFonts w:hint="default"/>
          <w:color w:val="auto"/>
          <w:sz w:val="24"/>
          <w:szCs w:val="24"/>
          <w:lang w:val="en-US" w:eastAsia="zh-CN"/>
        </w:rPr>
        <w:t>认定范围。</w:t>
      </w:r>
    </w:p>
    <w:p w14:paraId="6C610F9E">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2.课程实施过程中邀请了行业企业高水平管理人员或技术人员来校授课或有行业企业参与课程教学大纲、教学设计、教学案例等教学文件制定，充分体现行业企业特色的并在教学中被采用的课程资源均应纳入</w:t>
      </w:r>
      <w:r>
        <w:rPr>
          <w:rFonts w:hint="eastAsia"/>
          <w:color w:val="auto"/>
          <w:sz w:val="24"/>
          <w:szCs w:val="24"/>
          <w:lang w:val="en-US" w:eastAsia="zh-CN"/>
        </w:rPr>
        <w:t>“</w:t>
      </w:r>
      <w:r>
        <w:rPr>
          <w:rFonts w:hint="default"/>
          <w:color w:val="auto"/>
          <w:sz w:val="24"/>
          <w:szCs w:val="24"/>
          <w:lang w:val="en-US" w:eastAsia="zh-CN"/>
        </w:rPr>
        <w:t>行业企业课程资源库</w:t>
      </w:r>
      <w:r>
        <w:rPr>
          <w:rFonts w:hint="eastAsia"/>
          <w:color w:val="auto"/>
          <w:sz w:val="24"/>
          <w:szCs w:val="24"/>
          <w:lang w:val="en-US" w:eastAsia="zh-CN"/>
        </w:rPr>
        <w:t>”</w:t>
      </w:r>
      <w:r>
        <w:rPr>
          <w:rFonts w:hint="default"/>
          <w:color w:val="auto"/>
          <w:sz w:val="24"/>
          <w:szCs w:val="24"/>
          <w:lang w:val="en-US" w:eastAsia="zh-CN"/>
        </w:rPr>
        <w:t>认定范围。</w:t>
      </w:r>
    </w:p>
    <w:p w14:paraId="185E32AB">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default"/>
          <w:color w:val="auto"/>
          <w:sz w:val="24"/>
          <w:szCs w:val="24"/>
          <w:lang w:val="en-US" w:eastAsia="zh-CN"/>
        </w:rPr>
        <w:t>（二）真实项目案例库</w:t>
      </w:r>
    </w:p>
    <w:p w14:paraId="3E256EA2">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w:t>
      </w:r>
      <w:r>
        <w:rPr>
          <w:rFonts w:hint="default"/>
          <w:color w:val="auto"/>
          <w:sz w:val="24"/>
          <w:szCs w:val="24"/>
          <w:lang w:val="en-US" w:eastAsia="zh-CN"/>
        </w:rPr>
        <w:t>真实项目案例库</w:t>
      </w:r>
      <w:r>
        <w:rPr>
          <w:rFonts w:hint="eastAsia"/>
          <w:color w:val="auto"/>
          <w:sz w:val="24"/>
          <w:szCs w:val="24"/>
          <w:lang w:val="en-US" w:eastAsia="zh-CN"/>
        </w:rPr>
        <w:t>”</w:t>
      </w:r>
      <w:r>
        <w:rPr>
          <w:rFonts w:hint="default"/>
          <w:color w:val="auto"/>
          <w:sz w:val="24"/>
          <w:szCs w:val="24"/>
          <w:lang w:val="en-US" w:eastAsia="zh-CN"/>
        </w:rPr>
        <w:t>包括引入课程教学内容相关的行业企业及职业岗位的真实项目或任务，以及具有一定代表性的经典案例等，项目、任务、案例等资源内容需与课程教学内容紧密结合、契合课程教学目标。符合上述条件的案例均应纳入</w:t>
      </w:r>
      <w:r>
        <w:rPr>
          <w:rFonts w:hint="eastAsia"/>
          <w:color w:val="auto"/>
          <w:sz w:val="24"/>
          <w:szCs w:val="24"/>
          <w:lang w:val="en-US" w:eastAsia="zh-CN"/>
        </w:rPr>
        <w:t>“</w:t>
      </w:r>
      <w:r>
        <w:rPr>
          <w:rFonts w:hint="default"/>
          <w:color w:val="auto"/>
          <w:sz w:val="24"/>
          <w:szCs w:val="24"/>
          <w:lang w:val="en-US" w:eastAsia="zh-CN"/>
        </w:rPr>
        <w:t>真实项目案例库</w:t>
      </w:r>
      <w:r>
        <w:rPr>
          <w:rFonts w:hint="eastAsia"/>
          <w:color w:val="auto"/>
          <w:sz w:val="24"/>
          <w:szCs w:val="24"/>
          <w:lang w:val="en-US" w:eastAsia="zh-CN"/>
        </w:rPr>
        <w:t>”</w:t>
      </w:r>
      <w:r>
        <w:rPr>
          <w:rFonts w:hint="default"/>
          <w:color w:val="auto"/>
          <w:sz w:val="24"/>
          <w:szCs w:val="24"/>
          <w:lang w:val="en-US" w:eastAsia="zh-CN"/>
        </w:rPr>
        <w:t>认定范围。</w:t>
      </w:r>
    </w:p>
    <w:p w14:paraId="37FBD801">
      <w:pPr>
        <w:keepNext w:val="0"/>
        <w:keepLines w:val="0"/>
        <w:pageBreakBefore w:val="0"/>
        <w:widowControl/>
        <w:numPr>
          <w:ilvl w:val="0"/>
          <w:numId w:val="0"/>
        </w:numPr>
        <w:kinsoku/>
        <w:wordWrap/>
        <w:overflowPunct/>
        <w:topLinePunct w:val="0"/>
        <w:autoSpaceDE/>
        <w:autoSpaceDN/>
        <w:bidi w:val="0"/>
        <w:adjustRightInd w:val="0"/>
        <w:snapToGrid/>
        <w:spacing w:line="420" w:lineRule="exact"/>
        <w:ind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二、认定标准</w:t>
      </w:r>
    </w:p>
    <w:p w14:paraId="71EA3119">
      <w:pPr>
        <w:keepNext w:val="0"/>
        <w:keepLines w:val="0"/>
        <w:pageBreakBefore w:val="0"/>
        <w:kinsoku/>
        <w:wordWrap/>
        <w:overflowPunct/>
        <w:topLinePunct w:val="0"/>
        <w:autoSpaceDE/>
        <w:autoSpaceDN/>
        <w:bidi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1.“行业企业课程资源库”、“真实项目案例库”认定需提交以下材料：</w:t>
      </w:r>
    </w:p>
    <w:p w14:paraId="01E69729">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（1）行业企业课程资源库：申报书+支撑证明材料（实际运用的行业企业资源）+教学资源（转化成为的实际教学内容包括但不限于教学大纲、教学设计、教学案例、相关章节课件等）</w:t>
      </w:r>
    </w:p>
    <w:p w14:paraId="5A1D5004">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（2）真实项目案例库：申报书+支撑证明材料（真实项目案例或任务）+教学资源（转化成为的教学内容包括但不限于教学大纲、教学设计、教学案例、相关章节课件等）</w:t>
      </w:r>
    </w:p>
    <w:p w14:paraId="53221D8F">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2.“两库”案例要坚持原创性，不得侵犯他人知识产权。申报案例不得与往年立项的案例项目名称相同。</w:t>
      </w:r>
    </w:p>
    <w:p w14:paraId="39927676">
      <w:pPr>
        <w:keepNext w:val="0"/>
        <w:keepLines w:val="0"/>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color w:val="auto"/>
          <w:sz w:val="24"/>
          <w:szCs w:val="24"/>
          <w:lang w:val="en-US" w:eastAsia="zh-CN"/>
        </w:rPr>
      </w:pPr>
    </w:p>
    <w:p w14:paraId="284486AB">
      <w:pPr>
        <w:pageBreakBefore w:val="0"/>
        <w:widowControl/>
        <w:numPr>
          <w:ilvl w:val="0"/>
          <w:numId w:val="0"/>
        </w:numPr>
        <w:kinsoku/>
        <w:wordWrap/>
        <w:overflowPunct/>
        <w:topLinePunct w:val="0"/>
        <w:autoSpaceDE/>
        <w:autoSpaceDN/>
        <w:bidi w:val="0"/>
        <w:adjustRightInd w:val="0"/>
        <w:snapToGrid/>
        <w:spacing w:line="360" w:lineRule="auto"/>
        <w:textAlignment w:val="auto"/>
        <w:rPr>
          <w:rFonts w:hint="default" w:ascii="仿宋" w:hAnsi="仿宋" w:eastAsia="仿宋"/>
          <w:b/>
          <w:color w:val="auto"/>
          <w:kern w:val="0"/>
          <w:sz w:val="36"/>
          <w:szCs w:val="36"/>
          <w:lang w:val="en-US" w:eastAsia="zh-CN"/>
        </w:rPr>
      </w:pPr>
      <w:r>
        <w:rPr>
          <w:rFonts w:hint="eastAsia" w:ascii="仿宋" w:hAnsi="仿宋" w:eastAsia="仿宋"/>
          <w:b/>
          <w:color w:val="auto"/>
          <w:kern w:val="0"/>
          <w:sz w:val="36"/>
          <w:szCs w:val="36"/>
          <w:lang w:val="en-US" w:eastAsia="zh-CN"/>
        </w:rPr>
        <w:t>7  校级微专业</w:t>
      </w:r>
    </w:p>
    <w:p w14:paraId="6C3FB6C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50" w:lineRule="atLeast"/>
        <w:ind w:left="0" w:right="0" w:firstLine="555"/>
        <w:jc w:val="both"/>
        <w:rPr>
          <w:rFonts w:ascii="微软雅黑" w:hAnsi="微软雅黑" w:eastAsia="微软雅黑" w:cs="微软雅黑"/>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rPr>
        <w:t>一、建设目标</w:t>
      </w:r>
    </w:p>
    <w:p w14:paraId="0C2D61A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atLeast"/>
        <w:ind w:left="0" w:leftChars="0" w:right="0" w:rightChars="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1.</w:t>
      </w:r>
      <w:r>
        <w:rPr>
          <w:rFonts w:hint="eastAsia" w:ascii="宋体" w:hAnsi="宋体" w:eastAsia="宋体" w:cs="宋体"/>
          <w:i w:val="0"/>
          <w:iCs w:val="0"/>
          <w:caps w:val="0"/>
          <w:color w:val="auto"/>
          <w:spacing w:val="0"/>
          <w:kern w:val="0"/>
          <w:sz w:val="24"/>
          <w:szCs w:val="24"/>
          <w:lang w:val="en-US" w:eastAsia="zh-CN" w:bidi="ar"/>
        </w:rPr>
        <w:t>微专业是指围绕某个特定专业领域、产业动态、研究方向或者核心素养，提炼某一职业岗位群的核心技能，开设的一组核心课程，通过灵活、系统的培养，使学生具备相应的专业素养和专业能力，提高学生知识结构的复合性，提升与社会需求的匹配度。</w:t>
      </w:r>
    </w:p>
    <w:p w14:paraId="1CCD4818">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2.</w:t>
      </w:r>
      <w:r>
        <w:rPr>
          <w:rFonts w:hint="eastAsia" w:ascii="宋体" w:hAnsi="宋体" w:eastAsia="宋体" w:cs="宋体"/>
          <w:i w:val="0"/>
          <w:iCs w:val="0"/>
          <w:caps w:val="0"/>
          <w:color w:val="auto"/>
          <w:spacing w:val="0"/>
          <w:kern w:val="0"/>
          <w:sz w:val="24"/>
          <w:szCs w:val="24"/>
          <w:lang w:val="en-US" w:eastAsia="zh-CN" w:bidi="ar"/>
        </w:rPr>
        <w:t>鼓励跨学院、跨学科、跨专业组建微专业教学团队，鼓励学院和校内外科研机构、行业企业合作开发微专业。</w:t>
      </w:r>
    </w:p>
    <w:p w14:paraId="4E2F9518">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cs="宋体"/>
          <w:i w:val="0"/>
          <w:iCs w:val="0"/>
          <w:caps w:val="0"/>
          <w:color w:val="auto"/>
          <w:spacing w:val="0"/>
          <w:kern w:val="0"/>
          <w:sz w:val="24"/>
          <w:szCs w:val="24"/>
          <w:lang w:val="en-US" w:eastAsia="zh-CN" w:bidi="ar"/>
        </w:rPr>
        <w:t>3.</w:t>
      </w:r>
      <w:r>
        <w:rPr>
          <w:rFonts w:hint="eastAsia" w:ascii="宋体" w:hAnsi="宋体" w:eastAsia="宋体" w:cs="宋体"/>
          <w:i w:val="0"/>
          <w:iCs w:val="0"/>
          <w:caps w:val="0"/>
          <w:color w:val="auto"/>
          <w:spacing w:val="0"/>
          <w:kern w:val="0"/>
          <w:sz w:val="24"/>
          <w:szCs w:val="24"/>
          <w:lang w:val="en-US" w:eastAsia="zh-CN" w:bidi="ar"/>
        </w:rPr>
        <w:t>原则上微专业要依托现有的现代产业学院和特色学院平台、高峰学科建设点，一流专业建设点等，且每个微专业都要与行业企业联合建设，重点聚焦在经济管理类的数智化改造的专业、服务铜陵主导产业、围绕安徽</w:t>
      </w:r>
      <w:r>
        <w:rPr>
          <w:rFonts w:hint="eastAsia" w:ascii="宋体" w:hAnsi="宋体" w:cs="宋体"/>
          <w:i w:val="0"/>
          <w:iCs w:val="0"/>
          <w:caps w:val="0"/>
          <w:color w:val="auto"/>
          <w:spacing w:val="0"/>
          <w:kern w:val="0"/>
          <w:sz w:val="24"/>
          <w:szCs w:val="24"/>
          <w:lang w:val="en-US" w:eastAsia="zh-CN" w:bidi="ar"/>
        </w:rPr>
        <w:t>省</w:t>
      </w:r>
      <w:r>
        <w:rPr>
          <w:rFonts w:hint="eastAsia" w:ascii="宋体" w:hAnsi="宋体" w:eastAsia="宋体" w:cs="宋体"/>
          <w:i w:val="0"/>
          <w:iCs w:val="0"/>
          <w:caps w:val="0"/>
          <w:color w:val="auto"/>
          <w:spacing w:val="0"/>
          <w:kern w:val="0"/>
          <w:sz w:val="24"/>
          <w:szCs w:val="24"/>
          <w:lang w:val="en-US" w:eastAsia="zh-CN" w:bidi="ar"/>
        </w:rPr>
        <w:t>新兴产业和未来技术产业开展微专业建设。</w:t>
      </w:r>
    </w:p>
    <w:p w14:paraId="15002C77">
      <w:pPr>
        <w:keepNext w:val="0"/>
        <w:keepLines w:val="0"/>
        <w:widowControl/>
        <w:suppressLineNumbers w:val="0"/>
        <w:spacing w:before="0" w:beforeAutospacing="0" w:after="0" w:afterAutospacing="0" w:line="420" w:lineRule="atLeast"/>
        <w:ind w:left="150" w:right="150" w:firstLine="422"/>
        <w:jc w:val="both"/>
        <w:rPr>
          <w:rFonts w:hint="eastAsia" w:ascii="等线" w:hAnsi="等线" w:eastAsia="等线" w:cs="等线"/>
          <w:color w:val="auto"/>
          <w:sz w:val="24"/>
          <w:szCs w:val="24"/>
        </w:rPr>
      </w:pPr>
      <w:r>
        <w:rPr>
          <w:rStyle w:val="9"/>
          <w:rFonts w:hint="eastAsia" w:ascii="宋体" w:hAnsi="宋体" w:eastAsia="宋体" w:cs="宋体"/>
          <w:i w:val="0"/>
          <w:iCs w:val="0"/>
          <w:caps w:val="0"/>
          <w:color w:val="auto"/>
          <w:spacing w:val="0"/>
          <w:kern w:val="0"/>
          <w:sz w:val="24"/>
          <w:szCs w:val="24"/>
          <w:lang w:val="en-US" w:eastAsia="zh-CN" w:bidi="ar"/>
        </w:rPr>
        <w:t>二、申报要求</w:t>
      </w:r>
    </w:p>
    <w:p w14:paraId="206B7473">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1.专业建设指导思想明确、培养目标和任务清晰、具有较为鲜明的专业行业特色；依托学科是学校的优势和特色学科，或新兴交叉学科，并符合微专业建设规划。</w:t>
      </w:r>
    </w:p>
    <w:p w14:paraId="0B86F114">
      <w:pPr>
        <w:keepNext w:val="0"/>
        <w:keepLines w:val="0"/>
        <w:widowControl/>
        <w:suppressLineNumbers w:val="0"/>
        <w:spacing w:before="0" w:beforeAutospacing="0" w:after="0" w:afterAutospacing="0" w:line="420" w:lineRule="atLeast"/>
        <w:ind w:left="150" w:right="150" w:firstLine="420"/>
        <w:jc w:val="both"/>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2.微专业负责人在教学和学术上有一定造诣,熟悉本专业发展方向，具有副高级</w:t>
      </w:r>
      <w:r>
        <w:rPr>
          <w:rFonts w:hint="eastAsia" w:ascii="宋体" w:hAnsi="宋体" w:cs="宋体"/>
          <w:i w:val="0"/>
          <w:iCs w:val="0"/>
          <w:caps w:val="0"/>
          <w:color w:val="auto"/>
          <w:spacing w:val="0"/>
          <w:kern w:val="0"/>
          <w:sz w:val="24"/>
          <w:szCs w:val="24"/>
          <w:lang w:val="en-US" w:eastAsia="zh-CN" w:bidi="ar"/>
        </w:rPr>
        <w:t>及</w:t>
      </w:r>
      <w:r>
        <w:rPr>
          <w:rFonts w:hint="eastAsia" w:ascii="宋体" w:hAnsi="宋体" w:eastAsia="宋体" w:cs="宋体"/>
          <w:i w:val="0"/>
          <w:iCs w:val="0"/>
          <w:caps w:val="0"/>
          <w:color w:val="auto"/>
          <w:spacing w:val="0"/>
          <w:kern w:val="0"/>
          <w:sz w:val="24"/>
          <w:szCs w:val="24"/>
          <w:lang w:val="en-US" w:eastAsia="zh-CN" w:bidi="ar"/>
        </w:rPr>
        <w:t>以上职称，有一定的教学管理经验。教学团队年龄与知识结构合理、富于创新、团结协作，有承担人才培养模式改革和教学建设任务的能力；能够广泛开展国内外学术交流与合作；具有良好的学术氛围。</w:t>
      </w:r>
    </w:p>
    <w:p w14:paraId="67127938">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3.培养方案、教学大纲等教学文件齐备；具有较完善的管理制度。</w:t>
      </w:r>
    </w:p>
    <w:p w14:paraId="6ADB2896">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4.每个微专业需开设5-8门课程，总学分控制在15学分左右，每门课程原则上为2-3 学分。</w:t>
      </w:r>
    </w:p>
    <w:p w14:paraId="5C966FD1">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left="150" w:right="150" w:firstLine="420"/>
        <w:jc w:val="both"/>
        <w:textAlignment w:val="auto"/>
        <w:rPr>
          <w:rFonts w:hint="default"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5.开设单位能从政策、人员、经费、场地等多方面支持微专业建设，并为微专业班级配备指导老师，安排专人负责微专业教学管理工作。</w:t>
      </w:r>
    </w:p>
    <w:p w14:paraId="2D9A0C8A">
      <w:pPr>
        <w:keepNext w:val="0"/>
        <w:keepLines w:val="0"/>
        <w:pageBreakBefore w:val="0"/>
        <w:widowControl/>
        <w:numPr>
          <w:ilvl w:val="0"/>
          <w:numId w:val="0"/>
        </w:numPr>
        <w:kinsoku/>
        <w:wordWrap/>
        <w:overflowPunct/>
        <w:topLinePunct w:val="0"/>
        <w:autoSpaceDE/>
        <w:autoSpaceDN/>
        <w:bidi w:val="0"/>
        <w:adjustRightInd w:val="0"/>
        <w:snapToGrid/>
        <w:spacing w:line="420" w:lineRule="exact"/>
        <w:textAlignment w:val="auto"/>
        <w:rPr>
          <w:rFonts w:hint="default"/>
          <w:b/>
          <w:bCs/>
          <w:color w:val="auto"/>
          <w:sz w:val="24"/>
          <w:szCs w:val="24"/>
          <w:lang w:val="en-US" w:eastAsia="zh-CN"/>
        </w:rPr>
      </w:pPr>
      <w:r>
        <w:rPr>
          <w:rFonts w:hint="eastAsia"/>
          <w:b/>
          <w:bCs/>
          <w:color w:val="auto"/>
          <w:sz w:val="24"/>
          <w:szCs w:val="24"/>
          <w:lang w:val="en-US" w:eastAsia="zh-CN"/>
        </w:rPr>
        <w:t xml:space="preserve">    三、建设要求</w:t>
      </w:r>
    </w:p>
    <w:p w14:paraId="558BB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微专业建设实行项目制，由各学院组织教学团队开展申报，学校组织专家审议，经研究通过后立项实施。微专业建设坚持</w:t>
      </w:r>
      <w:r>
        <w:rPr>
          <w:rFonts w:hint="eastAsia" w:ascii="宋体" w:hAnsi="宋体" w:cs="宋体"/>
          <w:i w:val="0"/>
          <w:iCs w:val="0"/>
          <w:caps w:val="0"/>
          <w:color w:val="auto"/>
          <w:spacing w:val="0"/>
          <w:kern w:val="0"/>
          <w:sz w:val="24"/>
          <w:szCs w:val="24"/>
          <w:lang w:val="en-US" w:eastAsia="zh-CN" w:bidi="ar"/>
        </w:rPr>
        <w:t>“</w:t>
      </w:r>
      <w:r>
        <w:rPr>
          <w:rFonts w:hint="eastAsia" w:ascii="宋体" w:hAnsi="宋体" w:eastAsia="宋体" w:cs="宋体"/>
          <w:i w:val="0"/>
          <w:iCs w:val="0"/>
          <w:caps w:val="0"/>
          <w:color w:val="auto"/>
          <w:spacing w:val="0"/>
          <w:kern w:val="0"/>
          <w:sz w:val="24"/>
          <w:szCs w:val="24"/>
          <w:lang w:val="en-US" w:eastAsia="zh-CN" w:bidi="ar"/>
        </w:rPr>
        <w:t>边建设、边运行”的原则。</w:t>
      </w:r>
    </w:p>
    <w:p w14:paraId="5A601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firstLine="482" w:firstLineChars="200"/>
        <w:jc w:val="both"/>
        <w:textAlignment w:val="auto"/>
        <w:rPr>
          <w:rFonts w:hint="eastAsia" w:ascii="宋体" w:hAnsi="宋体" w:eastAsia="宋体" w:cs="宋体"/>
          <w:b/>
          <w:bCs/>
          <w:i w:val="0"/>
          <w:iCs w:val="0"/>
          <w:caps w:val="0"/>
          <w:color w:val="auto"/>
          <w:spacing w:val="0"/>
          <w:kern w:val="0"/>
          <w:sz w:val="24"/>
          <w:szCs w:val="24"/>
          <w:lang w:val="en-US" w:eastAsia="zh-CN" w:bidi="ar"/>
        </w:rPr>
      </w:pPr>
      <w:r>
        <w:rPr>
          <w:rFonts w:hint="eastAsia" w:ascii="宋体" w:hAnsi="宋体" w:eastAsia="宋体" w:cs="宋体"/>
          <w:b/>
          <w:bCs/>
          <w:i w:val="0"/>
          <w:iCs w:val="0"/>
          <w:caps w:val="0"/>
          <w:color w:val="auto"/>
          <w:spacing w:val="0"/>
          <w:kern w:val="0"/>
          <w:sz w:val="24"/>
          <w:szCs w:val="24"/>
          <w:lang w:val="en-US" w:eastAsia="zh-CN" w:bidi="ar"/>
        </w:rPr>
        <w:t>建设期</w:t>
      </w:r>
      <w:r>
        <w:rPr>
          <w:rFonts w:hint="eastAsia" w:ascii="宋体" w:hAnsi="宋体" w:cs="宋体"/>
          <w:b/>
          <w:bCs/>
          <w:i w:val="0"/>
          <w:iCs w:val="0"/>
          <w:caps w:val="0"/>
          <w:color w:val="auto"/>
          <w:spacing w:val="0"/>
          <w:kern w:val="0"/>
          <w:sz w:val="24"/>
          <w:szCs w:val="24"/>
          <w:lang w:val="en-US" w:eastAsia="zh-CN" w:bidi="ar"/>
        </w:rPr>
        <w:t>：</w:t>
      </w:r>
      <w:r>
        <w:rPr>
          <w:rFonts w:hint="eastAsia" w:ascii="宋体" w:hAnsi="宋体" w:eastAsia="宋体" w:cs="宋体"/>
          <w:b/>
          <w:bCs/>
          <w:i w:val="0"/>
          <w:iCs w:val="0"/>
          <w:caps w:val="0"/>
          <w:color w:val="auto"/>
          <w:spacing w:val="0"/>
          <w:kern w:val="0"/>
          <w:sz w:val="24"/>
          <w:szCs w:val="24"/>
          <w:lang w:val="en-US" w:eastAsia="zh-CN" w:bidi="ar"/>
        </w:rPr>
        <w:t>2年。</w:t>
      </w:r>
    </w:p>
    <w:p w14:paraId="093F49DC">
      <w:pPr>
        <w:keepNext w:val="0"/>
        <w:keepLines w:val="0"/>
        <w:pageBreakBefore w:val="0"/>
        <w:widowControl/>
        <w:suppressLineNumbers w:val="0"/>
        <w:kinsoku/>
        <w:wordWrap/>
        <w:overflowPunct/>
        <w:topLinePunct w:val="0"/>
        <w:autoSpaceDE/>
        <w:autoSpaceDN/>
        <w:bidi w:val="0"/>
        <w:snapToGrid/>
        <w:spacing w:before="0" w:beforeAutospacing="0" w:after="0" w:afterAutospacing="0" w:line="420" w:lineRule="exact"/>
        <w:ind w:right="150" w:firstLine="480" w:firstLineChars="200"/>
        <w:jc w:val="both"/>
        <w:textAlignment w:val="auto"/>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立项建设的微专业，原则上从立项下一学期起开设。学生自愿报名，由项目管理团队负责宣传、选拔等，学生完成培养方案指定课程，获得规定学分，经学院审核后，报教务处审定，发放学校统一制作的微专业证书。</w:t>
      </w:r>
    </w:p>
    <w:p w14:paraId="693B0284">
      <w:pPr>
        <w:pageBreakBefore w:val="0"/>
        <w:widowControl/>
        <w:numPr>
          <w:ilvl w:val="0"/>
          <w:numId w:val="0"/>
        </w:numPr>
        <w:kinsoku/>
        <w:wordWrap/>
        <w:overflowPunct/>
        <w:topLinePunct w:val="0"/>
        <w:autoSpaceDE/>
        <w:autoSpaceDN/>
        <w:bidi w:val="0"/>
        <w:adjustRightInd w:val="0"/>
        <w:snapToGrid/>
        <w:spacing w:line="360" w:lineRule="auto"/>
        <w:ind w:firstLine="482" w:firstLineChars="200"/>
        <w:textAlignment w:val="auto"/>
        <w:rPr>
          <w:rFonts w:hint="default"/>
          <w:color w:val="auto"/>
          <w:sz w:val="24"/>
          <w:szCs w:val="24"/>
          <w:lang w:val="en-US" w:eastAsia="zh-CN"/>
        </w:rPr>
      </w:pPr>
      <w:r>
        <w:rPr>
          <w:rFonts w:hint="eastAsia"/>
          <w:b/>
          <w:bCs/>
          <w:color w:val="auto"/>
          <w:sz w:val="24"/>
          <w:szCs w:val="24"/>
          <w:lang w:val="en-US" w:eastAsia="zh-CN"/>
        </w:rPr>
        <w:t>验收标准：</w:t>
      </w:r>
      <w:r>
        <w:rPr>
          <w:rFonts w:hint="eastAsia"/>
          <w:color w:val="auto"/>
          <w:sz w:val="24"/>
          <w:szCs w:val="24"/>
          <w:lang w:val="en-US" w:eastAsia="zh-CN"/>
        </w:rPr>
        <w:t>参照</w:t>
      </w:r>
      <w:r>
        <w:rPr>
          <w:rFonts w:hint="default" w:ascii="Times New Roman" w:hAnsi="Times New Roman" w:cs="Times New Roman" w:eastAsiaTheme="minorEastAsia"/>
          <w:color w:val="auto"/>
          <w:kern w:val="0"/>
          <w:sz w:val="24"/>
          <w:szCs w:val="24"/>
          <w:lang w:val="en-US" w:eastAsia="zh-CN" w:bidi="ar"/>
        </w:rPr>
        <w:t> 《铜陵学院微专业建设与管理办法》（院办〔2024〕9号） </w:t>
      </w:r>
      <w:r>
        <w:rPr>
          <w:rFonts w:hint="eastAsia" w:ascii="Times New Roman" w:hAnsi="Times New Roman" w:cs="Times New Roman" w:eastAsiaTheme="minorEastAsia"/>
          <w:color w:val="auto"/>
          <w:kern w:val="0"/>
          <w:sz w:val="24"/>
          <w:szCs w:val="24"/>
          <w:lang w:val="en-US" w:eastAsia="zh-CN" w:bidi="ar"/>
        </w:rPr>
        <w:t>中</w:t>
      </w:r>
      <w:r>
        <w:rPr>
          <w:rFonts w:hint="eastAsia" w:ascii="Times New Roman" w:hAnsi="Times New Roman" w:cs="Times New Roman"/>
          <w:b w:val="0"/>
          <w:bCs w:val="0"/>
          <w:color w:val="auto"/>
          <w:kern w:val="0"/>
          <w:sz w:val="24"/>
          <w:szCs w:val="24"/>
          <w:lang w:val="en-US" w:eastAsia="zh-CN" w:bidi="ar"/>
        </w:rPr>
        <w:t>“</w:t>
      </w:r>
      <w:r>
        <w:rPr>
          <w:rFonts w:hint="eastAsia" w:ascii="Times New Roman" w:hAnsi="Times New Roman" w:eastAsia="宋体" w:cs="Times New Roman"/>
          <w:b w:val="0"/>
          <w:bCs w:val="0"/>
          <w:color w:val="auto"/>
          <w:kern w:val="0"/>
          <w:sz w:val="24"/>
          <w:szCs w:val="24"/>
          <w:lang w:val="en-US" w:eastAsia="zh-CN" w:bidi="ar"/>
        </w:rPr>
        <w:t>评估与验收”</w:t>
      </w:r>
      <w:r>
        <w:rPr>
          <w:rFonts w:hint="eastAsia" w:ascii="Times New Roman" w:hAnsi="Times New Roman" w:cs="Times New Roman" w:eastAsiaTheme="minorEastAsia"/>
          <w:color w:val="auto"/>
          <w:kern w:val="0"/>
          <w:sz w:val="24"/>
          <w:szCs w:val="24"/>
          <w:lang w:val="en-US" w:eastAsia="zh-CN" w:bidi="ar"/>
        </w:rPr>
        <w:t>要求。</w:t>
      </w:r>
    </w:p>
    <w:p w14:paraId="181B01FD">
      <w:pPr>
        <w:pageBreakBefore w:val="0"/>
        <w:widowControl/>
        <w:numPr>
          <w:ilvl w:val="0"/>
          <w:numId w:val="0"/>
        </w:numPr>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BAE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0FD4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70FD4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ZTQ5NTRmY2VmY2I5NGYwNmJmODhkOTQ0MzMzMTkifQ=="/>
  </w:docVars>
  <w:rsids>
    <w:rsidRoot w:val="4DAD1201"/>
    <w:rsid w:val="00044EF2"/>
    <w:rsid w:val="00211E4C"/>
    <w:rsid w:val="003532FE"/>
    <w:rsid w:val="00425A1B"/>
    <w:rsid w:val="00577718"/>
    <w:rsid w:val="00586FEC"/>
    <w:rsid w:val="006D6F3B"/>
    <w:rsid w:val="00847DE1"/>
    <w:rsid w:val="009701C0"/>
    <w:rsid w:val="00B20DF2"/>
    <w:rsid w:val="00B561ED"/>
    <w:rsid w:val="00BA3803"/>
    <w:rsid w:val="00C6664C"/>
    <w:rsid w:val="00DC521D"/>
    <w:rsid w:val="0126160D"/>
    <w:rsid w:val="01571715"/>
    <w:rsid w:val="015754F6"/>
    <w:rsid w:val="017C6D0A"/>
    <w:rsid w:val="01967485"/>
    <w:rsid w:val="01C20BC1"/>
    <w:rsid w:val="01F3521E"/>
    <w:rsid w:val="01F9035B"/>
    <w:rsid w:val="01FD42EF"/>
    <w:rsid w:val="020411DA"/>
    <w:rsid w:val="0213766F"/>
    <w:rsid w:val="02184C85"/>
    <w:rsid w:val="021F7DC1"/>
    <w:rsid w:val="02A227A1"/>
    <w:rsid w:val="02A429BD"/>
    <w:rsid w:val="02DF1815"/>
    <w:rsid w:val="02E334E5"/>
    <w:rsid w:val="02E42DB9"/>
    <w:rsid w:val="02E64F0B"/>
    <w:rsid w:val="02F0175E"/>
    <w:rsid w:val="033A4BEF"/>
    <w:rsid w:val="034D4E02"/>
    <w:rsid w:val="03653EFA"/>
    <w:rsid w:val="036C6EDE"/>
    <w:rsid w:val="03AD58A1"/>
    <w:rsid w:val="03DC51D3"/>
    <w:rsid w:val="04155920"/>
    <w:rsid w:val="04673937"/>
    <w:rsid w:val="048C2F16"/>
    <w:rsid w:val="049525BD"/>
    <w:rsid w:val="04EE7093"/>
    <w:rsid w:val="05500BDA"/>
    <w:rsid w:val="05537D0A"/>
    <w:rsid w:val="056106F1"/>
    <w:rsid w:val="05726749"/>
    <w:rsid w:val="058A2288"/>
    <w:rsid w:val="058F1702"/>
    <w:rsid w:val="059B1E55"/>
    <w:rsid w:val="05DB66F5"/>
    <w:rsid w:val="05E337FC"/>
    <w:rsid w:val="05FC4982"/>
    <w:rsid w:val="061D286A"/>
    <w:rsid w:val="064C13A1"/>
    <w:rsid w:val="065564A8"/>
    <w:rsid w:val="0689271A"/>
    <w:rsid w:val="06C158EB"/>
    <w:rsid w:val="06C278B5"/>
    <w:rsid w:val="06E03074"/>
    <w:rsid w:val="06F175C0"/>
    <w:rsid w:val="06F86E33"/>
    <w:rsid w:val="070954E4"/>
    <w:rsid w:val="073562D9"/>
    <w:rsid w:val="07414C7E"/>
    <w:rsid w:val="07481B68"/>
    <w:rsid w:val="07AD2313"/>
    <w:rsid w:val="07AE1028"/>
    <w:rsid w:val="07C531B9"/>
    <w:rsid w:val="08183C31"/>
    <w:rsid w:val="08206641"/>
    <w:rsid w:val="0831084F"/>
    <w:rsid w:val="08495703"/>
    <w:rsid w:val="08715C92"/>
    <w:rsid w:val="087B41C0"/>
    <w:rsid w:val="087B5F6E"/>
    <w:rsid w:val="08966904"/>
    <w:rsid w:val="08A76D63"/>
    <w:rsid w:val="08D15B8E"/>
    <w:rsid w:val="08E41D65"/>
    <w:rsid w:val="08EE4992"/>
    <w:rsid w:val="08F71A98"/>
    <w:rsid w:val="08FF094D"/>
    <w:rsid w:val="09063A89"/>
    <w:rsid w:val="091C0974"/>
    <w:rsid w:val="09242161"/>
    <w:rsid w:val="09554A11"/>
    <w:rsid w:val="096055AF"/>
    <w:rsid w:val="097A4477"/>
    <w:rsid w:val="09DF0839"/>
    <w:rsid w:val="0A0F2E11"/>
    <w:rsid w:val="0A0F3905"/>
    <w:rsid w:val="0A1713F4"/>
    <w:rsid w:val="0A2148F3"/>
    <w:rsid w:val="0A540824"/>
    <w:rsid w:val="0AAC68B2"/>
    <w:rsid w:val="0ADF27E4"/>
    <w:rsid w:val="0B330D82"/>
    <w:rsid w:val="0B7042D9"/>
    <w:rsid w:val="0B8C422C"/>
    <w:rsid w:val="0B9C6927"/>
    <w:rsid w:val="0B9F01C5"/>
    <w:rsid w:val="0BCD088E"/>
    <w:rsid w:val="0BF027CF"/>
    <w:rsid w:val="0C1F363C"/>
    <w:rsid w:val="0C201306"/>
    <w:rsid w:val="0C225714"/>
    <w:rsid w:val="0C5F68B3"/>
    <w:rsid w:val="0C6805B7"/>
    <w:rsid w:val="0C6D3E1F"/>
    <w:rsid w:val="0C923886"/>
    <w:rsid w:val="0C9F66CF"/>
    <w:rsid w:val="0CB11F5E"/>
    <w:rsid w:val="0CE045F1"/>
    <w:rsid w:val="0CEC7B51"/>
    <w:rsid w:val="0D1A3FA7"/>
    <w:rsid w:val="0D3A01A5"/>
    <w:rsid w:val="0D6214AA"/>
    <w:rsid w:val="0D646FD0"/>
    <w:rsid w:val="0D7C07BE"/>
    <w:rsid w:val="0DA47D15"/>
    <w:rsid w:val="0DAB4BFF"/>
    <w:rsid w:val="0DD77874"/>
    <w:rsid w:val="0DE819AF"/>
    <w:rsid w:val="0E286250"/>
    <w:rsid w:val="0E2F3A82"/>
    <w:rsid w:val="0E670ABD"/>
    <w:rsid w:val="0E835B7C"/>
    <w:rsid w:val="0E87566C"/>
    <w:rsid w:val="0EDD528C"/>
    <w:rsid w:val="0EEA1757"/>
    <w:rsid w:val="0F0D5446"/>
    <w:rsid w:val="0F1B7B63"/>
    <w:rsid w:val="0F476BAA"/>
    <w:rsid w:val="0F9F0794"/>
    <w:rsid w:val="0FC401FA"/>
    <w:rsid w:val="0FDA7A1E"/>
    <w:rsid w:val="0FE144E8"/>
    <w:rsid w:val="0FFF7484"/>
    <w:rsid w:val="100F1591"/>
    <w:rsid w:val="104B26C9"/>
    <w:rsid w:val="10646263"/>
    <w:rsid w:val="108F0808"/>
    <w:rsid w:val="10A92E3C"/>
    <w:rsid w:val="11005262"/>
    <w:rsid w:val="11052878"/>
    <w:rsid w:val="110E3E23"/>
    <w:rsid w:val="11211BDA"/>
    <w:rsid w:val="11290C5D"/>
    <w:rsid w:val="11407D54"/>
    <w:rsid w:val="11535CDA"/>
    <w:rsid w:val="11A27578"/>
    <w:rsid w:val="11BB73DB"/>
    <w:rsid w:val="11CE35B2"/>
    <w:rsid w:val="12026AEA"/>
    <w:rsid w:val="125714E8"/>
    <w:rsid w:val="127001C5"/>
    <w:rsid w:val="12723F3D"/>
    <w:rsid w:val="127B54E8"/>
    <w:rsid w:val="12850115"/>
    <w:rsid w:val="128F15C7"/>
    <w:rsid w:val="12971BF6"/>
    <w:rsid w:val="12B44556"/>
    <w:rsid w:val="12D06EB6"/>
    <w:rsid w:val="12EA7F78"/>
    <w:rsid w:val="12EF1A32"/>
    <w:rsid w:val="13477178"/>
    <w:rsid w:val="138A52B7"/>
    <w:rsid w:val="13B9516F"/>
    <w:rsid w:val="13C01EFD"/>
    <w:rsid w:val="13CC66FB"/>
    <w:rsid w:val="13D84274"/>
    <w:rsid w:val="13E74E94"/>
    <w:rsid w:val="140137CB"/>
    <w:rsid w:val="14076907"/>
    <w:rsid w:val="14237BE5"/>
    <w:rsid w:val="144204BF"/>
    <w:rsid w:val="145C4EA5"/>
    <w:rsid w:val="146009BD"/>
    <w:rsid w:val="14641FAC"/>
    <w:rsid w:val="14A34882"/>
    <w:rsid w:val="14A44C48"/>
    <w:rsid w:val="14C12F5A"/>
    <w:rsid w:val="14F52C04"/>
    <w:rsid w:val="15127C5A"/>
    <w:rsid w:val="153B2D0D"/>
    <w:rsid w:val="153F6304"/>
    <w:rsid w:val="15B80E69"/>
    <w:rsid w:val="15DC724A"/>
    <w:rsid w:val="15EA028F"/>
    <w:rsid w:val="160457F4"/>
    <w:rsid w:val="162A135F"/>
    <w:rsid w:val="167B78AA"/>
    <w:rsid w:val="16CB00C0"/>
    <w:rsid w:val="16DB47A7"/>
    <w:rsid w:val="173E7FFA"/>
    <w:rsid w:val="17604CAC"/>
    <w:rsid w:val="17620A24"/>
    <w:rsid w:val="17836BED"/>
    <w:rsid w:val="17A74689"/>
    <w:rsid w:val="17BD5E70"/>
    <w:rsid w:val="17F17FFA"/>
    <w:rsid w:val="17F65611"/>
    <w:rsid w:val="180E295A"/>
    <w:rsid w:val="18167A61"/>
    <w:rsid w:val="18383533"/>
    <w:rsid w:val="18832F2E"/>
    <w:rsid w:val="18A60DE5"/>
    <w:rsid w:val="18C96881"/>
    <w:rsid w:val="18F30B9E"/>
    <w:rsid w:val="19081158"/>
    <w:rsid w:val="191108A3"/>
    <w:rsid w:val="191E4E1F"/>
    <w:rsid w:val="19263CD4"/>
    <w:rsid w:val="19A81450"/>
    <w:rsid w:val="19DF45AE"/>
    <w:rsid w:val="19FA13E8"/>
    <w:rsid w:val="19FF1E84"/>
    <w:rsid w:val="1A163D48"/>
    <w:rsid w:val="1A3D3CA6"/>
    <w:rsid w:val="1A444411"/>
    <w:rsid w:val="1A4A39F2"/>
    <w:rsid w:val="1A4E703E"/>
    <w:rsid w:val="1A85137E"/>
    <w:rsid w:val="1AAE4F7B"/>
    <w:rsid w:val="1AD00714"/>
    <w:rsid w:val="1AD4263E"/>
    <w:rsid w:val="1AD5775F"/>
    <w:rsid w:val="1ADA4D76"/>
    <w:rsid w:val="1B1F4E7E"/>
    <w:rsid w:val="1B291030"/>
    <w:rsid w:val="1B544B28"/>
    <w:rsid w:val="1B7E7DF7"/>
    <w:rsid w:val="1BF2581B"/>
    <w:rsid w:val="1BF41E67"/>
    <w:rsid w:val="1C580648"/>
    <w:rsid w:val="1C766D20"/>
    <w:rsid w:val="1C940F54"/>
    <w:rsid w:val="1CBB139D"/>
    <w:rsid w:val="1CC051B7"/>
    <w:rsid w:val="1CFC5477"/>
    <w:rsid w:val="1D1F2F14"/>
    <w:rsid w:val="1D65301C"/>
    <w:rsid w:val="1D954F84"/>
    <w:rsid w:val="1DA72E39"/>
    <w:rsid w:val="1DC0677D"/>
    <w:rsid w:val="1DC35F95"/>
    <w:rsid w:val="1E1265D5"/>
    <w:rsid w:val="1E8376BA"/>
    <w:rsid w:val="1E892D3B"/>
    <w:rsid w:val="1EB458DE"/>
    <w:rsid w:val="1EB51D82"/>
    <w:rsid w:val="1EC45B21"/>
    <w:rsid w:val="1ECA6EAF"/>
    <w:rsid w:val="1ECB5101"/>
    <w:rsid w:val="1ED536AB"/>
    <w:rsid w:val="1EDA3596"/>
    <w:rsid w:val="1EE44415"/>
    <w:rsid w:val="1EE93DB3"/>
    <w:rsid w:val="1EF02DBA"/>
    <w:rsid w:val="1F130856"/>
    <w:rsid w:val="1F224640"/>
    <w:rsid w:val="1F4B7FF0"/>
    <w:rsid w:val="1F66307C"/>
    <w:rsid w:val="1FA553CC"/>
    <w:rsid w:val="1FC61D6D"/>
    <w:rsid w:val="1FDF698A"/>
    <w:rsid w:val="1FE12702"/>
    <w:rsid w:val="2000702C"/>
    <w:rsid w:val="201B3D4D"/>
    <w:rsid w:val="203647FC"/>
    <w:rsid w:val="208A4B48"/>
    <w:rsid w:val="212E5E1B"/>
    <w:rsid w:val="214178FD"/>
    <w:rsid w:val="21466CC1"/>
    <w:rsid w:val="21486EDD"/>
    <w:rsid w:val="217355DC"/>
    <w:rsid w:val="21787096"/>
    <w:rsid w:val="217B15C6"/>
    <w:rsid w:val="219100AF"/>
    <w:rsid w:val="21A41C3A"/>
    <w:rsid w:val="21AD6FC6"/>
    <w:rsid w:val="21BF0821"/>
    <w:rsid w:val="21D7200F"/>
    <w:rsid w:val="21FC3824"/>
    <w:rsid w:val="220152DE"/>
    <w:rsid w:val="2208041A"/>
    <w:rsid w:val="2221328A"/>
    <w:rsid w:val="22274D44"/>
    <w:rsid w:val="224376A4"/>
    <w:rsid w:val="224D17A9"/>
    <w:rsid w:val="22525B39"/>
    <w:rsid w:val="22AC349C"/>
    <w:rsid w:val="22B32703"/>
    <w:rsid w:val="22E20C6B"/>
    <w:rsid w:val="22F453DF"/>
    <w:rsid w:val="22FE4C9E"/>
    <w:rsid w:val="233A2855"/>
    <w:rsid w:val="234B4683"/>
    <w:rsid w:val="23517B9F"/>
    <w:rsid w:val="237613B4"/>
    <w:rsid w:val="238166D6"/>
    <w:rsid w:val="239A7798"/>
    <w:rsid w:val="23BA163B"/>
    <w:rsid w:val="23E10F23"/>
    <w:rsid w:val="23E46C65"/>
    <w:rsid w:val="23E629DD"/>
    <w:rsid w:val="24155071"/>
    <w:rsid w:val="243E45C7"/>
    <w:rsid w:val="244A4D1A"/>
    <w:rsid w:val="244B45EE"/>
    <w:rsid w:val="246B4C91"/>
    <w:rsid w:val="24C83E91"/>
    <w:rsid w:val="250C1FD0"/>
    <w:rsid w:val="25203CCD"/>
    <w:rsid w:val="252655F0"/>
    <w:rsid w:val="25641E0C"/>
    <w:rsid w:val="256A4F48"/>
    <w:rsid w:val="2593624D"/>
    <w:rsid w:val="25E829F7"/>
    <w:rsid w:val="25F3318F"/>
    <w:rsid w:val="25F9570A"/>
    <w:rsid w:val="2628795D"/>
    <w:rsid w:val="268A58A2"/>
    <w:rsid w:val="269E134D"/>
    <w:rsid w:val="26AA5F44"/>
    <w:rsid w:val="26C0774B"/>
    <w:rsid w:val="26F92A28"/>
    <w:rsid w:val="271909D4"/>
    <w:rsid w:val="273677D8"/>
    <w:rsid w:val="278247CB"/>
    <w:rsid w:val="27930786"/>
    <w:rsid w:val="279F4FD0"/>
    <w:rsid w:val="27AE55C0"/>
    <w:rsid w:val="27B76947"/>
    <w:rsid w:val="27C76682"/>
    <w:rsid w:val="27E8025A"/>
    <w:rsid w:val="27E93145"/>
    <w:rsid w:val="28060F58"/>
    <w:rsid w:val="28445F24"/>
    <w:rsid w:val="28506677"/>
    <w:rsid w:val="28940C5A"/>
    <w:rsid w:val="28A5440B"/>
    <w:rsid w:val="28E15521"/>
    <w:rsid w:val="28E514B5"/>
    <w:rsid w:val="28EF40E2"/>
    <w:rsid w:val="28F039B6"/>
    <w:rsid w:val="28F214DC"/>
    <w:rsid w:val="29057462"/>
    <w:rsid w:val="29187D76"/>
    <w:rsid w:val="295D729E"/>
    <w:rsid w:val="29787C34"/>
    <w:rsid w:val="29905E04"/>
    <w:rsid w:val="29B06548"/>
    <w:rsid w:val="29B36EBE"/>
    <w:rsid w:val="29CC53AF"/>
    <w:rsid w:val="29DF4157"/>
    <w:rsid w:val="29E057D9"/>
    <w:rsid w:val="2A750617"/>
    <w:rsid w:val="2A88034A"/>
    <w:rsid w:val="2AA367FE"/>
    <w:rsid w:val="2AAD4C66"/>
    <w:rsid w:val="2AB033FD"/>
    <w:rsid w:val="2AB23619"/>
    <w:rsid w:val="2AC5334C"/>
    <w:rsid w:val="2AFE685E"/>
    <w:rsid w:val="2B0A5203"/>
    <w:rsid w:val="2B1C4F36"/>
    <w:rsid w:val="2B703976"/>
    <w:rsid w:val="2B764647"/>
    <w:rsid w:val="2B8723B0"/>
    <w:rsid w:val="2B9E2D40"/>
    <w:rsid w:val="2BB313F7"/>
    <w:rsid w:val="2BC2788C"/>
    <w:rsid w:val="2BE05F64"/>
    <w:rsid w:val="2C5524AE"/>
    <w:rsid w:val="2C8B2374"/>
    <w:rsid w:val="2CF62FBE"/>
    <w:rsid w:val="2D0839C4"/>
    <w:rsid w:val="2D6329A9"/>
    <w:rsid w:val="2D665296"/>
    <w:rsid w:val="2D6C0B0B"/>
    <w:rsid w:val="2D8C0AA2"/>
    <w:rsid w:val="2DA27975"/>
    <w:rsid w:val="2DA76D39"/>
    <w:rsid w:val="2DB96A6D"/>
    <w:rsid w:val="2DCE2518"/>
    <w:rsid w:val="2DD12008"/>
    <w:rsid w:val="2DDD275B"/>
    <w:rsid w:val="2DED6716"/>
    <w:rsid w:val="2DFB1E41"/>
    <w:rsid w:val="2E0A72C8"/>
    <w:rsid w:val="2E2E2FB7"/>
    <w:rsid w:val="2E4E18AB"/>
    <w:rsid w:val="2E5642BC"/>
    <w:rsid w:val="2E690493"/>
    <w:rsid w:val="2E76495E"/>
    <w:rsid w:val="2E913546"/>
    <w:rsid w:val="2F1F6DA3"/>
    <w:rsid w:val="2F266384"/>
    <w:rsid w:val="2F4B7B98"/>
    <w:rsid w:val="2F4F0C27"/>
    <w:rsid w:val="2F6B7F35"/>
    <w:rsid w:val="2F77273B"/>
    <w:rsid w:val="2F8337D6"/>
    <w:rsid w:val="2F855C44"/>
    <w:rsid w:val="2FA71273"/>
    <w:rsid w:val="2FF65D56"/>
    <w:rsid w:val="30354AD0"/>
    <w:rsid w:val="305303BD"/>
    <w:rsid w:val="307355F9"/>
    <w:rsid w:val="308E5F8F"/>
    <w:rsid w:val="30E107B4"/>
    <w:rsid w:val="3106021B"/>
    <w:rsid w:val="3112096E"/>
    <w:rsid w:val="31283ADD"/>
    <w:rsid w:val="31295CB7"/>
    <w:rsid w:val="31350B00"/>
    <w:rsid w:val="314F3970"/>
    <w:rsid w:val="317433D6"/>
    <w:rsid w:val="31744490"/>
    <w:rsid w:val="31790C59"/>
    <w:rsid w:val="31A041CB"/>
    <w:rsid w:val="31B47C77"/>
    <w:rsid w:val="31D67BED"/>
    <w:rsid w:val="31DB4923"/>
    <w:rsid w:val="31DD45C5"/>
    <w:rsid w:val="31F462C5"/>
    <w:rsid w:val="321B1AA4"/>
    <w:rsid w:val="32256095"/>
    <w:rsid w:val="323D7C6C"/>
    <w:rsid w:val="32494863"/>
    <w:rsid w:val="325A081E"/>
    <w:rsid w:val="326A47D9"/>
    <w:rsid w:val="3288071E"/>
    <w:rsid w:val="32BD2B5B"/>
    <w:rsid w:val="32D00AE0"/>
    <w:rsid w:val="33042538"/>
    <w:rsid w:val="331D7A9E"/>
    <w:rsid w:val="332B5D17"/>
    <w:rsid w:val="3330157F"/>
    <w:rsid w:val="33323549"/>
    <w:rsid w:val="335A484E"/>
    <w:rsid w:val="33694A91"/>
    <w:rsid w:val="33802506"/>
    <w:rsid w:val="338813BB"/>
    <w:rsid w:val="33A855B9"/>
    <w:rsid w:val="33AD0E22"/>
    <w:rsid w:val="33E67E90"/>
    <w:rsid w:val="34050C5E"/>
    <w:rsid w:val="34240B2E"/>
    <w:rsid w:val="342E2692"/>
    <w:rsid w:val="34515C51"/>
    <w:rsid w:val="34645984"/>
    <w:rsid w:val="34A83397"/>
    <w:rsid w:val="34AF4725"/>
    <w:rsid w:val="34B8182C"/>
    <w:rsid w:val="34BA37F6"/>
    <w:rsid w:val="34BE2416"/>
    <w:rsid w:val="34C20363"/>
    <w:rsid w:val="34C226AB"/>
    <w:rsid w:val="34DD1293"/>
    <w:rsid w:val="3548749A"/>
    <w:rsid w:val="357207F2"/>
    <w:rsid w:val="35867971"/>
    <w:rsid w:val="35C506A4"/>
    <w:rsid w:val="35D42696"/>
    <w:rsid w:val="35DF4270"/>
    <w:rsid w:val="360C62D3"/>
    <w:rsid w:val="36176D33"/>
    <w:rsid w:val="368F5288"/>
    <w:rsid w:val="36963171"/>
    <w:rsid w:val="369B1405"/>
    <w:rsid w:val="36A22794"/>
    <w:rsid w:val="36B204FD"/>
    <w:rsid w:val="36E97FA0"/>
    <w:rsid w:val="37023677"/>
    <w:rsid w:val="371A67CE"/>
    <w:rsid w:val="371D006C"/>
    <w:rsid w:val="373C4996"/>
    <w:rsid w:val="374049B2"/>
    <w:rsid w:val="376E2676"/>
    <w:rsid w:val="379E73FF"/>
    <w:rsid w:val="37CC5A57"/>
    <w:rsid w:val="37D7646D"/>
    <w:rsid w:val="37EF7C5B"/>
    <w:rsid w:val="37F952C8"/>
    <w:rsid w:val="382D42DF"/>
    <w:rsid w:val="388F4F9A"/>
    <w:rsid w:val="38912BFC"/>
    <w:rsid w:val="38AA5930"/>
    <w:rsid w:val="38E075A3"/>
    <w:rsid w:val="39416688"/>
    <w:rsid w:val="39873EC3"/>
    <w:rsid w:val="3995213C"/>
    <w:rsid w:val="39BA3CAC"/>
    <w:rsid w:val="39CB2002"/>
    <w:rsid w:val="39CD3FCC"/>
    <w:rsid w:val="39F2758E"/>
    <w:rsid w:val="3A18773C"/>
    <w:rsid w:val="3A6164C2"/>
    <w:rsid w:val="3AC31CD6"/>
    <w:rsid w:val="3AC3717D"/>
    <w:rsid w:val="3AEF7F72"/>
    <w:rsid w:val="3B02185C"/>
    <w:rsid w:val="3B057795"/>
    <w:rsid w:val="3B1B0D67"/>
    <w:rsid w:val="3B3911ED"/>
    <w:rsid w:val="3B726878"/>
    <w:rsid w:val="3B7F30A4"/>
    <w:rsid w:val="3BAE1BDB"/>
    <w:rsid w:val="3BB56351"/>
    <w:rsid w:val="3BCE5DD9"/>
    <w:rsid w:val="3BD50F16"/>
    <w:rsid w:val="3C26357D"/>
    <w:rsid w:val="3C3519B4"/>
    <w:rsid w:val="3C430575"/>
    <w:rsid w:val="3C6D114E"/>
    <w:rsid w:val="3C805325"/>
    <w:rsid w:val="3C81109D"/>
    <w:rsid w:val="3CAD1E92"/>
    <w:rsid w:val="3CCD25FD"/>
    <w:rsid w:val="3CCD6091"/>
    <w:rsid w:val="3CD80D10"/>
    <w:rsid w:val="3CF47AC1"/>
    <w:rsid w:val="3CF950D8"/>
    <w:rsid w:val="3D1B504E"/>
    <w:rsid w:val="3D202664"/>
    <w:rsid w:val="3D3D4FC4"/>
    <w:rsid w:val="3D453E79"/>
    <w:rsid w:val="3D5015D2"/>
    <w:rsid w:val="3D5B54D9"/>
    <w:rsid w:val="3D5E4F3B"/>
    <w:rsid w:val="3D6764E5"/>
    <w:rsid w:val="3D926193"/>
    <w:rsid w:val="3DDB658B"/>
    <w:rsid w:val="3DDC17F2"/>
    <w:rsid w:val="3DF53AF1"/>
    <w:rsid w:val="3DF80EEB"/>
    <w:rsid w:val="3E165E8E"/>
    <w:rsid w:val="3E2E0DB1"/>
    <w:rsid w:val="3E2E79D4"/>
    <w:rsid w:val="3E5500EC"/>
    <w:rsid w:val="3EA7589C"/>
    <w:rsid w:val="3EC51715"/>
    <w:rsid w:val="3ECF7E9E"/>
    <w:rsid w:val="3EFE36CE"/>
    <w:rsid w:val="3F070E49"/>
    <w:rsid w:val="3F0C1519"/>
    <w:rsid w:val="3F312907"/>
    <w:rsid w:val="3F395C5F"/>
    <w:rsid w:val="3FA07A8C"/>
    <w:rsid w:val="3FBB0422"/>
    <w:rsid w:val="402B55A8"/>
    <w:rsid w:val="403812B4"/>
    <w:rsid w:val="40662A84"/>
    <w:rsid w:val="409D5D7A"/>
    <w:rsid w:val="40E67721"/>
    <w:rsid w:val="40F260C6"/>
    <w:rsid w:val="40F462E2"/>
    <w:rsid w:val="40F46B54"/>
    <w:rsid w:val="414F52C6"/>
    <w:rsid w:val="41720FB5"/>
    <w:rsid w:val="417B60BB"/>
    <w:rsid w:val="41A01FC6"/>
    <w:rsid w:val="41AC61D6"/>
    <w:rsid w:val="41FD11C6"/>
    <w:rsid w:val="421502BE"/>
    <w:rsid w:val="429F402B"/>
    <w:rsid w:val="42EB7271"/>
    <w:rsid w:val="431542ED"/>
    <w:rsid w:val="432B3415"/>
    <w:rsid w:val="43506946"/>
    <w:rsid w:val="435102E3"/>
    <w:rsid w:val="43525542"/>
    <w:rsid w:val="43A33C8C"/>
    <w:rsid w:val="43B12268"/>
    <w:rsid w:val="43BA373D"/>
    <w:rsid w:val="43CA50D8"/>
    <w:rsid w:val="43F81C45"/>
    <w:rsid w:val="43FB34E3"/>
    <w:rsid w:val="44557097"/>
    <w:rsid w:val="445826E4"/>
    <w:rsid w:val="44654E01"/>
    <w:rsid w:val="447C185E"/>
    <w:rsid w:val="4489348C"/>
    <w:rsid w:val="448E25A9"/>
    <w:rsid w:val="4493196E"/>
    <w:rsid w:val="44CA6123"/>
    <w:rsid w:val="44F5491B"/>
    <w:rsid w:val="45284275"/>
    <w:rsid w:val="453B5FB7"/>
    <w:rsid w:val="454669E0"/>
    <w:rsid w:val="454D49ED"/>
    <w:rsid w:val="458A4B1F"/>
    <w:rsid w:val="459F181B"/>
    <w:rsid w:val="45A34DF4"/>
    <w:rsid w:val="45D64208"/>
    <w:rsid w:val="4642189D"/>
    <w:rsid w:val="4652461A"/>
    <w:rsid w:val="469C7200"/>
    <w:rsid w:val="46D30747"/>
    <w:rsid w:val="46F81F5C"/>
    <w:rsid w:val="470D1EAB"/>
    <w:rsid w:val="471548BC"/>
    <w:rsid w:val="47680E90"/>
    <w:rsid w:val="47A53E92"/>
    <w:rsid w:val="47E777A3"/>
    <w:rsid w:val="47F92430"/>
    <w:rsid w:val="48272AF9"/>
    <w:rsid w:val="48362D3C"/>
    <w:rsid w:val="483B2A48"/>
    <w:rsid w:val="48417F1F"/>
    <w:rsid w:val="484E555F"/>
    <w:rsid w:val="485C43B1"/>
    <w:rsid w:val="486F44A0"/>
    <w:rsid w:val="487E726E"/>
    <w:rsid w:val="489F6B33"/>
    <w:rsid w:val="48EB7FCA"/>
    <w:rsid w:val="48F52BF7"/>
    <w:rsid w:val="4924528A"/>
    <w:rsid w:val="492E7EB7"/>
    <w:rsid w:val="494D2A33"/>
    <w:rsid w:val="49647D7D"/>
    <w:rsid w:val="49777AB0"/>
    <w:rsid w:val="49951CE4"/>
    <w:rsid w:val="49AC538B"/>
    <w:rsid w:val="49B06B1E"/>
    <w:rsid w:val="49B44860"/>
    <w:rsid w:val="49DA3B9B"/>
    <w:rsid w:val="4A842484"/>
    <w:rsid w:val="4A9B332A"/>
    <w:rsid w:val="4AB12B4E"/>
    <w:rsid w:val="4AF60EA8"/>
    <w:rsid w:val="4AFD2237"/>
    <w:rsid w:val="4B641648"/>
    <w:rsid w:val="4B7324F9"/>
    <w:rsid w:val="4B7342A7"/>
    <w:rsid w:val="4B863FDA"/>
    <w:rsid w:val="4B8B339F"/>
    <w:rsid w:val="4B9304A5"/>
    <w:rsid w:val="4C327CBE"/>
    <w:rsid w:val="4C5C2F8D"/>
    <w:rsid w:val="4C673E0C"/>
    <w:rsid w:val="4CB357BF"/>
    <w:rsid w:val="4CCF375F"/>
    <w:rsid w:val="4CEF7CAC"/>
    <w:rsid w:val="4CF72B7B"/>
    <w:rsid w:val="4D1D0480"/>
    <w:rsid w:val="4D41465D"/>
    <w:rsid w:val="4D447CA9"/>
    <w:rsid w:val="4D891B60"/>
    <w:rsid w:val="4D8A4C03"/>
    <w:rsid w:val="4DAD1201"/>
    <w:rsid w:val="4DC72E5F"/>
    <w:rsid w:val="4DE33966"/>
    <w:rsid w:val="4E0538DC"/>
    <w:rsid w:val="4E061402"/>
    <w:rsid w:val="4E28581D"/>
    <w:rsid w:val="4E3917D8"/>
    <w:rsid w:val="4E473EF5"/>
    <w:rsid w:val="4E59550E"/>
    <w:rsid w:val="4E5C7274"/>
    <w:rsid w:val="4E6C395B"/>
    <w:rsid w:val="4E810A89"/>
    <w:rsid w:val="4E8A3DE2"/>
    <w:rsid w:val="4EE63D45"/>
    <w:rsid w:val="4EFB083B"/>
    <w:rsid w:val="4F082F58"/>
    <w:rsid w:val="4F127867"/>
    <w:rsid w:val="4F18319B"/>
    <w:rsid w:val="4F4246BC"/>
    <w:rsid w:val="4F5A1A06"/>
    <w:rsid w:val="4FB21842"/>
    <w:rsid w:val="4FCC3E6A"/>
    <w:rsid w:val="4FCE5F50"/>
    <w:rsid w:val="4FEF6B40"/>
    <w:rsid w:val="4FF37764"/>
    <w:rsid w:val="50131BB5"/>
    <w:rsid w:val="50137E07"/>
    <w:rsid w:val="5015592D"/>
    <w:rsid w:val="501E6ED7"/>
    <w:rsid w:val="5039786D"/>
    <w:rsid w:val="50487AB0"/>
    <w:rsid w:val="5053777D"/>
    <w:rsid w:val="505F4DFA"/>
    <w:rsid w:val="5075461D"/>
    <w:rsid w:val="50773505"/>
    <w:rsid w:val="50AC44E3"/>
    <w:rsid w:val="50AE32FC"/>
    <w:rsid w:val="50BB2978"/>
    <w:rsid w:val="512247A5"/>
    <w:rsid w:val="512D6CA6"/>
    <w:rsid w:val="5139389D"/>
    <w:rsid w:val="51614721"/>
    <w:rsid w:val="51705511"/>
    <w:rsid w:val="517F5754"/>
    <w:rsid w:val="51835FBF"/>
    <w:rsid w:val="51D3784E"/>
    <w:rsid w:val="51DA0BDC"/>
    <w:rsid w:val="51DD691E"/>
    <w:rsid w:val="51E97071"/>
    <w:rsid w:val="51F07D1F"/>
    <w:rsid w:val="52020133"/>
    <w:rsid w:val="520420FD"/>
    <w:rsid w:val="52173BDE"/>
    <w:rsid w:val="523E560F"/>
    <w:rsid w:val="526D37FE"/>
    <w:rsid w:val="52880638"/>
    <w:rsid w:val="52B94C95"/>
    <w:rsid w:val="52DA1182"/>
    <w:rsid w:val="52DC1950"/>
    <w:rsid w:val="52EF06B7"/>
    <w:rsid w:val="530C3017"/>
    <w:rsid w:val="531719BC"/>
    <w:rsid w:val="53191BD8"/>
    <w:rsid w:val="53283BC9"/>
    <w:rsid w:val="534529CD"/>
    <w:rsid w:val="534A3B3F"/>
    <w:rsid w:val="535C1400"/>
    <w:rsid w:val="538F59F6"/>
    <w:rsid w:val="539B083F"/>
    <w:rsid w:val="53B96779"/>
    <w:rsid w:val="53DC50DF"/>
    <w:rsid w:val="53FA5565"/>
    <w:rsid w:val="5425031B"/>
    <w:rsid w:val="54332825"/>
    <w:rsid w:val="543A0058"/>
    <w:rsid w:val="54442C85"/>
    <w:rsid w:val="544946C7"/>
    <w:rsid w:val="54774E08"/>
    <w:rsid w:val="54A51975"/>
    <w:rsid w:val="54AF6350"/>
    <w:rsid w:val="54B90FC5"/>
    <w:rsid w:val="55055F70"/>
    <w:rsid w:val="55085A60"/>
    <w:rsid w:val="550B7314"/>
    <w:rsid w:val="551C775D"/>
    <w:rsid w:val="554C0043"/>
    <w:rsid w:val="5593479C"/>
    <w:rsid w:val="55A106D3"/>
    <w:rsid w:val="55DB4F23"/>
    <w:rsid w:val="56295F64"/>
    <w:rsid w:val="564231F4"/>
    <w:rsid w:val="564E3947"/>
    <w:rsid w:val="565C2507"/>
    <w:rsid w:val="565D1DDC"/>
    <w:rsid w:val="56717635"/>
    <w:rsid w:val="56877B05"/>
    <w:rsid w:val="56C1236A"/>
    <w:rsid w:val="56C9121F"/>
    <w:rsid w:val="56D05146"/>
    <w:rsid w:val="56D95906"/>
    <w:rsid w:val="57346FE0"/>
    <w:rsid w:val="574F7976"/>
    <w:rsid w:val="57C2639A"/>
    <w:rsid w:val="57D367F9"/>
    <w:rsid w:val="57D936E4"/>
    <w:rsid w:val="57E52089"/>
    <w:rsid w:val="581346E7"/>
    <w:rsid w:val="582901C7"/>
    <w:rsid w:val="582B2191"/>
    <w:rsid w:val="584C035A"/>
    <w:rsid w:val="588E0972"/>
    <w:rsid w:val="58A9755A"/>
    <w:rsid w:val="58E530CE"/>
    <w:rsid w:val="591A5DA5"/>
    <w:rsid w:val="591F781C"/>
    <w:rsid w:val="59352B9C"/>
    <w:rsid w:val="594D25DB"/>
    <w:rsid w:val="595C281E"/>
    <w:rsid w:val="596040BD"/>
    <w:rsid w:val="5973309F"/>
    <w:rsid w:val="59745DBA"/>
    <w:rsid w:val="59C75EEA"/>
    <w:rsid w:val="59E72EC7"/>
    <w:rsid w:val="5A1E1882"/>
    <w:rsid w:val="5A44578C"/>
    <w:rsid w:val="5A647BDD"/>
    <w:rsid w:val="5A9009D2"/>
    <w:rsid w:val="5ADD24CF"/>
    <w:rsid w:val="5ADF7263"/>
    <w:rsid w:val="5AE44879"/>
    <w:rsid w:val="5B1F1D55"/>
    <w:rsid w:val="5B3A093D"/>
    <w:rsid w:val="5BAB5397"/>
    <w:rsid w:val="5BAD110F"/>
    <w:rsid w:val="5BC326E1"/>
    <w:rsid w:val="5BE80399"/>
    <w:rsid w:val="5BFB1E7B"/>
    <w:rsid w:val="5C121CA4"/>
    <w:rsid w:val="5C1271C4"/>
    <w:rsid w:val="5C1843D5"/>
    <w:rsid w:val="5C2231EF"/>
    <w:rsid w:val="5C3435DF"/>
    <w:rsid w:val="5C553C81"/>
    <w:rsid w:val="5C64154B"/>
    <w:rsid w:val="5C644F44"/>
    <w:rsid w:val="5CA442C0"/>
    <w:rsid w:val="5CD32DF8"/>
    <w:rsid w:val="5CE172C2"/>
    <w:rsid w:val="5D186A5C"/>
    <w:rsid w:val="5D2C42B6"/>
    <w:rsid w:val="5D63417B"/>
    <w:rsid w:val="5D8D2FA6"/>
    <w:rsid w:val="5D9B5A9B"/>
    <w:rsid w:val="5DB37B76"/>
    <w:rsid w:val="5DE60909"/>
    <w:rsid w:val="5DE86A07"/>
    <w:rsid w:val="5E0276B2"/>
    <w:rsid w:val="5E563CE0"/>
    <w:rsid w:val="5EB56C59"/>
    <w:rsid w:val="5EF808F3"/>
    <w:rsid w:val="5F3F4774"/>
    <w:rsid w:val="5F4E67B3"/>
    <w:rsid w:val="5F685A79"/>
    <w:rsid w:val="5F930CBD"/>
    <w:rsid w:val="5FB7255D"/>
    <w:rsid w:val="5FC52ECB"/>
    <w:rsid w:val="5FC627A0"/>
    <w:rsid w:val="600F2399"/>
    <w:rsid w:val="60285208"/>
    <w:rsid w:val="60590403"/>
    <w:rsid w:val="606326E4"/>
    <w:rsid w:val="6065645C"/>
    <w:rsid w:val="60934D78"/>
    <w:rsid w:val="6095569C"/>
    <w:rsid w:val="60A7492F"/>
    <w:rsid w:val="60D4195D"/>
    <w:rsid w:val="611D0AE5"/>
    <w:rsid w:val="616E1341"/>
    <w:rsid w:val="61930DA7"/>
    <w:rsid w:val="61A15272"/>
    <w:rsid w:val="61A467CC"/>
    <w:rsid w:val="61BB2E36"/>
    <w:rsid w:val="61CE1DDF"/>
    <w:rsid w:val="61D03DA9"/>
    <w:rsid w:val="6200468F"/>
    <w:rsid w:val="622070EB"/>
    <w:rsid w:val="624A76B8"/>
    <w:rsid w:val="626A5FAC"/>
    <w:rsid w:val="62774BA3"/>
    <w:rsid w:val="62A104EB"/>
    <w:rsid w:val="62D022B3"/>
    <w:rsid w:val="62D17DD9"/>
    <w:rsid w:val="62F35FA1"/>
    <w:rsid w:val="6306451B"/>
    <w:rsid w:val="630755A9"/>
    <w:rsid w:val="631F0B45"/>
    <w:rsid w:val="632729BD"/>
    <w:rsid w:val="63312626"/>
    <w:rsid w:val="634560D1"/>
    <w:rsid w:val="63696264"/>
    <w:rsid w:val="63716EC6"/>
    <w:rsid w:val="6373359C"/>
    <w:rsid w:val="637644DD"/>
    <w:rsid w:val="637C5F97"/>
    <w:rsid w:val="63860BC4"/>
    <w:rsid w:val="6388493C"/>
    <w:rsid w:val="63950E07"/>
    <w:rsid w:val="63A61CD7"/>
    <w:rsid w:val="63AB23D8"/>
    <w:rsid w:val="63C27722"/>
    <w:rsid w:val="63CD67F3"/>
    <w:rsid w:val="63CE4319"/>
    <w:rsid w:val="63D97B78"/>
    <w:rsid w:val="63DA4A6C"/>
    <w:rsid w:val="63FE35D7"/>
    <w:rsid w:val="64063AB3"/>
    <w:rsid w:val="64485E79"/>
    <w:rsid w:val="644963EC"/>
    <w:rsid w:val="64AB1D46"/>
    <w:rsid w:val="64B63B65"/>
    <w:rsid w:val="64D43BB1"/>
    <w:rsid w:val="64D911C7"/>
    <w:rsid w:val="64F65BB3"/>
    <w:rsid w:val="650049A6"/>
    <w:rsid w:val="650C6EA7"/>
    <w:rsid w:val="65474383"/>
    <w:rsid w:val="656B3DD2"/>
    <w:rsid w:val="657872E1"/>
    <w:rsid w:val="658E1EED"/>
    <w:rsid w:val="65AE5923"/>
    <w:rsid w:val="65F750F0"/>
    <w:rsid w:val="6612673F"/>
    <w:rsid w:val="666B22F3"/>
    <w:rsid w:val="66AD290B"/>
    <w:rsid w:val="66D23EEB"/>
    <w:rsid w:val="66F66060"/>
    <w:rsid w:val="67705E13"/>
    <w:rsid w:val="677D5E3A"/>
    <w:rsid w:val="678E44EB"/>
    <w:rsid w:val="679766E8"/>
    <w:rsid w:val="67B30841"/>
    <w:rsid w:val="67C1666E"/>
    <w:rsid w:val="67D14FA8"/>
    <w:rsid w:val="684D7F02"/>
    <w:rsid w:val="685968A7"/>
    <w:rsid w:val="688558EE"/>
    <w:rsid w:val="689543F4"/>
    <w:rsid w:val="68BE602D"/>
    <w:rsid w:val="68CC52CB"/>
    <w:rsid w:val="68CD4B9F"/>
    <w:rsid w:val="68ED5241"/>
    <w:rsid w:val="68EF4B15"/>
    <w:rsid w:val="68F16ADF"/>
    <w:rsid w:val="691E364C"/>
    <w:rsid w:val="692400BC"/>
    <w:rsid w:val="695C55AD"/>
    <w:rsid w:val="696C085C"/>
    <w:rsid w:val="696C43B8"/>
    <w:rsid w:val="69796AD5"/>
    <w:rsid w:val="69E126A2"/>
    <w:rsid w:val="6A1A3E14"/>
    <w:rsid w:val="6A3C1FDC"/>
    <w:rsid w:val="6A49294B"/>
    <w:rsid w:val="6A902328"/>
    <w:rsid w:val="6A995680"/>
    <w:rsid w:val="6ADA35A3"/>
    <w:rsid w:val="6AE12B83"/>
    <w:rsid w:val="6B056872"/>
    <w:rsid w:val="6B223510"/>
    <w:rsid w:val="6B272C8C"/>
    <w:rsid w:val="6B3715F5"/>
    <w:rsid w:val="6B511AB7"/>
    <w:rsid w:val="6B5477F9"/>
    <w:rsid w:val="6B9320D0"/>
    <w:rsid w:val="6B9E2823"/>
    <w:rsid w:val="6BD9385B"/>
    <w:rsid w:val="6BE24E05"/>
    <w:rsid w:val="6BE40B7D"/>
    <w:rsid w:val="6BF32B6E"/>
    <w:rsid w:val="6BFB7C75"/>
    <w:rsid w:val="6C6B6BA9"/>
    <w:rsid w:val="6CAE2F39"/>
    <w:rsid w:val="6CB6656B"/>
    <w:rsid w:val="6CC30793"/>
    <w:rsid w:val="6CC91B21"/>
    <w:rsid w:val="6CF52916"/>
    <w:rsid w:val="6CF62A1C"/>
    <w:rsid w:val="6D12171A"/>
    <w:rsid w:val="6D3C22F3"/>
    <w:rsid w:val="6D5852F1"/>
    <w:rsid w:val="6D693367"/>
    <w:rsid w:val="6D9D5488"/>
    <w:rsid w:val="6D9E6B0A"/>
    <w:rsid w:val="6DBF494B"/>
    <w:rsid w:val="6DC02707"/>
    <w:rsid w:val="6E1374F8"/>
    <w:rsid w:val="6E22773B"/>
    <w:rsid w:val="6E3F7480"/>
    <w:rsid w:val="6EA91C0A"/>
    <w:rsid w:val="6EBF31DC"/>
    <w:rsid w:val="6EBF4F8A"/>
    <w:rsid w:val="6EC6456A"/>
    <w:rsid w:val="6ECB7DD2"/>
    <w:rsid w:val="6F1572A0"/>
    <w:rsid w:val="6F912DCA"/>
    <w:rsid w:val="6F9B1553"/>
    <w:rsid w:val="6FC34F4E"/>
    <w:rsid w:val="6FCA62DC"/>
    <w:rsid w:val="6FE0165C"/>
    <w:rsid w:val="6FEC0000"/>
    <w:rsid w:val="70041B6B"/>
    <w:rsid w:val="7038515F"/>
    <w:rsid w:val="70480FAF"/>
    <w:rsid w:val="70BC200C"/>
    <w:rsid w:val="70DA60AB"/>
    <w:rsid w:val="70F57389"/>
    <w:rsid w:val="71321F86"/>
    <w:rsid w:val="71325EE7"/>
    <w:rsid w:val="714F6A99"/>
    <w:rsid w:val="716D6F1F"/>
    <w:rsid w:val="71950224"/>
    <w:rsid w:val="71A60683"/>
    <w:rsid w:val="72023B0B"/>
    <w:rsid w:val="724C4072"/>
    <w:rsid w:val="725230E2"/>
    <w:rsid w:val="726755B9"/>
    <w:rsid w:val="72975961"/>
    <w:rsid w:val="72976A9F"/>
    <w:rsid w:val="72B50B7E"/>
    <w:rsid w:val="72C15774"/>
    <w:rsid w:val="72DD37F5"/>
    <w:rsid w:val="72DF209E"/>
    <w:rsid w:val="72F571CC"/>
    <w:rsid w:val="7312116E"/>
    <w:rsid w:val="732301DD"/>
    <w:rsid w:val="732C5B6B"/>
    <w:rsid w:val="732D2E0A"/>
    <w:rsid w:val="73467E59"/>
    <w:rsid w:val="738B7B30"/>
    <w:rsid w:val="73A66718"/>
    <w:rsid w:val="73A806E2"/>
    <w:rsid w:val="73D86B3A"/>
    <w:rsid w:val="740578E3"/>
    <w:rsid w:val="740718AD"/>
    <w:rsid w:val="7407365B"/>
    <w:rsid w:val="7423420D"/>
    <w:rsid w:val="74365CEE"/>
    <w:rsid w:val="74566390"/>
    <w:rsid w:val="74793E2D"/>
    <w:rsid w:val="74911176"/>
    <w:rsid w:val="74CC21AE"/>
    <w:rsid w:val="751C1388"/>
    <w:rsid w:val="751F6782"/>
    <w:rsid w:val="75387844"/>
    <w:rsid w:val="75483F2B"/>
    <w:rsid w:val="75866801"/>
    <w:rsid w:val="758C68C0"/>
    <w:rsid w:val="7605036F"/>
    <w:rsid w:val="7621477C"/>
    <w:rsid w:val="762B1157"/>
    <w:rsid w:val="766308F1"/>
    <w:rsid w:val="76830F93"/>
    <w:rsid w:val="7691545E"/>
    <w:rsid w:val="76BB697E"/>
    <w:rsid w:val="76CC46E8"/>
    <w:rsid w:val="76EB6381"/>
    <w:rsid w:val="770E754E"/>
    <w:rsid w:val="771147F0"/>
    <w:rsid w:val="77275DC2"/>
    <w:rsid w:val="772C4588"/>
    <w:rsid w:val="772F0407"/>
    <w:rsid w:val="77366005"/>
    <w:rsid w:val="77471FC0"/>
    <w:rsid w:val="776B470D"/>
    <w:rsid w:val="776C7C79"/>
    <w:rsid w:val="777E2AB0"/>
    <w:rsid w:val="778C3E77"/>
    <w:rsid w:val="77980A6E"/>
    <w:rsid w:val="77C11D73"/>
    <w:rsid w:val="77CA50CB"/>
    <w:rsid w:val="77D5581E"/>
    <w:rsid w:val="77F739E6"/>
    <w:rsid w:val="78300CA6"/>
    <w:rsid w:val="78615304"/>
    <w:rsid w:val="78954206"/>
    <w:rsid w:val="78A70F68"/>
    <w:rsid w:val="78AF2513"/>
    <w:rsid w:val="78C113F3"/>
    <w:rsid w:val="7949283E"/>
    <w:rsid w:val="796B468C"/>
    <w:rsid w:val="799C2A97"/>
    <w:rsid w:val="799F7E92"/>
    <w:rsid w:val="79A324E9"/>
    <w:rsid w:val="79CE4C1B"/>
    <w:rsid w:val="79D55FA9"/>
    <w:rsid w:val="79EE2BC7"/>
    <w:rsid w:val="7A2D7B93"/>
    <w:rsid w:val="7A860D31"/>
    <w:rsid w:val="7AAC0AB8"/>
    <w:rsid w:val="7ACB6CBA"/>
    <w:rsid w:val="7ADB314B"/>
    <w:rsid w:val="7AF86B3D"/>
    <w:rsid w:val="7B0526C3"/>
    <w:rsid w:val="7B0C1557"/>
    <w:rsid w:val="7B2368A0"/>
    <w:rsid w:val="7B51165F"/>
    <w:rsid w:val="7B95154C"/>
    <w:rsid w:val="7B9A6B62"/>
    <w:rsid w:val="7BA63759"/>
    <w:rsid w:val="7BC167E5"/>
    <w:rsid w:val="7BDE482E"/>
    <w:rsid w:val="7BF02C26"/>
    <w:rsid w:val="7BF5023D"/>
    <w:rsid w:val="7C0121E8"/>
    <w:rsid w:val="7C15268D"/>
    <w:rsid w:val="7C1A6CD4"/>
    <w:rsid w:val="7C4F2043"/>
    <w:rsid w:val="7C8617DD"/>
    <w:rsid w:val="7CA73C2D"/>
    <w:rsid w:val="7CAD4FBB"/>
    <w:rsid w:val="7CC61BD9"/>
    <w:rsid w:val="7CD82038"/>
    <w:rsid w:val="7CE85FF3"/>
    <w:rsid w:val="7CEC5AE4"/>
    <w:rsid w:val="7CEC7892"/>
    <w:rsid w:val="7CF16C56"/>
    <w:rsid w:val="7D0746CC"/>
    <w:rsid w:val="7D1E37CD"/>
    <w:rsid w:val="7D2B7277"/>
    <w:rsid w:val="7D450D50"/>
    <w:rsid w:val="7D717D97"/>
    <w:rsid w:val="7DC425BD"/>
    <w:rsid w:val="7DE06CCB"/>
    <w:rsid w:val="7E114242"/>
    <w:rsid w:val="7E4A0FC2"/>
    <w:rsid w:val="7E4F632A"/>
    <w:rsid w:val="7EA877E8"/>
    <w:rsid w:val="7ED700CE"/>
    <w:rsid w:val="7EE66563"/>
    <w:rsid w:val="7EEF6BA4"/>
    <w:rsid w:val="7F272E03"/>
    <w:rsid w:val="7F2F3A66"/>
    <w:rsid w:val="7F361298"/>
    <w:rsid w:val="7F3B68AE"/>
    <w:rsid w:val="7F837E6E"/>
    <w:rsid w:val="7F94049C"/>
    <w:rsid w:val="7FA21737"/>
    <w:rsid w:val="7FB9317A"/>
    <w:rsid w:val="7FC468A4"/>
    <w:rsid w:val="7FC95C68"/>
    <w:rsid w:val="7FD840FD"/>
    <w:rsid w:val="7FD91C23"/>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jc w:val="left"/>
      <w:outlineLvl w:val="0"/>
    </w:pPr>
    <w:rPr>
      <w:rFonts w:hint="eastAsia" w:ascii="宋体" w:hAnsi="宋体" w:eastAsia="宋体"/>
      <w:kern w:val="44"/>
      <w:sz w:val="42"/>
      <w:szCs w:val="42"/>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szCs w:val="20"/>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_Style 3"/>
    <w:basedOn w:val="2"/>
    <w:next w:val="1"/>
    <w:autoRedefine/>
    <w:qFormat/>
    <w:uiPriority w:val="99"/>
    <w:pPr>
      <w:widowControl/>
      <w:spacing w:before="480" w:line="276" w:lineRule="auto"/>
      <w:outlineLvl w:val="9"/>
    </w:pPr>
    <w:rPr>
      <w:rFonts w:ascii="Cambria" w:hAnsi="Cambria"/>
      <w:color w:val="365F91"/>
      <w:kern w:val="0"/>
      <w:sz w:val="28"/>
      <w:szCs w:val="28"/>
    </w:rPr>
  </w:style>
  <w:style w:type="table" w:customStyle="1" w:styleId="1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9485</Words>
  <Characters>9754</Characters>
  <Lines>0</Lines>
  <Paragraphs>0</Paragraphs>
  <TotalTime>1</TotalTime>
  <ScaleCrop>false</ScaleCrop>
  <LinksUpToDate>false</LinksUpToDate>
  <CharactersWithSpaces>9799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2024-03-05T02:03:00Z</dcterms:created>
  <dc:creator>Alice</dc:creator>
  <cp:lastModifiedBy>Alice</cp:lastModifiedBy>
  <cp:lastPrinted>2025-10-16T06:46:00Z</cp:lastPrinted>
  <dcterms:modified xsi:type="dcterms:W3CDTF">2025-10-20T03:22:54Z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CE94FF29DFD34C7685B594B1ACF05032_11</vt:lpwstr>
  </property>
  <property fmtid="{D5CDD505-2E9C-101B-9397-08002B2CF9AE}" pid="4" name="KSOTemplateDocerSaveRecord">
    <vt:lpwstr>eyJoZGlkIjoiMzI3ZTQ5NTRmY2VmY2I5NGYwNmJmODhkOTQ0MzMzMTkiLCJ1c2VySWQiOiIyMDE2NjI2MjgifQ==</vt:lpwstr>
  </property>
</Properties>
</file>