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0F66AB">
      <w:pPr>
        <w:jc w:val="both"/>
        <w:rPr>
          <w:rFonts w:hint="default" w:ascii="黑体" w:hAnsi="黑体" w:eastAsia="黑体" w:cs="黑体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lang w:eastAsia="zh-CN"/>
        </w:rPr>
        <w:t>附件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2</w:t>
      </w:r>
    </w:p>
    <w:p w14:paraId="31FB5E63">
      <w:pPr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铜陵学院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2025</w:t>
      </w:r>
      <w:r>
        <w:rPr>
          <w:rFonts w:hint="eastAsia" w:ascii="黑体" w:hAnsi="黑体" w:eastAsia="黑体" w:cs="黑体"/>
          <w:sz w:val="30"/>
          <w:szCs w:val="30"/>
        </w:rPr>
        <w:t>年度基层教学组织考核自评评分表</w:t>
      </w:r>
    </w:p>
    <w:p w14:paraId="5D6F3945">
      <w:pPr>
        <w:jc w:val="left"/>
        <w:rPr>
          <w:rFonts w:hint="eastAsia"/>
        </w:rPr>
      </w:pPr>
      <w:r>
        <w:rPr>
          <w:rFonts w:hint="eastAsia"/>
        </w:rPr>
        <w:t xml:space="preserve">学院（部）：__________________       </w:t>
      </w:r>
      <w:r>
        <w:rPr>
          <w:rFonts w:hint="eastAsia"/>
          <w:lang w:eastAsia="zh-CN"/>
        </w:rPr>
        <w:t>基层教学组织</w:t>
      </w:r>
      <w:r>
        <w:rPr>
          <w:rFonts w:hint="eastAsia"/>
        </w:rPr>
        <w:t>：__________________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6"/>
        <w:gridCol w:w="2376"/>
        <w:gridCol w:w="8090"/>
        <w:gridCol w:w="860"/>
        <w:gridCol w:w="1028"/>
      </w:tblGrid>
      <w:tr w14:paraId="08EC0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466" w:type="dxa"/>
          </w:tcPr>
          <w:p w14:paraId="6FCAC7F3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一级指标</w:t>
            </w:r>
          </w:p>
        </w:tc>
        <w:tc>
          <w:tcPr>
            <w:tcW w:w="2376" w:type="dxa"/>
          </w:tcPr>
          <w:p w14:paraId="16AC1C1C">
            <w:pPr>
              <w:jc w:val="center"/>
              <w:rPr>
                <w:rStyle w:val="5"/>
                <w:rFonts w:ascii="宋体" w:hAnsi="宋体" w:eastAsia="宋体" w:cs="宋体"/>
                <w:szCs w:val="21"/>
              </w:rPr>
            </w:pPr>
            <w:r>
              <w:rPr>
                <w:rStyle w:val="5"/>
                <w:rFonts w:hint="eastAsia" w:ascii="宋体" w:hAnsi="宋体" w:eastAsia="宋体" w:cs="宋体"/>
                <w:szCs w:val="21"/>
              </w:rPr>
              <w:t>二级指标</w:t>
            </w:r>
          </w:p>
        </w:tc>
        <w:tc>
          <w:tcPr>
            <w:tcW w:w="8090" w:type="dxa"/>
            <w:shd w:val="clear" w:color="auto" w:fill="auto"/>
          </w:tcPr>
          <w:p w14:paraId="7F5564B1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Style w:val="5"/>
                <w:rFonts w:hint="eastAsia" w:ascii="宋体" w:hAnsi="宋体" w:eastAsia="宋体" w:cs="宋体"/>
                <w:szCs w:val="21"/>
              </w:rPr>
              <w:t>评分标准</w:t>
            </w:r>
          </w:p>
        </w:tc>
        <w:tc>
          <w:tcPr>
            <w:tcW w:w="860" w:type="dxa"/>
            <w:shd w:val="clear" w:color="auto" w:fill="auto"/>
          </w:tcPr>
          <w:p w14:paraId="122636C7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Style w:val="5"/>
                <w:rFonts w:hint="eastAsia" w:ascii="宋体" w:hAnsi="宋体" w:eastAsia="宋体" w:cs="宋体"/>
                <w:szCs w:val="21"/>
              </w:rPr>
              <w:t>满分</w:t>
            </w:r>
          </w:p>
        </w:tc>
        <w:tc>
          <w:tcPr>
            <w:tcW w:w="1028" w:type="dxa"/>
            <w:shd w:val="clear" w:color="auto" w:fill="auto"/>
          </w:tcPr>
          <w:p w14:paraId="5AB0B902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Style w:val="5"/>
                <w:rFonts w:hint="eastAsia" w:ascii="宋体" w:hAnsi="宋体" w:eastAsia="宋体" w:cs="宋体"/>
                <w:szCs w:val="21"/>
              </w:rPr>
              <w:t>得分</w:t>
            </w:r>
          </w:p>
        </w:tc>
      </w:tr>
      <w:tr w14:paraId="27A6C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66" w:type="dxa"/>
            <w:vMerge w:val="restart"/>
            <w:vAlign w:val="center"/>
          </w:tcPr>
          <w:p w14:paraId="12BADD95">
            <w:pPr>
              <w:widowControl/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Style w:val="5"/>
                <w:rFonts w:hint="eastAsia" w:ascii="宋体" w:hAnsi="宋体" w:eastAsia="宋体" w:cs="宋体"/>
                <w:kern w:val="0"/>
                <w:szCs w:val="21"/>
                <w:lang w:bidi="ar"/>
              </w:rPr>
              <w:t>1.教学常规</w:t>
            </w: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（30分）</w:t>
            </w:r>
          </w:p>
        </w:tc>
        <w:tc>
          <w:tcPr>
            <w:tcW w:w="2376" w:type="dxa"/>
            <w:vAlign w:val="center"/>
          </w:tcPr>
          <w:p w14:paraId="5AF59B8C">
            <w:pPr>
              <w:widowControl/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1.1 教学任务</w:t>
            </w:r>
          </w:p>
        </w:tc>
        <w:tc>
          <w:tcPr>
            <w:tcW w:w="8090" w:type="dxa"/>
            <w:vAlign w:val="center"/>
          </w:tcPr>
          <w:p w14:paraId="00A95E36">
            <w:pPr>
              <w:widowControl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按计划完成所有课程教学（含理论/实验/实践），无教学事故。缺1门课程扣2分，出现一次教学事故，扣2分</w:t>
            </w:r>
            <w:r>
              <w:rPr>
                <w:rFonts w:hint="eastAsia" w:ascii="宋体" w:hAnsi="宋体" w:eastAsia="宋体" w:cs="宋体"/>
                <w:kern w:val="0"/>
                <w:szCs w:val="21"/>
                <w:lang w:eastAsia="zh-CN" w:bidi="ar"/>
              </w:rPr>
              <w:t>。</w:t>
            </w:r>
          </w:p>
        </w:tc>
        <w:tc>
          <w:tcPr>
            <w:tcW w:w="860" w:type="dxa"/>
            <w:vAlign w:val="center"/>
          </w:tcPr>
          <w:p w14:paraId="4B943A47">
            <w:pPr>
              <w:widowControl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10</w:t>
            </w:r>
          </w:p>
        </w:tc>
        <w:tc>
          <w:tcPr>
            <w:tcW w:w="1028" w:type="dxa"/>
            <w:vAlign w:val="center"/>
          </w:tcPr>
          <w:p w14:paraId="49ABABEE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</w:tr>
      <w:tr w14:paraId="64A14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1466" w:type="dxa"/>
            <w:vMerge w:val="continue"/>
            <w:vAlign w:val="center"/>
          </w:tcPr>
          <w:p w14:paraId="612A0AF7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376" w:type="dxa"/>
            <w:vAlign w:val="center"/>
          </w:tcPr>
          <w:p w14:paraId="788AA4B7">
            <w:pPr>
              <w:widowControl/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1.2 教学质量监控</w:t>
            </w:r>
          </w:p>
        </w:tc>
        <w:tc>
          <w:tcPr>
            <w:tcW w:w="8090" w:type="dxa"/>
            <w:vAlign w:val="center"/>
          </w:tcPr>
          <w:p w14:paraId="0766DB2D">
            <w:pPr>
              <w:widowControl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每学期定期开展听课（≥3次/人）</w:t>
            </w:r>
            <w:r>
              <w:rPr>
                <w:rFonts w:hint="eastAsia" w:ascii="宋体" w:hAnsi="宋体" w:eastAsia="宋体" w:cs="宋体"/>
                <w:kern w:val="0"/>
                <w:szCs w:val="21"/>
                <w:lang w:eastAsia="zh-CN" w:bidi="ar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教案检查效果</w:t>
            </w:r>
            <w:r>
              <w:rPr>
                <w:rFonts w:ascii="宋体" w:hAnsi="宋体" w:eastAsia="宋体" w:cs="宋体"/>
                <w:kern w:val="0"/>
                <w:szCs w:val="21"/>
                <w:lang w:bidi="ar"/>
              </w:rPr>
              <w:t>良好</w:t>
            </w:r>
            <w:r>
              <w:rPr>
                <w:rFonts w:hint="eastAsia" w:ascii="宋体" w:hAnsi="宋体" w:eastAsia="宋体" w:cs="宋体"/>
                <w:kern w:val="0"/>
                <w:szCs w:val="21"/>
                <w:lang w:eastAsia="zh-CN" w:bidi="ar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学生评教整体效果</w:t>
            </w:r>
            <w:r>
              <w:rPr>
                <w:rFonts w:ascii="宋体" w:hAnsi="宋体" w:eastAsia="宋体" w:cs="宋体"/>
                <w:kern w:val="0"/>
                <w:szCs w:val="21"/>
                <w:lang w:bidi="ar"/>
              </w:rPr>
              <w:t>良好</w:t>
            </w: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，不满足1项扣2分</w:t>
            </w:r>
            <w:r>
              <w:rPr>
                <w:rFonts w:hint="eastAsia" w:ascii="宋体" w:hAnsi="宋体" w:eastAsia="宋体" w:cs="宋体"/>
                <w:kern w:val="0"/>
                <w:szCs w:val="21"/>
                <w:lang w:eastAsia="zh-CN" w:bidi="ar"/>
              </w:rPr>
              <w:t>。</w:t>
            </w:r>
          </w:p>
        </w:tc>
        <w:tc>
          <w:tcPr>
            <w:tcW w:w="860" w:type="dxa"/>
            <w:vAlign w:val="center"/>
          </w:tcPr>
          <w:p w14:paraId="2CAB6A1D">
            <w:pPr>
              <w:widowControl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10</w:t>
            </w:r>
          </w:p>
        </w:tc>
        <w:tc>
          <w:tcPr>
            <w:tcW w:w="1028" w:type="dxa"/>
            <w:vAlign w:val="center"/>
          </w:tcPr>
          <w:p w14:paraId="3235AAAB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</w:tr>
      <w:tr w14:paraId="0A236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1466" w:type="dxa"/>
            <w:vMerge w:val="continue"/>
            <w:vAlign w:val="center"/>
          </w:tcPr>
          <w:p w14:paraId="3AFF86D0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376" w:type="dxa"/>
            <w:vAlign w:val="center"/>
          </w:tcPr>
          <w:p w14:paraId="796400F7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1.3 考试与档案管理</w:t>
            </w:r>
          </w:p>
        </w:tc>
        <w:tc>
          <w:tcPr>
            <w:tcW w:w="8090" w:type="dxa"/>
            <w:vAlign w:val="center"/>
          </w:tcPr>
          <w:p w14:paraId="74CA4505">
            <w:pPr>
              <w:widowControl/>
              <w:jc w:val="left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教学资料完整、试卷命题规范、归档完整，成绩提交及时。出现差错1次扣1分</w:t>
            </w:r>
            <w:r>
              <w:rPr>
                <w:rFonts w:hint="eastAsia" w:ascii="宋体" w:hAnsi="宋体" w:eastAsia="宋体" w:cs="宋体"/>
                <w:kern w:val="0"/>
                <w:szCs w:val="21"/>
                <w:lang w:eastAsia="zh-CN" w:bidi="ar"/>
              </w:rPr>
              <w:t>。</w:t>
            </w:r>
          </w:p>
        </w:tc>
        <w:tc>
          <w:tcPr>
            <w:tcW w:w="860" w:type="dxa"/>
            <w:vAlign w:val="center"/>
          </w:tcPr>
          <w:p w14:paraId="4EFBCFC3">
            <w:pPr>
              <w:widowControl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10</w:t>
            </w:r>
          </w:p>
        </w:tc>
        <w:tc>
          <w:tcPr>
            <w:tcW w:w="1028" w:type="dxa"/>
            <w:vAlign w:val="center"/>
          </w:tcPr>
          <w:p w14:paraId="334397F6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</w:tr>
      <w:tr w14:paraId="576AB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466" w:type="dxa"/>
            <w:vMerge w:val="restart"/>
            <w:vAlign w:val="center"/>
          </w:tcPr>
          <w:p w14:paraId="4437F2CD">
            <w:pPr>
              <w:widowControl/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Style w:val="5"/>
                <w:rFonts w:hint="eastAsia" w:ascii="宋体" w:hAnsi="宋体" w:eastAsia="宋体" w:cs="宋体"/>
                <w:kern w:val="0"/>
                <w:szCs w:val="21"/>
                <w:lang w:bidi="ar"/>
              </w:rPr>
              <w:t>2.教学建设</w:t>
            </w: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（30分）</w:t>
            </w:r>
          </w:p>
        </w:tc>
        <w:tc>
          <w:tcPr>
            <w:tcW w:w="2376" w:type="dxa"/>
            <w:vAlign w:val="center"/>
          </w:tcPr>
          <w:p w14:paraId="78C03044">
            <w:pPr>
              <w:widowControl/>
              <w:jc w:val="left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2.1 课程建设</w:t>
            </w:r>
          </w:p>
        </w:tc>
        <w:tc>
          <w:tcPr>
            <w:tcW w:w="8090" w:type="dxa"/>
            <w:vAlign w:val="center"/>
          </w:tcPr>
          <w:p w14:paraId="03B8EE90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新增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eastAsia="zh-CN" w:bidi="ar"/>
              </w:rPr>
              <w:t>校级课程类项目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（+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分/门），省级及以上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eastAsia="zh-CN" w:bidi="ar"/>
              </w:rPr>
              <w:t>课程类项目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（+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分/门）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eastAsia="zh-CN" w:bidi="ar"/>
              </w:rPr>
              <w:t>。</w:t>
            </w:r>
          </w:p>
        </w:tc>
        <w:tc>
          <w:tcPr>
            <w:tcW w:w="860" w:type="dxa"/>
            <w:vAlign w:val="center"/>
          </w:tcPr>
          <w:p w14:paraId="706ABFCC">
            <w:pPr>
              <w:widowControl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10</w:t>
            </w:r>
          </w:p>
        </w:tc>
        <w:tc>
          <w:tcPr>
            <w:tcW w:w="1028" w:type="dxa"/>
            <w:vAlign w:val="center"/>
          </w:tcPr>
          <w:p w14:paraId="11FBB688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</w:tr>
      <w:tr w14:paraId="26FA2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66" w:type="dxa"/>
            <w:vMerge w:val="continue"/>
            <w:vAlign w:val="center"/>
          </w:tcPr>
          <w:p w14:paraId="28937EAE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376" w:type="dxa"/>
            <w:vAlign w:val="center"/>
          </w:tcPr>
          <w:p w14:paraId="4EA6D017">
            <w:pPr>
              <w:widowControl/>
              <w:jc w:val="left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2.2 教改与教研</w:t>
            </w:r>
          </w:p>
        </w:tc>
        <w:tc>
          <w:tcPr>
            <w:tcW w:w="8090" w:type="dxa"/>
            <w:vAlign w:val="center"/>
          </w:tcPr>
          <w:p w14:paraId="687BD39A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立项校级教改项目（+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分/项），省级及以上（+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分/项）；发表教研论文（+1分/篇）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eastAsia="zh-CN" w:bidi="ar"/>
              </w:rPr>
              <w:t>。</w:t>
            </w:r>
          </w:p>
        </w:tc>
        <w:tc>
          <w:tcPr>
            <w:tcW w:w="860" w:type="dxa"/>
            <w:vAlign w:val="center"/>
          </w:tcPr>
          <w:p w14:paraId="1DC28D62">
            <w:pPr>
              <w:widowControl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10</w:t>
            </w:r>
          </w:p>
        </w:tc>
        <w:tc>
          <w:tcPr>
            <w:tcW w:w="1028" w:type="dxa"/>
            <w:vAlign w:val="center"/>
          </w:tcPr>
          <w:p w14:paraId="6A035FBB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</w:tr>
      <w:tr w14:paraId="3BE36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1466" w:type="dxa"/>
            <w:vMerge w:val="continue"/>
            <w:vAlign w:val="center"/>
          </w:tcPr>
          <w:p w14:paraId="323387F9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376" w:type="dxa"/>
            <w:vAlign w:val="center"/>
          </w:tcPr>
          <w:p w14:paraId="2DA26FCC">
            <w:pPr>
              <w:widowControl/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2.3 教材</w:t>
            </w:r>
          </w:p>
        </w:tc>
        <w:tc>
          <w:tcPr>
            <w:tcW w:w="8090" w:type="dxa"/>
            <w:vAlign w:val="center"/>
          </w:tcPr>
          <w:p w14:paraId="1C8BE2C5">
            <w:pPr>
              <w:widowControl/>
              <w:jc w:val="left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eastAsia="zh-CN" w:bidi="ar"/>
              </w:rPr>
              <w:t>积极参加教材编写，</w:t>
            </w: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主编（+3分/部）</w:t>
            </w:r>
            <w:r>
              <w:rPr>
                <w:rFonts w:hint="eastAsia" w:ascii="宋体" w:hAnsi="宋体" w:eastAsia="宋体" w:cs="宋体"/>
                <w:kern w:val="0"/>
                <w:szCs w:val="21"/>
                <w:lang w:eastAsia="zh-CN" w:bidi="ar"/>
              </w:rPr>
              <w:t>，副主</w:t>
            </w: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编（+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分/部）</w:t>
            </w:r>
            <w:r>
              <w:rPr>
                <w:rFonts w:hint="eastAsia" w:ascii="宋体" w:hAnsi="宋体" w:eastAsia="宋体" w:cs="宋体"/>
                <w:kern w:val="0"/>
                <w:szCs w:val="21"/>
                <w:lang w:eastAsia="zh-CN" w:bidi="ar"/>
              </w:rPr>
              <w:t>，参编</w:t>
            </w: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（+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分/部）</w:t>
            </w:r>
            <w:r>
              <w:rPr>
                <w:rFonts w:hint="eastAsia" w:ascii="宋体" w:hAnsi="宋体" w:eastAsia="宋体" w:cs="宋体"/>
                <w:kern w:val="0"/>
                <w:szCs w:val="21"/>
                <w:lang w:eastAsia="zh-CN" w:bidi="ar"/>
              </w:rPr>
              <w:t>。</w:t>
            </w:r>
          </w:p>
        </w:tc>
        <w:tc>
          <w:tcPr>
            <w:tcW w:w="860" w:type="dxa"/>
            <w:vAlign w:val="center"/>
          </w:tcPr>
          <w:p w14:paraId="3F23C11F">
            <w:pPr>
              <w:widowControl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10</w:t>
            </w:r>
          </w:p>
        </w:tc>
        <w:tc>
          <w:tcPr>
            <w:tcW w:w="1028" w:type="dxa"/>
            <w:vAlign w:val="center"/>
          </w:tcPr>
          <w:p w14:paraId="788FD7D4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</w:tr>
      <w:tr w14:paraId="21EEE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466" w:type="dxa"/>
            <w:vMerge w:val="restart"/>
            <w:vAlign w:val="center"/>
          </w:tcPr>
          <w:p w14:paraId="1C5DE939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Style w:val="5"/>
                <w:rFonts w:hint="eastAsia" w:ascii="宋体" w:hAnsi="宋体" w:eastAsia="宋体" w:cs="宋体"/>
                <w:szCs w:val="21"/>
              </w:rPr>
              <w:t>3.教师发展</w:t>
            </w:r>
            <w:r>
              <w:rPr>
                <w:rFonts w:hint="eastAsia" w:ascii="宋体" w:hAnsi="宋体" w:eastAsia="宋体" w:cs="宋体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szCs w:val="21"/>
              </w:rPr>
              <w:t>（20分）</w:t>
            </w:r>
          </w:p>
        </w:tc>
        <w:tc>
          <w:tcPr>
            <w:tcW w:w="2376" w:type="dxa"/>
            <w:vAlign w:val="center"/>
          </w:tcPr>
          <w:p w14:paraId="200F3F33">
            <w:pPr>
              <w:widowControl/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3.1 教研活动</w:t>
            </w:r>
          </w:p>
        </w:tc>
        <w:tc>
          <w:tcPr>
            <w:tcW w:w="8090" w:type="dxa"/>
            <w:vAlign w:val="center"/>
          </w:tcPr>
          <w:p w14:paraId="6B49E18C">
            <w:pPr>
              <w:widowControl/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组织集体备课、研讨≥4次/学期，少1次扣1分</w:t>
            </w:r>
          </w:p>
        </w:tc>
        <w:tc>
          <w:tcPr>
            <w:tcW w:w="860" w:type="dxa"/>
            <w:vAlign w:val="center"/>
          </w:tcPr>
          <w:p w14:paraId="645164DD">
            <w:pPr>
              <w:widowControl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8</w:t>
            </w:r>
          </w:p>
        </w:tc>
        <w:tc>
          <w:tcPr>
            <w:tcW w:w="1028" w:type="dxa"/>
            <w:vAlign w:val="center"/>
          </w:tcPr>
          <w:p w14:paraId="7E8BC018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</w:tr>
      <w:tr w14:paraId="67336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1466" w:type="dxa"/>
            <w:vMerge w:val="continue"/>
            <w:vAlign w:val="center"/>
          </w:tcPr>
          <w:p w14:paraId="1C21342C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376" w:type="dxa"/>
            <w:vAlign w:val="center"/>
          </w:tcPr>
          <w:p w14:paraId="2F3331BE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3.2 师资培训与竞赛</w:t>
            </w:r>
          </w:p>
        </w:tc>
        <w:tc>
          <w:tcPr>
            <w:tcW w:w="8090" w:type="dxa"/>
            <w:vAlign w:val="center"/>
          </w:tcPr>
          <w:p w14:paraId="24AFD2C7">
            <w:pPr>
              <w:widowControl/>
              <w:jc w:val="left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参加教学培训≥2次/人（+</w:t>
            </w:r>
            <w:r>
              <w:rPr>
                <w:rFonts w:ascii="宋体" w:hAnsi="宋体" w:eastAsia="宋体" w:cs="宋体"/>
                <w:kern w:val="0"/>
                <w:szCs w:val="21"/>
                <w:lang w:bidi="ar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分），获校级教学竞赛奖（+2分/人）</w:t>
            </w:r>
            <w:r>
              <w:rPr>
                <w:rFonts w:hint="eastAsia" w:ascii="宋体" w:hAnsi="宋体" w:eastAsia="宋体" w:cs="宋体"/>
                <w:kern w:val="0"/>
                <w:szCs w:val="21"/>
                <w:lang w:eastAsia="zh-CN" w:bidi="ar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省级（+4分/人）</w:t>
            </w:r>
            <w:r>
              <w:rPr>
                <w:rFonts w:hint="eastAsia" w:ascii="宋体" w:hAnsi="宋体" w:eastAsia="宋体" w:cs="宋体"/>
                <w:kern w:val="0"/>
                <w:szCs w:val="21"/>
                <w:lang w:eastAsia="zh-CN" w:bidi="ar"/>
              </w:rPr>
              <w:t>。</w:t>
            </w:r>
          </w:p>
        </w:tc>
        <w:tc>
          <w:tcPr>
            <w:tcW w:w="860" w:type="dxa"/>
            <w:vAlign w:val="center"/>
          </w:tcPr>
          <w:p w14:paraId="6E561AD9">
            <w:pPr>
              <w:widowControl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12</w:t>
            </w:r>
          </w:p>
        </w:tc>
        <w:tc>
          <w:tcPr>
            <w:tcW w:w="1028" w:type="dxa"/>
            <w:vAlign w:val="center"/>
          </w:tcPr>
          <w:p w14:paraId="12FC6361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</w:tr>
      <w:tr w14:paraId="2B02A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6" w:type="dxa"/>
            <w:vMerge w:val="restart"/>
            <w:vAlign w:val="center"/>
          </w:tcPr>
          <w:p w14:paraId="0932163A">
            <w:pPr>
              <w:widowControl/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Style w:val="5"/>
                <w:rFonts w:hint="eastAsia" w:ascii="宋体" w:hAnsi="宋体" w:eastAsia="宋体" w:cs="宋体"/>
                <w:kern w:val="0"/>
                <w:szCs w:val="21"/>
                <w:lang w:bidi="ar"/>
              </w:rPr>
              <w:t>4.学生培养</w:t>
            </w: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（20分）</w:t>
            </w:r>
          </w:p>
        </w:tc>
        <w:tc>
          <w:tcPr>
            <w:tcW w:w="2376" w:type="dxa"/>
            <w:vAlign w:val="center"/>
          </w:tcPr>
          <w:p w14:paraId="1017498F">
            <w:pPr>
              <w:widowControl/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4.1 学业指导</w:t>
            </w:r>
          </w:p>
        </w:tc>
        <w:tc>
          <w:tcPr>
            <w:tcW w:w="8090" w:type="dxa"/>
            <w:vAlign w:val="center"/>
          </w:tcPr>
          <w:p w14:paraId="38D3073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  <w:lang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指导</w:t>
            </w:r>
            <w:r>
              <w:rPr>
                <w:rFonts w:hint="eastAsia" w:ascii="宋体" w:hAnsi="宋体" w:eastAsia="宋体" w:cs="宋体"/>
                <w:kern w:val="0"/>
                <w:szCs w:val="21"/>
                <w:lang w:eastAsia="zh-CN" w:bidi="ar"/>
              </w:rPr>
              <w:t>大</w:t>
            </w: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学生创项目（省级+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t>0.5</w:t>
            </w: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分/项</w:t>
            </w:r>
            <w:r>
              <w:rPr>
                <w:rFonts w:hint="eastAsia" w:ascii="宋体" w:hAnsi="宋体" w:eastAsia="宋体" w:cs="宋体"/>
                <w:kern w:val="0"/>
                <w:szCs w:val="21"/>
                <w:lang w:eastAsia="zh-CN" w:bidi="ar"/>
              </w:rPr>
              <w:t>、国家级</w:t>
            </w: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+1分/项）、学科竞赛获奖（A类+3分/项</w:t>
            </w:r>
            <w:r>
              <w:rPr>
                <w:rFonts w:hint="eastAsia" w:ascii="宋体" w:hAnsi="宋体" w:eastAsia="宋体" w:cs="宋体"/>
                <w:kern w:val="0"/>
                <w:szCs w:val="21"/>
                <w:lang w:eastAsia="zh-CN" w:bidi="ar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B类+2分/项</w:t>
            </w:r>
            <w:r>
              <w:rPr>
                <w:rFonts w:hint="eastAsia" w:ascii="宋体" w:hAnsi="宋体" w:eastAsia="宋体" w:cs="宋体"/>
                <w:kern w:val="0"/>
                <w:szCs w:val="21"/>
                <w:lang w:eastAsia="zh-CN" w:bidi="ar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其他（+1分/项）</w:t>
            </w:r>
            <w:r>
              <w:rPr>
                <w:rFonts w:hint="eastAsia" w:ascii="宋体" w:hAnsi="宋体" w:eastAsia="宋体" w:cs="宋体"/>
                <w:kern w:val="0"/>
                <w:szCs w:val="21"/>
                <w:lang w:eastAsia="zh-CN" w:bidi="ar"/>
              </w:rPr>
              <w:t>。</w:t>
            </w:r>
          </w:p>
        </w:tc>
        <w:tc>
          <w:tcPr>
            <w:tcW w:w="860" w:type="dxa"/>
            <w:vAlign w:val="center"/>
          </w:tcPr>
          <w:p w14:paraId="07510B67">
            <w:pPr>
              <w:widowControl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10</w:t>
            </w:r>
          </w:p>
        </w:tc>
        <w:tc>
          <w:tcPr>
            <w:tcW w:w="1028" w:type="dxa"/>
            <w:vAlign w:val="center"/>
          </w:tcPr>
          <w:p w14:paraId="08942F5E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</w:tr>
      <w:tr w14:paraId="7633B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1466" w:type="dxa"/>
            <w:vMerge w:val="continue"/>
            <w:vAlign w:val="center"/>
          </w:tcPr>
          <w:p w14:paraId="373F821F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376" w:type="dxa"/>
            <w:vAlign w:val="center"/>
          </w:tcPr>
          <w:p w14:paraId="5059AF49">
            <w:pPr>
              <w:widowControl/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4.2 毕业论文/设计</w:t>
            </w:r>
          </w:p>
        </w:tc>
        <w:tc>
          <w:tcPr>
            <w:tcW w:w="8090" w:type="dxa"/>
            <w:vAlign w:val="center"/>
          </w:tcPr>
          <w:p w14:paraId="1FE106DD">
            <w:pPr>
              <w:widowControl/>
              <w:jc w:val="left"/>
              <w:rPr>
                <w:rFonts w:ascii="宋体" w:hAnsi="宋体" w:eastAsia="宋体" w:cs="宋体"/>
                <w:b/>
                <w:szCs w:val="21"/>
                <w14:textOutline w14:w="11112" w14:cap="flat" w14:cmpd="sng" w14:algn="ctr">
                  <w14:solidFill>
                    <w14:schemeClr w14:val="accent2"/>
                  </w14:solidFill>
                  <w14:prstDash w14:val="solid"/>
                  <w14:round/>
                </w14:textOutline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未完成答辩一篇扣1分，教育部抽检不合格一篇扣2分</w:t>
            </w:r>
            <w:r>
              <w:rPr>
                <w:rFonts w:hint="eastAsia" w:ascii="宋体" w:hAnsi="宋体" w:eastAsia="宋体" w:cs="宋体"/>
                <w:kern w:val="0"/>
                <w:szCs w:val="21"/>
                <w:lang w:eastAsia="zh-CN" w:bidi="ar"/>
              </w:rPr>
              <w:t>。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（没有</w:t>
            </w:r>
            <w:r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  <w:t>这项任务的教研室，此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项</w:t>
            </w:r>
            <w:r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  <w:t>忽略，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总分</w:t>
            </w:r>
            <w:r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  <w:t>计算方法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为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:</w:t>
            </w:r>
            <w:r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  <w:t>得分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*100/90）。</w:t>
            </w:r>
          </w:p>
        </w:tc>
        <w:tc>
          <w:tcPr>
            <w:tcW w:w="860" w:type="dxa"/>
            <w:vAlign w:val="center"/>
          </w:tcPr>
          <w:p w14:paraId="489C7932">
            <w:pPr>
              <w:widowControl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10</w:t>
            </w:r>
          </w:p>
        </w:tc>
        <w:tc>
          <w:tcPr>
            <w:tcW w:w="1028" w:type="dxa"/>
            <w:vAlign w:val="center"/>
          </w:tcPr>
          <w:p w14:paraId="368D3676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</w:tr>
      <w:tr w14:paraId="0181A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466" w:type="dxa"/>
            <w:vMerge w:val="restart"/>
            <w:vAlign w:val="center"/>
          </w:tcPr>
          <w:p w14:paraId="6FD2E84D">
            <w:pPr>
              <w:widowControl/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Style w:val="5"/>
                <w:rFonts w:hint="eastAsia" w:ascii="宋体" w:hAnsi="宋体" w:eastAsia="宋体" w:cs="宋体"/>
                <w:kern w:val="0"/>
                <w:szCs w:val="21"/>
                <w:lang w:bidi="ar"/>
              </w:rPr>
              <w:t>5.加分项</w:t>
            </w: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（10分封顶）</w:t>
            </w:r>
          </w:p>
        </w:tc>
        <w:tc>
          <w:tcPr>
            <w:tcW w:w="2376" w:type="dxa"/>
            <w:vAlign w:val="center"/>
          </w:tcPr>
          <w:p w14:paraId="79652A3B">
            <w:pPr>
              <w:widowControl/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5.1 特色创新</w:t>
            </w:r>
          </w:p>
        </w:tc>
        <w:tc>
          <w:tcPr>
            <w:tcW w:w="8090" w:type="dxa"/>
            <w:vAlign w:val="center"/>
          </w:tcPr>
          <w:p w14:paraId="0441EE5A">
            <w:pPr>
              <w:widowControl/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获省级</w:t>
            </w:r>
            <w:r>
              <w:rPr>
                <w:rFonts w:hint="eastAsia" w:ascii="宋体" w:hAnsi="宋体" w:eastAsia="宋体" w:cs="宋体"/>
                <w:kern w:val="0"/>
                <w:szCs w:val="21"/>
                <w:lang w:eastAsia="zh-CN" w:bidi="ar"/>
              </w:rPr>
              <w:t>及</w:t>
            </w: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以上教学成果奖（+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分）、产教融合典型案例（+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分）等</w:t>
            </w:r>
          </w:p>
        </w:tc>
        <w:tc>
          <w:tcPr>
            <w:tcW w:w="860" w:type="dxa"/>
            <w:vAlign w:val="center"/>
          </w:tcPr>
          <w:p w14:paraId="65924223">
            <w:pPr>
              <w:widowControl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Cs w:val="21"/>
                <w:lang w:bidi="ar"/>
              </w:rPr>
              <w:t>8</w:t>
            </w:r>
          </w:p>
        </w:tc>
        <w:tc>
          <w:tcPr>
            <w:tcW w:w="1028" w:type="dxa"/>
            <w:vAlign w:val="center"/>
          </w:tcPr>
          <w:p w14:paraId="22CF0395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</w:tr>
      <w:tr w14:paraId="05EEB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466" w:type="dxa"/>
            <w:vMerge w:val="continue"/>
            <w:vAlign w:val="center"/>
          </w:tcPr>
          <w:p w14:paraId="4A8CCD6E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376" w:type="dxa"/>
            <w:vAlign w:val="center"/>
          </w:tcPr>
          <w:p w14:paraId="05101F9E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5.2 文档规范</w:t>
            </w:r>
          </w:p>
        </w:tc>
        <w:tc>
          <w:tcPr>
            <w:tcW w:w="8090" w:type="dxa"/>
            <w:vAlign w:val="center"/>
          </w:tcPr>
          <w:p w14:paraId="5A0B6AD2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教研室活动安排形式多样，落实良好</w:t>
            </w: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（+1分）</w:t>
            </w:r>
            <w:r>
              <w:rPr>
                <w:rFonts w:hint="eastAsia" w:ascii="宋体" w:hAnsi="宋体" w:eastAsia="宋体" w:cs="宋体"/>
                <w:szCs w:val="21"/>
              </w:rPr>
              <w:t>，学期总结报告撰写认真详实</w:t>
            </w: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（+1分）</w:t>
            </w:r>
            <w:r>
              <w:rPr>
                <w:rFonts w:hint="eastAsia" w:ascii="宋体" w:hAnsi="宋体" w:eastAsia="宋体" w:cs="宋体"/>
                <w:szCs w:val="21"/>
              </w:rPr>
              <w:t>。</w:t>
            </w:r>
          </w:p>
        </w:tc>
        <w:tc>
          <w:tcPr>
            <w:tcW w:w="860" w:type="dxa"/>
            <w:vAlign w:val="center"/>
          </w:tcPr>
          <w:p w14:paraId="395CD677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</w:t>
            </w:r>
          </w:p>
        </w:tc>
        <w:tc>
          <w:tcPr>
            <w:tcW w:w="1028" w:type="dxa"/>
            <w:vAlign w:val="center"/>
          </w:tcPr>
          <w:p w14:paraId="03439988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</w:tr>
      <w:tr w14:paraId="3AF09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466" w:type="dxa"/>
            <w:vAlign w:val="center"/>
          </w:tcPr>
          <w:p w14:paraId="1497377F">
            <w:pPr>
              <w:ind w:firstLine="211" w:firstLineChars="100"/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合计</w:t>
            </w:r>
          </w:p>
        </w:tc>
        <w:tc>
          <w:tcPr>
            <w:tcW w:w="2376" w:type="dxa"/>
            <w:vAlign w:val="center"/>
          </w:tcPr>
          <w:p w14:paraId="0838B006">
            <w:pPr>
              <w:jc w:val="left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090" w:type="dxa"/>
            <w:vAlign w:val="center"/>
          </w:tcPr>
          <w:p w14:paraId="01C58217">
            <w:pPr>
              <w:jc w:val="left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60" w:type="dxa"/>
            <w:vAlign w:val="center"/>
          </w:tcPr>
          <w:p w14:paraId="111C70C5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28" w:type="dxa"/>
            <w:vAlign w:val="center"/>
          </w:tcPr>
          <w:p w14:paraId="0B1EE2D4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</w:tr>
    </w:tbl>
    <w:p w14:paraId="3792806C"/>
    <w:p w14:paraId="509B30EA">
      <w:pPr>
        <w:ind w:firstLine="422" w:firstLineChars="200"/>
      </w:pPr>
      <w:r>
        <w:rPr>
          <w:rStyle w:val="5"/>
          <w:rFonts w:hint="eastAsia" w:ascii="宋体" w:hAnsi="宋体" w:eastAsia="宋体" w:cs="宋体"/>
          <w:szCs w:val="21"/>
          <w:lang w:eastAsia="zh-CN"/>
        </w:rPr>
        <w:t>基层教学组织</w:t>
      </w:r>
      <w:r>
        <w:rPr>
          <w:rStyle w:val="5"/>
          <w:rFonts w:hint="eastAsia" w:ascii="宋体" w:hAnsi="宋体" w:eastAsia="宋体" w:cs="宋体"/>
          <w:szCs w:val="21"/>
        </w:rPr>
        <w:t>负责人</w:t>
      </w:r>
      <w:r>
        <w:rPr>
          <w:rFonts w:hint="eastAsia" w:ascii="宋体" w:hAnsi="宋体" w:eastAsia="宋体" w:cs="宋体"/>
          <w:szCs w:val="21"/>
        </w:rPr>
        <w:t xml:space="preserve">（签字）：    </w:t>
      </w:r>
      <w:r>
        <w:rPr>
          <w:rFonts w:hint="eastAsia" w:ascii="宋体" w:hAnsi="宋体" w:eastAsia="宋体" w:cs="宋体"/>
          <w:szCs w:val="21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Cs w:val="21"/>
        </w:rPr>
        <w:t xml:space="preserve">  </w:t>
      </w:r>
      <w:r>
        <w:rPr>
          <w:rStyle w:val="5"/>
          <w:rFonts w:hint="eastAsia" w:ascii="宋体" w:hAnsi="宋体" w:eastAsia="宋体" w:cs="宋体"/>
          <w:szCs w:val="21"/>
        </w:rPr>
        <w:t>院（部）教学</w:t>
      </w:r>
      <w:r>
        <w:rPr>
          <w:rStyle w:val="5"/>
          <w:rFonts w:ascii="宋体" w:hAnsi="宋体" w:eastAsia="宋体" w:cs="宋体"/>
          <w:szCs w:val="21"/>
        </w:rPr>
        <w:t>负责人</w:t>
      </w:r>
      <w:r>
        <w:rPr>
          <w:rFonts w:hint="eastAsia" w:ascii="宋体" w:hAnsi="宋体" w:eastAsia="宋体" w:cs="宋体"/>
          <w:szCs w:val="21"/>
        </w:rPr>
        <w:t xml:space="preserve">（签字）：                   </w:t>
      </w:r>
      <w:bookmarkStart w:id="0" w:name="_GoBack"/>
      <w:bookmarkEnd w:id="0"/>
      <w:r>
        <w:rPr>
          <w:rFonts w:hint="eastAsia" w:ascii="宋体" w:hAnsi="宋体" w:eastAsia="宋体" w:cs="宋体"/>
          <w:szCs w:val="21"/>
        </w:rPr>
        <w:t xml:space="preserve">  </w:t>
      </w:r>
      <w:r>
        <w:rPr>
          <w:rStyle w:val="5"/>
          <w:rFonts w:hint="eastAsia" w:ascii="宋体" w:hAnsi="宋体" w:eastAsia="宋体" w:cs="宋体"/>
          <w:szCs w:val="21"/>
        </w:rPr>
        <w:t>日期</w:t>
      </w:r>
      <w:r>
        <w:rPr>
          <w:rFonts w:hint="eastAsia" w:ascii="宋体" w:hAnsi="宋体" w:eastAsia="宋体" w:cs="宋体"/>
          <w:szCs w:val="21"/>
        </w:rPr>
        <w:t>：__________年______月_______日</w:t>
      </w:r>
    </w:p>
    <w:sectPr>
      <w:pgSz w:w="16838" w:h="11906" w:orient="landscape"/>
      <w:pgMar w:top="964" w:right="1440" w:bottom="1021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C107079"/>
    <w:rsid w:val="000F1649"/>
    <w:rsid w:val="00121264"/>
    <w:rsid w:val="00141791"/>
    <w:rsid w:val="00176E68"/>
    <w:rsid w:val="00197411"/>
    <w:rsid w:val="001D51F6"/>
    <w:rsid w:val="002966F8"/>
    <w:rsid w:val="003077A1"/>
    <w:rsid w:val="00342535"/>
    <w:rsid w:val="00380E33"/>
    <w:rsid w:val="003C6896"/>
    <w:rsid w:val="005F7CFE"/>
    <w:rsid w:val="007A537B"/>
    <w:rsid w:val="00852175"/>
    <w:rsid w:val="009739D2"/>
    <w:rsid w:val="009C1EF8"/>
    <w:rsid w:val="009F68BE"/>
    <w:rsid w:val="00AA1998"/>
    <w:rsid w:val="00AD3BA2"/>
    <w:rsid w:val="00B174B9"/>
    <w:rsid w:val="00B32ED8"/>
    <w:rsid w:val="00B5660A"/>
    <w:rsid w:val="00CD5301"/>
    <w:rsid w:val="00D42A08"/>
    <w:rsid w:val="00D43B4B"/>
    <w:rsid w:val="00D50CEE"/>
    <w:rsid w:val="00E965D1"/>
    <w:rsid w:val="00EE548A"/>
    <w:rsid w:val="03F1578E"/>
    <w:rsid w:val="058F525E"/>
    <w:rsid w:val="05A62798"/>
    <w:rsid w:val="066E55CF"/>
    <w:rsid w:val="0DC318B6"/>
    <w:rsid w:val="0F5C3CD1"/>
    <w:rsid w:val="0F8077C5"/>
    <w:rsid w:val="14BF5434"/>
    <w:rsid w:val="16352F6A"/>
    <w:rsid w:val="1DDF4451"/>
    <w:rsid w:val="23B440B3"/>
    <w:rsid w:val="244D0C55"/>
    <w:rsid w:val="2E5A63B6"/>
    <w:rsid w:val="31F34794"/>
    <w:rsid w:val="32ED6165"/>
    <w:rsid w:val="39045D8F"/>
    <w:rsid w:val="3C2C4053"/>
    <w:rsid w:val="3EB80E95"/>
    <w:rsid w:val="42842DCA"/>
    <w:rsid w:val="435E5C94"/>
    <w:rsid w:val="49D52451"/>
    <w:rsid w:val="4F513F7D"/>
    <w:rsid w:val="53177C0E"/>
    <w:rsid w:val="563B7417"/>
    <w:rsid w:val="5C6E6AF1"/>
    <w:rsid w:val="5CAB4B7F"/>
    <w:rsid w:val="5D056E90"/>
    <w:rsid w:val="5D821189"/>
    <w:rsid w:val="61462D93"/>
    <w:rsid w:val="621E63B5"/>
    <w:rsid w:val="69496F06"/>
    <w:rsid w:val="6FD902CD"/>
    <w:rsid w:val="718F158B"/>
    <w:rsid w:val="71FD64F5"/>
    <w:rsid w:val="731D1DD1"/>
    <w:rsid w:val="78C315EA"/>
    <w:rsid w:val="7C107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Strong"/>
    <w:basedOn w:val="4"/>
    <w:qFormat/>
    <w:uiPriority w:val="0"/>
    <w:rPr>
      <w:b/>
    </w:rPr>
  </w:style>
  <w:style w:type="paragraph" w:customStyle="1" w:styleId="6">
    <w:name w:val="图27"/>
    <w:basedOn w:val="1"/>
    <w:qFormat/>
    <w:uiPriority w:val="0"/>
    <w:pPr>
      <w:jc w:val="center"/>
    </w:pPr>
    <w:rPr>
      <w:rFonts w:hint="eastAsia" w:ascii="Times New Roman" w:hAnsi="Times New Roman"/>
      <w:szCs w:val="44"/>
    </w:rPr>
  </w:style>
  <w:style w:type="paragraph" w:customStyle="1" w:styleId="7">
    <w:name w:val="图28"/>
    <w:basedOn w:val="1"/>
    <w:qFormat/>
    <w:uiPriority w:val="0"/>
    <w:pPr>
      <w:spacing w:line="360" w:lineRule="auto"/>
    </w:pPr>
    <w:rPr>
      <w:rFonts w:hint="eastAsia" w:ascii="Times New Roman" w:hAnsi="Times New Roman"/>
    </w:rPr>
  </w:style>
  <w:style w:type="paragraph" w:customStyle="1" w:styleId="8">
    <w:name w:val="图32"/>
    <w:basedOn w:val="1"/>
    <w:qFormat/>
    <w:uiPriority w:val="0"/>
    <w:pPr>
      <w:jc w:val="center"/>
    </w:pPr>
    <w:rPr>
      <w:rFonts w:hint="eastAsia" w:ascii="Times New Roman" w:hAnsi="Times New Roman" w:eastAsia="宋体" w:cs="Times New Roman"/>
    </w:rPr>
  </w:style>
  <w:style w:type="paragraph" w:customStyle="1" w:styleId="9">
    <w:name w:val="图29"/>
    <w:basedOn w:val="1"/>
    <w:qFormat/>
    <w:uiPriority w:val="0"/>
    <w:pPr>
      <w:jc w:val="center"/>
    </w:pPr>
    <w:rPr>
      <w:rFonts w:hint="eastAsia" w:ascii="Times New Roman" w:hAnsi="Times New Roman"/>
      <w:szCs w:val="44"/>
    </w:rPr>
  </w:style>
  <w:style w:type="paragraph" w:customStyle="1" w:styleId="10">
    <w:name w:val="图31"/>
    <w:basedOn w:val="1"/>
    <w:qFormat/>
    <w:uiPriority w:val="0"/>
    <w:pPr>
      <w:jc w:val="center"/>
    </w:pPr>
    <w:rPr>
      <w:rFonts w:hint="eastAsia" w:ascii="Times New Roman" w:hAnsi="Times New Roman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704</Words>
  <Characters>832</Characters>
  <Lines>6</Lines>
  <Paragraphs>1</Paragraphs>
  <TotalTime>10</TotalTime>
  <ScaleCrop>false</ScaleCrop>
  <LinksUpToDate>false</LinksUpToDate>
  <CharactersWithSpaces>894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2025-03-28T00:59:00Z</dcterms:created>
  <dc:creator>周松林</dc:creator>
  <cp:lastModifiedBy>lucky baby</cp:lastModifiedBy>
  <dcterms:modified xsi:type="dcterms:W3CDTF">2025-12-24T02:27:46Z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B6D923680D7C44179E77A00566526454_11</vt:lpwstr>
  </property>
  <property fmtid="{D5CDD505-2E9C-101B-9397-08002B2CF9AE}" pid="4" name="KSOTemplateDocerSaveRecord">
    <vt:lpwstr>eyJoZGlkIjoiNmIyN2MzZDVhMDI2NGQ4MDAxY2NiN2I2ZDUwZWIwZmUiLCJ1c2VySWQiOiIxMDE1NTkxMjIxIn0=</vt:lpwstr>
  </property>
</Properties>
</file>