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rFonts w:hint="default" w:eastAsiaTheme="minorEastAsia"/>
          <w:sz w:val="30"/>
          <w:lang w:val="en-US" w:eastAsia="zh-CN"/>
        </w:rPr>
      </w:pPr>
      <w:r>
        <w:rPr>
          <w:rFonts w:hint="eastAsia"/>
          <w:sz w:val="30"/>
        </w:rPr>
        <w:t>课程名称：</w:t>
      </w:r>
      <w:r>
        <w:rPr>
          <w:sz w:val="30"/>
          <w:u w:val="single"/>
        </w:rPr>
        <w:t xml:space="preserve"> </w:t>
      </w:r>
      <w:r>
        <w:rPr>
          <w:rFonts w:hint="eastAsia"/>
          <w:sz w:val="30"/>
          <w:u w:val="single"/>
          <w:lang w:val="en-US" w:eastAsia="zh-CN"/>
        </w:rPr>
        <w:t xml:space="preserve">          建筑设计</w:t>
      </w:r>
      <w:r>
        <w:rPr>
          <w:rFonts w:hint="eastAsia" w:ascii="宋体" w:hAnsi="宋体" w:eastAsia="宋体" w:cs="宋体"/>
          <w:sz w:val="30"/>
          <w:u w:val="single"/>
          <w:lang w:val="en-US" w:eastAsia="zh-CN"/>
        </w:rPr>
        <w:t>Ⅶ</w:t>
      </w:r>
      <w:r>
        <w:rPr>
          <w:rFonts w:hint="eastAsia"/>
          <w:sz w:val="30"/>
          <w:u w:val="single"/>
          <w:lang w:val="en-US" w:eastAsia="zh-CN"/>
        </w:rPr>
        <w:t xml:space="preserve">        </w:t>
      </w:r>
    </w:p>
    <w:p>
      <w:pPr>
        <w:ind w:firstLine="1500" w:firstLineChars="500"/>
        <w:rPr>
          <w:rFonts w:hint="eastAsia"/>
          <w:sz w:val="30"/>
          <w:u w:val="single"/>
          <w:lang w:val="en-US" w:eastAsia="zh-CN"/>
        </w:rPr>
      </w:pPr>
      <w:r>
        <w:rPr>
          <w:rFonts w:hint="eastAsia"/>
          <w:sz w:val="30"/>
        </w:rPr>
        <w:t>编写负责人姓名：</w:t>
      </w:r>
      <w:r>
        <w:rPr>
          <w:rFonts w:hint="eastAsia"/>
          <w:sz w:val="30"/>
          <w:u w:val="single"/>
          <w:lang w:val="en-US" w:eastAsia="zh-CN"/>
        </w:rPr>
        <w:t xml:space="preserve">       廖清华          </w:t>
      </w:r>
    </w:p>
    <w:p>
      <w:pPr>
        <w:ind w:firstLine="1500" w:firstLineChars="500"/>
        <w:rPr>
          <w:rFonts w:hint="default"/>
          <w:sz w:val="30"/>
          <w:lang w:val="en-US"/>
        </w:rPr>
      </w:pPr>
      <w:r>
        <w:rPr>
          <w:rFonts w:hint="eastAsia"/>
          <w:sz w:val="30"/>
        </w:rPr>
        <w:t xml:space="preserve">联系电话：  </w:t>
      </w:r>
      <w:r>
        <w:rPr>
          <w:rFonts w:hint="eastAsia"/>
          <w:sz w:val="30"/>
          <w:u w:val="single"/>
        </w:rPr>
        <w:t xml:space="preserve">    </w:t>
      </w:r>
      <w:r>
        <w:rPr>
          <w:rFonts w:hint="eastAsia"/>
          <w:sz w:val="30"/>
          <w:u w:val="single"/>
          <w:lang w:val="en-US" w:eastAsia="zh-CN"/>
        </w:rPr>
        <w:t xml:space="preserve">    18956015539       </w:t>
      </w:r>
    </w:p>
    <w:p>
      <w:pPr>
        <w:ind w:firstLine="1500" w:firstLineChars="500"/>
        <w:rPr>
          <w:rFonts w:hint="default" w:eastAsiaTheme="minorEastAsia"/>
          <w:sz w:val="30"/>
          <w:u w:val="single"/>
          <w:lang w:val="en-US" w:eastAsia="zh-CN"/>
        </w:rPr>
      </w:pPr>
      <w:r>
        <w:rPr>
          <w:rFonts w:hint="eastAsia"/>
          <w:sz w:val="30"/>
        </w:rPr>
        <w:t>院（部）名称：</w:t>
      </w:r>
      <w:r>
        <w:rPr>
          <w:rFonts w:hint="eastAsia"/>
          <w:sz w:val="30"/>
          <w:u w:val="single"/>
        </w:rPr>
        <w:t xml:space="preserve">  </w:t>
      </w:r>
      <w:r>
        <w:rPr>
          <w:rFonts w:hint="eastAsia"/>
          <w:sz w:val="30"/>
          <w:u w:val="single"/>
          <w:lang w:val="en-US" w:eastAsia="zh-CN"/>
        </w:rPr>
        <w:t xml:space="preserve">    建筑工程学院       </w:t>
      </w:r>
    </w:p>
    <w:p>
      <w:pPr>
        <w:spacing w:line="276" w:lineRule="auto"/>
        <w:jc w:val="center"/>
        <w:rPr>
          <w:rFonts w:hint="eastAsia"/>
          <w:b/>
          <w:sz w:val="30"/>
        </w:rPr>
      </w:pP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pStyle w:val="2"/>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val="en-US" w:eastAsia="zh-CN" w:bidi="ar"/>
        </w:rPr>
        <w:t>城乡规划原理</w:t>
      </w:r>
      <w:r>
        <w:rPr>
          <w:rFonts w:hint="eastAsia" w:ascii="黑体" w:hAnsi="黑体" w:eastAsia="黑体" w:cs="黑体"/>
          <w:b/>
          <w:bCs/>
          <w:color w:val="000000"/>
          <w:kern w:val="0"/>
          <w:sz w:val="32"/>
          <w:szCs w:val="32"/>
          <w:lang w:bidi="ar"/>
        </w:rPr>
        <w:t>课程真实项目案例库</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tcPr>
          <w:p>
            <w:pPr>
              <w:widowControl/>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建筑设计Ⅶ</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tcPr>
          <w:p>
            <w:pPr>
              <w:widowControl/>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w w:val="100"/>
                <w:kern w:val="0"/>
                <w:sz w:val="28"/>
                <w:szCs w:val="28"/>
                <w:lang w:val="en-US" w:eastAsia="zh-CN" w:bidi="ar"/>
              </w:rPr>
              <w:t>建筑学</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四年级下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tcPr>
          <w:p>
            <w:pPr>
              <w:widowControl/>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廖清华</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tcPr>
          <w:p>
            <w:pPr>
              <w:widowControl/>
              <w:jc w:val="center"/>
              <w:rPr>
                <w:rFonts w:hint="default" w:ascii="仿宋_GB2312" w:hAnsi="仿宋_GB2312" w:eastAsia="仿宋_GB2312" w:cs="仿宋_GB2312"/>
                <w:color w:val="000000"/>
                <w:kern w:val="0"/>
                <w:sz w:val="36"/>
                <w:szCs w:val="36"/>
                <w:lang w:val="en-US" w:eastAsia="zh-CN" w:bidi="ar"/>
              </w:rPr>
            </w:pPr>
            <w:r>
              <w:rPr>
                <w:rFonts w:hint="eastAsia" w:ascii="仿宋_GB2312" w:hAnsi="仿宋_GB2312" w:eastAsia="仿宋_GB2312" w:cs="仿宋_GB2312"/>
                <w:color w:val="000000"/>
                <w:kern w:val="0"/>
                <w:sz w:val="28"/>
                <w:szCs w:val="28"/>
                <w:lang w:val="en-US" w:eastAsia="zh-CN" w:bidi="ar"/>
              </w:rPr>
              <w:t>2024.02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方正仿宋_GB2312" w:hAnsi="方正仿宋_GB2312" w:eastAsia="方正仿宋_GB2312" w:cs="方正仿宋_GB2312"/>
                <w:iCs/>
                <w:color w:val="000000"/>
                <w:kern w:val="0"/>
                <w:sz w:val="24"/>
                <w:szCs w:val="24"/>
                <w:lang w:val="en-US" w:eastAsia="zh-CN" w:bidi="ar"/>
              </w:rPr>
            </w:pPr>
            <w:r>
              <w:rPr>
                <w:rFonts w:hint="eastAsia" w:ascii="方正仿宋_GB2312" w:hAnsi="方正仿宋_GB2312" w:eastAsia="方正仿宋_GB2312" w:cs="方正仿宋_GB2312"/>
                <w:iCs/>
                <w:color w:val="000000"/>
                <w:kern w:val="0"/>
                <w:sz w:val="24"/>
                <w:szCs w:val="24"/>
                <w:lang w:val="en-US" w:eastAsia="zh-CN" w:bidi="ar"/>
              </w:rPr>
              <w:t>1.</w:t>
            </w:r>
            <w:r>
              <w:rPr>
                <w:rFonts w:hint="eastAsia" w:ascii="方正仿宋_GB2312" w:hAnsi="方正仿宋_GB2312" w:eastAsia="方正仿宋_GB2312" w:cs="方正仿宋_GB2312"/>
                <w:iCs/>
                <w:color w:val="000000"/>
                <w:kern w:val="0"/>
                <w:sz w:val="24"/>
                <w:szCs w:val="24"/>
                <w:lang w:bidi="ar"/>
              </w:rPr>
              <w:t>通过课程的系统讲授，帮助学生全面、系统地掌握设计原理知识，依据设计理论及技术的发展，及时更新、充实相关领域的知识</w:t>
            </w:r>
            <w:r>
              <w:rPr>
                <w:rFonts w:hint="eastAsia" w:ascii="方正仿宋_GB2312" w:hAnsi="方正仿宋_GB2312" w:eastAsia="方正仿宋_GB2312" w:cs="方正仿宋_GB2312"/>
                <w:iCs/>
                <w:color w:val="000000"/>
                <w:kern w:val="0"/>
                <w:sz w:val="24"/>
                <w:szCs w:val="24"/>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方正仿宋_GB2312" w:hAnsi="方正仿宋_GB2312" w:eastAsia="方正仿宋_GB2312" w:cs="方正仿宋_GB2312"/>
                <w:iCs/>
                <w:color w:val="000000"/>
                <w:kern w:val="0"/>
                <w:sz w:val="24"/>
                <w:szCs w:val="24"/>
                <w:lang w:val="en-US" w:eastAsia="zh-CN" w:bidi="ar"/>
              </w:rPr>
            </w:pPr>
            <w:r>
              <w:rPr>
                <w:rFonts w:hint="eastAsia" w:ascii="方正仿宋_GB2312" w:hAnsi="方正仿宋_GB2312" w:eastAsia="方正仿宋_GB2312" w:cs="方正仿宋_GB2312"/>
                <w:iCs/>
                <w:color w:val="000000"/>
                <w:kern w:val="0"/>
                <w:sz w:val="24"/>
                <w:szCs w:val="24"/>
                <w:lang w:val="en-US" w:eastAsia="zh-CN" w:bidi="ar"/>
              </w:rPr>
              <w:t>2.</w:t>
            </w:r>
            <w:r>
              <w:rPr>
                <w:rFonts w:hint="eastAsia" w:ascii="方正仿宋_GB2312" w:hAnsi="方正仿宋_GB2312" w:eastAsia="方正仿宋_GB2312" w:cs="方正仿宋_GB2312"/>
                <w:iCs/>
                <w:color w:val="000000"/>
                <w:kern w:val="0"/>
                <w:sz w:val="24"/>
                <w:szCs w:val="24"/>
                <w:lang w:bidi="ar"/>
              </w:rPr>
              <w:t>掌握建筑</w:t>
            </w:r>
            <w:r>
              <w:rPr>
                <w:rFonts w:hint="eastAsia" w:ascii="方正仿宋_GB2312" w:hAnsi="方正仿宋_GB2312" w:eastAsia="方正仿宋_GB2312" w:cs="方正仿宋_GB2312"/>
                <w:iCs/>
                <w:color w:val="000000"/>
                <w:kern w:val="0"/>
                <w:sz w:val="24"/>
                <w:szCs w:val="24"/>
                <w:lang w:eastAsia="zh-CN" w:bidi="ar"/>
              </w:rPr>
              <w:t>、</w:t>
            </w:r>
            <w:r>
              <w:rPr>
                <w:rFonts w:hint="eastAsia" w:ascii="方正仿宋_GB2312" w:hAnsi="方正仿宋_GB2312" w:eastAsia="方正仿宋_GB2312" w:cs="方正仿宋_GB2312"/>
                <w:iCs/>
                <w:color w:val="000000"/>
                <w:kern w:val="0"/>
                <w:sz w:val="24"/>
                <w:szCs w:val="24"/>
                <w:lang w:val="en-US" w:eastAsia="zh-CN" w:bidi="ar"/>
              </w:rPr>
              <w:t>规划</w:t>
            </w:r>
            <w:r>
              <w:rPr>
                <w:rFonts w:hint="eastAsia" w:ascii="方正仿宋_GB2312" w:hAnsi="方正仿宋_GB2312" w:eastAsia="方正仿宋_GB2312" w:cs="方正仿宋_GB2312"/>
                <w:iCs/>
                <w:color w:val="000000"/>
                <w:kern w:val="0"/>
                <w:sz w:val="24"/>
                <w:szCs w:val="24"/>
                <w:lang w:bidi="ar"/>
              </w:rPr>
              <w:t>设计方法，通过课程设计的训练，使学生了解建筑</w:t>
            </w:r>
            <w:r>
              <w:rPr>
                <w:rFonts w:hint="eastAsia" w:ascii="方正仿宋_GB2312" w:hAnsi="方正仿宋_GB2312" w:eastAsia="方正仿宋_GB2312" w:cs="方正仿宋_GB2312"/>
                <w:iCs/>
                <w:color w:val="000000"/>
                <w:kern w:val="0"/>
                <w:sz w:val="24"/>
                <w:szCs w:val="24"/>
                <w:lang w:eastAsia="zh-CN" w:bidi="ar"/>
              </w:rPr>
              <w:t>、</w:t>
            </w:r>
            <w:r>
              <w:rPr>
                <w:rFonts w:hint="eastAsia" w:ascii="方正仿宋_GB2312" w:hAnsi="方正仿宋_GB2312" w:eastAsia="方正仿宋_GB2312" w:cs="方正仿宋_GB2312"/>
                <w:iCs/>
                <w:color w:val="000000"/>
                <w:kern w:val="0"/>
                <w:sz w:val="24"/>
                <w:szCs w:val="24"/>
                <w:lang w:val="en-US" w:eastAsia="zh-CN" w:bidi="ar"/>
              </w:rPr>
              <w:t>规划</w:t>
            </w:r>
            <w:r>
              <w:rPr>
                <w:rFonts w:hint="eastAsia" w:ascii="方正仿宋_GB2312" w:hAnsi="方正仿宋_GB2312" w:eastAsia="方正仿宋_GB2312" w:cs="方正仿宋_GB2312"/>
                <w:iCs/>
                <w:color w:val="000000"/>
                <w:kern w:val="0"/>
                <w:sz w:val="24"/>
                <w:szCs w:val="24"/>
                <w:lang w:bidi="ar"/>
              </w:rPr>
              <w:t xml:space="preserve">设计中综合考虑的因素并熟悉设计环节中体现创意的方法，促进学生建筑设计专业技能的全面发展。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方正仿宋_GB2312" w:hAnsi="方正仿宋_GB2312" w:eastAsia="方正仿宋_GB2312" w:cs="方正仿宋_GB2312"/>
                <w:iCs/>
                <w:color w:val="000000"/>
                <w:kern w:val="0"/>
                <w:sz w:val="24"/>
                <w:szCs w:val="24"/>
                <w:lang w:val="en-US" w:eastAsia="zh-CN" w:bidi="ar"/>
              </w:rPr>
            </w:pPr>
            <w:r>
              <w:rPr>
                <w:rFonts w:hint="eastAsia" w:ascii="方正仿宋_GB2312" w:hAnsi="方正仿宋_GB2312" w:eastAsia="方正仿宋_GB2312" w:cs="方正仿宋_GB2312"/>
                <w:iCs/>
                <w:color w:val="000000"/>
                <w:kern w:val="0"/>
                <w:sz w:val="24"/>
                <w:szCs w:val="24"/>
                <w:lang w:val="en-US" w:eastAsia="zh-CN" w:bidi="ar"/>
              </w:rPr>
              <w:t>3.</w:t>
            </w:r>
            <w:r>
              <w:rPr>
                <w:rFonts w:hint="eastAsia" w:ascii="方正仿宋_GB2312" w:hAnsi="方正仿宋_GB2312" w:eastAsia="方正仿宋_GB2312" w:cs="方正仿宋_GB2312"/>
                <w:iCs/>
                <w:color w:val="000000"/>
                <w:kern w:val="0"/>
                <w:sz w:val="24"/>
                <w:szCs w:val="24"/>
                <w:lang w:bidi="ar"/>
              </w:rPr>
              <w:t>有较强的团队合作能力，能表达自己的设计想法。在团队中能够承担相应职责，并于团队成员有效沟通。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130"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pPr>
          </w:p>
        </w:tc>
        <w:tc>
          <w:tcPr>
            <w:tcW w:w="6392"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方正仿宋_GB2312" w:hAnsi="方正仿宋_GB2312" w:eastAsia="方正仿宋_GB2312" w:cs="方正仿宋_GB2312"/>
                <w:iCs/>
                <w:color w:val="000000"/>
                <w:kern w:val="0"/>
                <w:sz w:val="24"/>
                <w:szCs w:val="24"/>
                <w:lang w:bidi="ar"/>
              </w:rPr>
            </w:pPr>
            <w:r>
              <w:rPr>
                <w:rFonts w:hint="eastAsia" w:ascii="方正仿宋_GB2312" w:hAnsi="方正仿宋_GB2312" w:eastAsia="方正仿宋_GB2312" w:cs="方正仿宋_GB2312"/>
                <w:iCs/>
                <w:color w:val="000000"/>
                <w:kern w:val="0"/>
                <w:sz w:val="24"/>
                <w:szCs w:val="24"/>
                <w:lang w:val="en-US" w:eastAsia="zh-CN" w:bidi="ar"/>
              </w:rPr>
              <w:t>4.</w:t>
            </w:r>
            <w:r>
              <w:rPr>
                <w:rFonts w:hint="eastAsia" w:ascii="方正仿宋_GB2312" w:hAnsi="方正仿宋_GB2312" w:eastAsia="方正仿宋_GB2312" w:cs="方正仿宋_GB2312"/>
                <w:iCs/>
                <w:color w:val="000000"/>
                <w:kern w:val="0"/>
                <w:sz w:val="24"/>
                <w:szCs w:val="24"/>
                <w:lang w:bidi="ar"/>
              </w:rPr>
              <w:t>在课程设计的训练中，培养学生利用计算机辅助制图帮助形象思维创作。能够通过陈述发言或书面方式表达自己的设计思想。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130"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rPr>
                <w:rFonts w:hint="eastAsia" w:ascii="宋体" w:hAnsi="宋体"/>
                <w:szCs w:val="24"/>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方正仿宋_GB2312" w:hAnsi="方正仿宋_GB2312" w:eastAsia="方正仿宋_GB2312" w:cs="方正仿宋_GB2312"/>
                <w:iCs/>
                <w:color w:val="000000"/>
                <w:kern w:val="0"/>
                <w:sz w:val="24"/>
                <w:szCs w:val="24"/>
                <w:lang w:bidi="ar"/>
              </w:rPr>
            </w:pPr>
            <w:r>
              <w:rPr>
                <w:rFonts w:hint="eastAsia" w:ascii="方正仿宋_GB2312" w:hAnsi="方正仿宋_GB2312" w:eastAsia="方正仿宋_GB2312" w:cs="方正仿宋_GB2312"/>
                <w:iCs/>
                <w:color w:val="000000"/>
                <w:kern w:val="0"/>
                <w:sz w:val="24"/>
                <w:szCs w:val="24"/>
                <w:lang w:val="en-US" w:eastAsia="zh-CN" w:bidi="ar"/>
              </w:rPr>
              <w:t>5.</w:t>
            </w:r>
            <w:r>
              <w:rPr>
                <w:rFonts w:hint="eastAsia" w:ascii="方正仿宋_GB2312" w:hAnsi="方正仿宋_GB2312" w:eastAsia="方正仿宋_GB2312" w:cs="方正仿宋_GB2312"/>
                <w:iCs/>
                <w:color w:val="000000"/>
                <w:kern w:val="0"/>
                <w:sz w:val="24"/>
                <w:szCs w:val="24"/>
                <w:lang w:bidi="ar"/>
              </w:rPr>
              <w:t>了解社会法规，掌握相应的设计规范，能够在设计训练中熟练地运用。有自觉的持续学习的能力，能就建筑</w:t>
            </w:r>
            <w:r>
              <w:rPr>
                <w:rFonts w:hint="eastAsia" w:ascii="方正仿宋_GB2312" w:hAnsi="方正仿宋_GB2312" w:eastAsia="方正仿宋_GB2312" w:cs="方正仿宋_GB2312"/>
                <w:iCs/>
                <w:color w:val="000000"/>
                <w:kern w:val="0"/>
                <w:sz w:val="24"/>
                <w:szCs w:val="24"/>
                <w:lang w:eastAsia="zh-CN" w:bidi="ar"/>
              </w:rPr>
              <w:t>、</w:t>
            </w:r>
            <w:r>
              <w:rPr>
                <w:rFonts w:hint="eastAsia" w:ascii="方正仿宋_GB2312" w:hAnsi="方正仿宋_GB2312" w:eastAsia="方正仿宋_GB2312" w:cs="方正仿宋_GB2312"/>
                <w:iCs/>
                <w:color w:val="000000"/>
                <w:kern w:val="0"/>
                <w:sz w:val="24"/>
                <w:szCs w:val="24"/>
                <w:lang w:val="en-US" w:eastAsia="zh-CN" w:bidi="ar"/>
              </w:rPr>
              <w:t>规划</w:t>
            </w:r>
            <w:r>
              <w:rPr>
                <w:rFonts w:hint="eastAsia" w:ascii="方正仿宋_GB2312" w:hAnsi="方正仿宋_GB2312" w:eastAsia="方正仿宋_GB2312" w:cs="方正仿宋_GB2312"/>
                <w:iCs/>
                <w:color w:val="000000"/>
                <w:kern w:val="0"/>
                <w:sz w:val="24"/>
                <w:szCs w:val="24"/>
                <w:lang w:bidi="ar"/>
              </w:rPr>
              <w:t>设计的问题进行有效沟通和交流。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spacing w:before="156" w:beforeLines="50" w:after="156" w:afterLines="50" w:line="360" w:lineRule="auto"/>
        <w:jc w:val="center"/>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r>
        <w:rPr>
          <w:rFonts w:hint="eastAsia" w:ascii="黑体" w:hAnsi="黑体" w:eastAsia="黑体" w:cs="黑体"/>
          <w:color w:val="000000"/>
          <w:kern w:val="0"/>
          <w:sz w:val="28"/>
          <w:szCs w:val="28"/>
          <w:lang w:val="en-US" w:eastAsia="zh-CN" w:bidi="ar"/>
        </w:rPr>
        <w:t>铜陵市701社区更新规划实践</w:t>
      </w:r>
      <w:bookmarkStart w:id="0" w:name="_GoBack"/>
      <w:bookmarkEnd w:id="0"/>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方正仿宋_GB2312" w:hAnsi="方正仿宋_GB2312" w:eastAsia="方正仿宋_GB2312" w:cs="方正仿宋_GB2312"/>
                <w:iCs/>
                <w:color w:val="000000"/>
                <w:kern w:val="0"/>
                <w:sz w:val="24"/>
                <w:szCs w:val="24"/>
                <w:lang w:bidi="ar"/>
              </w:rPr>
            </w:pPr>
            <w:r>
              <w:rPr>
                <w:rFonts w:hint="eastAsia" w:ascii="方正仿宋_GB2312" w:hAnsi="方正仿宋_GB2312" w:eastAsia="方正仿宋_GB2312" w:cs="方正仿宋_GB2312"/>
                <w:iCs/>
                <w:color w:val="000000"/>
                <w:kern w:val="0"/>
                <w:sz w:val="24"/>
                <w:szCs w:val="24"/>
                <w:lang w:bidi="ar"/>
              </w:rPr>
              <w:t>（结合课程目标，学生情况、具体描述通过该项目/案例教学，应达到的知识、技能、态度方面的教学目标）</w:t>
            </w:r>
          </w:p>
          <w:p>
            <w:pPr>
              <w:keepNext w:val="0"/>
              <w:keepLines w:val="0"/>
              <w:pageBreakBefore w:val="0"/>
              <w:widowControl/>
              <w:kinsoku/>
              <w:wordWrap/>
              <w:overflowPunct/>
              <w:topLinePunct w:val="0"/>
              <w:autoSpaceDE/>
              <w:autoSpaceDN/>
              <w:bidi w:val="0"/>
              <w:adjustRightInd/>
              <w:snapToGrid/>
              <w:spacing w:line="400" w:lineRule="exact"/>
              <w:ind w:firstLine="48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建筑设计Ⅶ》是由2个课程设计组成即《居住建筑单体设计》和《城市街区更新规划》。基于建筑行业增量建筑不足的现状，存量建筑与建筑群的改造、更新与空间优化是未来建筑设计发展的重要方向之一。为适应建筑设计业的发展需求，满足用人单位对学生城市街区更新的规划与设计能力要求，同时结合铜陵市工业立市的特点，在《城市街区更新规划》单元选择铜陵市701社区作为历史文化街区设计的设计对象，以培养学生城市街区更新规划的综合能力。</w:t>
            </w:r>
          </w:p>
          <w:p>
            <w:pPr>
              <w:keepNext w:val="0"/>
              <w:keepLines w:val="0"/>
              <w:pageBreakBefore w:val="0"/>
              <w:widowControl/>
              <w:kinsoku/>
              <w:wordWrap/>
              <w:overflowPunct/>
              <w:topLinePunct w:val="0"/>
              <w:autoSpaceDE/>
              <w:autoSpaceDN/>
              <w:bidi w:val="0"/>
              <w:adjustRightInd/>
              <w:snapToGrid/>
              <w:spacing w:line="400" w:lineRule="exact"/>
              <w:ind w:firstLine="48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学生通前期专业理论课程学习与建筑设计课程实践，已经初步具备了处理中等尺度公共空间的知识与技能，并较好的掌握了各类设计绘图软件的使用方法。这为后续进一步处理中等尺度复杂空间奠定了基础。</w:t>
            </w:r>
          </w:p>
          <w:p>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通过铜陵市701社区更新规划真实案例教学，预期学生应该具备以下</w:t>
            </w:r>
            <w:r>
              <w:rPr>
                <w:rFonts w:hint="eastAsia" w:ascii="宋体" w:eastAsia="宋体"/>
                <w:lang w:val="en-US" w:eastAsia="zh-CN"/>
              </w:rPr>
              <w:t>知</w:t>
            </w:r>
            <w:r>
              <w:rPr>
                <w:rFonts w:hint="eastAsia" w:ascii="宋体" w:hAnsi="宋体" w:eastAsia="宋体" w:cs="宋体"/>
                <w:color w:val="000000"/>
                <w:kern w:val="0"/>
                <w:sz w:val="24"/>
                <w:szCs w:val="24"/>
                <w:lang w:val="en-US" w:eastAsia="zh-CN" w:bidi="ar"/>
              </w:rPr>
              <w:t>识、技能或素养：</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课程教学目标：</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（1）熟悉城市街区现状调研与问卷访谈等资料收集的基本方法；</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（2）掌握城市街区更新规划的基本知识；</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（3）熟悉现行的国家、地方与行业的相关规范；</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（4）了解城市街区环境分析及方案构思要点；</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（5）掌握城市街区更新规划的立面造型设计方法；</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（6）在分组调研与教学中，使学生学会团队协作，培养学生团结互相的精神。</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（7）培养学生就规划设计的问题进行有效沟通和交流的能力。</w:t>
            </w:r>
          </w:p>
          <w:p>
            <w:pPr>
              <w:pStyle w:val="2"/>
              <w:keepNext w:val="0"/>
              <w:keepLines w:val="0"/>
              <w:pageBreakBefore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课程思政教学目标：</w:t>
            </w:r>
          </w:p>
          <w:p>
            <w:pPr>
              <w:pStyle w:val="2"/>
              <w:keepNext w:val="0"/>
              <w:keepLines w:val="0"/>
              <w:pageBreakBefore w:val="0"/>
              <w:numPr>
                <w:ilvl w:val="0"/>
                <w:numId w:val="2"/>
              </w:numPr>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通过城市街区更新实践，学生能够深刻理解城市更新给城市、市民带来的积极变化和自身工作的不平凡意义</w:t>
            </w:r>
            <w:r>
              <w:rPr>
                <w:rFonts w:hint="eastAsia" w:ascii="宋体" w:hAnsi="宋体" w:eastAsia="宋体" w:cs="宋体"/>
                <w:b w:val="0"/>
                <w:bCs w:val="0"/>
                <w:color w:val="000000"/>
                <w:kern w:val="0"/>
                <w:sz w:val="24"/>
                <w:szCs w:val="24"/>
                <w:lang w:val="en-US" w:eastAsia="zh-CN" w:bidi="ar"/>
              </w:rPr>
              <w:t>。</w:t>
            </w:r>
          </w:p>
          <w:p>
            <w:pPr>
              <w:pStyle w:val="2"/>
              <w:keepNext w:val="0"/>
              <w:keepLines w:val="0"/>
              <w:pageBreakBefore w:val="0"/>
              <w:numPr>
                <w:ilvl w:val="0"/>
                <w:numId w:val="2"/>
              </w:numPr>
              <w:kinsoku/>
              <w:wordWrap/>
              <w:overflowPunct/>
              <w:topLinePunct w:val="0"/>
              <w:autoSpaceDE/>
              <w:autoSpaceDN/>
              <w:bidi w:val="0"/>
              <w:adjustRightInd/>
              <w:snapToGrid/>
              <w:spacing w:line="400" w:lineRule="exact"/>
              <w:ind w:firstLine="0" w:firstLineChars="0"/>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树立学生在党和国家政策方针指引下，为建设美丽中国而不断努力学习和毕业后积极投身建设祖国大好河山的理想信念。</w:t>
            </w:r>
          </w:p>
          <w:p>
            <w:pPr>
              <w:pStyle w:val="2"/>
              <w:keepNext w:val="0"/>
              <w:keepLines w:val="0"/>
              <w:pageBreakBefore w:val="0"/>
              <w:numPr>
                <w:ilvl w:val="0"/>
                <w:numId w:val="2"/>
              </w:numPr>
              <w:kinsoku/>
              <w:wordWrap/>
              <w:overflowPunct/>
              <w:topLinePunct w:val="0"/>
              <w:autoSpaceDE/>
              <w:autoSpaceDN/>
              <w:bidi w:val="0"/>
              <w:adjustRightInd/>
              <w:snapToGrid/>
              <w:spacing w:line="400" w:lineRule="exact"/>
              <w:ind w:firstLine="0" w:firstLineChars="0"/>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实践过程中，通过701社区的历史变迁，了解铜陵市不凡过往。</w:t>
            </w:r>
          </w:p>
        </w:tc>
      </w:tr>
    </w:tbl>
    <w:p>
      <w:pPr>
        <w:pStyle w:val="2"/>
        <w:ind w:left="0" w:leftChars="0" w:firstLine="0" w:firstLineChars="0"/>
        <w:rPr>
          <w:lang w:bidi="ar"/>
        </w:rPr>
      </w:pPr>
    </w:p>
    <w:p>
      <w:pPr>
        <w:widowControl/>
        <w:numPr>
          <w:ilvl w:val="0"/>
          <w:numId w:val="3"/>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（项目案例内容、要求、实施步骤等）</w:t>
            </w:r>
          </w:p>
          <w:p>
            <w:pPr>
              <w:spacing w:line="360" w:lineRule="auto"/>
              <w:rPr>
                <w:rFonts w:hint="eastAsia" w:ascii="黑体" w:hAnsi="黑体" w:eastAsia="黑体" w:cs="黑体"/>
                <w:sz w:val="24"/>
                <w:szCs w:val="24"/>
              </w:rPr>
            </w:pPr>
            <w:r>
              <w:rPr>
                <w:rFonts w:hint="eastAsia" w:ascii="黑体" w:hAnsi="黑体" w:eastAsia="黑体" w:cs="黑体"/>
                <w:sz w:val="24"/>
                <w:szCs w:val="24"/>
              </w:rPr>
              <w:t>一、项目背景</w:t>
            </w:r>
          </w:p>
          <w:p>
            <w:pPr>
              <w:spacing w:line="360" w:lineRule="auto"/>
              <w:ind w:firstLine="420" w:firstLineChars="200"/>
              <w:rPr>
                <w:rFonts w:hint="eastAsia"/>
                <w:sz w:val="21"/>
                <w:szCs w:val="21"/>
              </w:rPr>
            </w:pPr>
            <w:r>
              <w:rPr>
                <w:rFonts w:hint="eastAsia"/>
                <w:sz w:val="21"/>
                <w:szCs w:val="21"/>
              </w:rPr>
              <w:t>铜陵市701社区位于铜陵市区东北群山之中，距市区25公里，是上海铁路局在1970年为了战备而建，任务是修造蒸汽机车，代号“701”。“701”有着辉煌的历史，也曾是铜陵人的骄傲，它曾是铜陵地区生产能力和装备水平最好的机械制造企业，为铜陵这座城市做出了巨大贡献，高峰时期701社区生活有上万职工及家属，周边设施配套完善。至上世纪九十年代中期，市场经济下伴随701工厂效益逐渐下滑，青状人口大量迁出，社区日渐衰败，以今天的生活方式和标准来看，存在着不少的问题：公共服务设施年久失修、邻里关系的缺失、公共活动空间不足、人口老龄化严重，导致社区缺少活力，因此701社区的更新改造是历史的必然。</w:t>
            </w:r>
          </w:p>
          <w:p>
            <w:pPr>
              <w:spacing w:line="360" w:lineRule="auto"/>
              <w:ind w:firstLine="420" w:firstLineChars="200"/>
              <w:rPr>
                <w:rFonts w:hint="eastAsia"/>
                <w:sz w:val="21"/>
                <w:szCs w:val="21"/>
              </w:rPr>
            </w:pPr>
            <w:r>
              <w:rPr>
                <w:rFonts w:hint="eastAsia"/>
                <w:sz w:val="21"/>
                <w:szCs w:val="21"/>
              </w:rPr>
              <w:t>项目选定铜陵市701独立工矿区中心商业区作为设计对象，基地内部建筑陈旧，乱搭乱建现象严重，交通混乱，缺少大面积绿地及公共服务设施。故需要协调好沿街建筑立面，合理规划交通流线和停车泊位，同时适当增加休闲绿地和活动空间。另外基地内有一定数量上世纪70年代建成的活动中心，办公楼、闲置厂房和废弃职工住宅，部分具有保护价值，要妥善好建筑与文脉的关系。</w:t>
            </w:r>
          </w:p>
          <w:p>
            <w:pPr>
              <w:spacing w:line="360" w:lineRule="auto"/>
              <w:rPr>
                <w:rFonts w:hint="eastAsia"/>
                <w:sz w:val="21"/>
                <w:szCs w:val="21"/>
              </w:rPr>
            </w:pPr>
          </w:p>
          <w:p>
            <w:pPr>
              <w:spacing w:line="360" w:lineRule="auto"/>
              <w:rPr>
                <w:rFonts w:hint="eastAsia" w:ascii="黑体" w:hAnsi="黑体" w:eastAsia="黑体" w:cs="黑体"/>
                <w:sz w:val="24"/>
                <w:szCs w:val="24"/>
                <w:lang w:val="en-US" w:eastAsia="zh-CN"/>
              </w:rPr>
            </w:pPr>
            <w:r>
              <w:rPr>
                <w:rFonts w:hint="eastAsia" w:ascii="黑体" w:hAnsi="黑体" w:eastAsia="黑体" w:cs="黑体"/>
                <w:sz w:val="24"/>
                <w:szCs w:val="24"/>
              </w:rPr>
              <w:t>二、设计</w:t>
            </w:r>
            <w:r>
              <w:rPr>
                <w:rFonts w:hint="eastAsia" w:ascii="黑体" w:hAnsi="黑体" w:eastAsia="黑体" w:cs="黑体"/>
                <w:sz w:val="24"/>
                <w:szCs w:val="24"/>
                <w:lang w:val="en-US" w:eastAsia="zh-CN"/>
              </w:rPr>
              <w:t>要求</w:t>
            </w:r>
          </w:p>
          <w:p>
            <w:pPr>
              <w:spacing w:line="360" w:lineRule="auto"/>
              <w:rPr>
                <w:rFonts w:hint="eastAsia"/>
                <w:sz w:val="21"/>
                <w:szCs w:val="21"/>
              </w:rPr>
            </w:pPr>
            <w:r>
              <w:rPr>
                <w:rFonts w:hint="eastAsia" w:ascii="宋体" w:hAnsi="宋体" w:eastAsia="宋体" w:cs="宋体"/>
                <w:sz w:val="21"/>
                <w:szCs w:val="21"/>
                <w:lang w:val="en-US" w:eastAsia="zh-CN"/>
              </w:rPr>
              <w:t>1、</w:t>
            </w:r>
            <w:r>
              <w:rPr>
                <w:rFonts w:hint="eastAsia"/>
                <w:sz w:val="21"/>
                <w:szCs w:val="21"/>
              </w:rPr>
              <w:t xml:space="preserve"> 立意明确、构思巧妙、表达规范(注意图纸的深度与比例)，鼓励具有创造性的思维与方法；</w:t>
            </w:r>
          </w:p>
          <w:p>
            <w:pPr>
              <w:spacing w:line="360" w:lineRule="auto"/>
              <w:rPr>
                <w:rFonts w:hint="eastAsia"/>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sz w:val="21"/>
                <w:szCs w:val="21"/>
              </w:rPr>
              <w:t>根据城市发展及地块周边情况，自行设定各地块具体建设项目及建设规模，并不得与上位规划条件相冲突；</w:t>
            </w:r>
          </w:p>
          <w:p>
            <w:pPr>
              <w:spacing w:line="36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 xml:space="preserve"> 规划设计总平面布局合理，功能分区明确，结构清晰、流线顺畅、联系便捷；</w:t>
            </w:r>
          </w:p>
          <w:p>
            <w:pPr>
              <w:spacing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充分考虑主干道的景观效应；</w:t>
            </w:r>
          </w:p>
          <w:p>
            <w:pPr>
              <w:spacing w:line="360" w:lineRule="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 xml:space="preserve"> 营造完整的能够体现地方建筑文脉与城市发展的城市空间；</w:t>
            </w:r>
          </w:p>
          <w:p>
            <w:pPr>
              <w:spacing w:line="360" w:lineRule="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 xml:space="preserve"> 合理考虑整个规划区域的建筑高度、建筑空间形象；</w:t>
            </w:r>
          </w:p>
          <w:p>
            <w:pPr>
              <w:spacing w:line="360" w:lineRule="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 xml:space="preserve"> 形成连续的统一性的场地景观，营建室外空间完善的绿化休息系统；</w:t>
            </w:r>
          </w:p>
          <w:p>
            <w:pPr>
              <w:spacing w:line="360" w:lineRule="auto"/>
              <w:rPr>
                <w:rFonts w:hint="eastAsia"/>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sz w:val="21"/>
                <w:szCs w:val="21"/>
              </w:rPr>
              <w:t xml:space="preserve"> 合理组织基地及周边交通。</w:t>
            </w:r>
          </w:p>
          <w:p>
            <w:pPr>
              <w:spacing w:line="360" w:lineRule="auto"/>
              <w:rPr>
                <w:rFonts w:hint="eastAsia"/>
                <w:sz w:val="21"/>
                <w:szCs w:val="21"/>
              </w:rPr>
            </w:pPr>
          </w:p>
          <w:p>
            <w:pPr>
              <w:numPr>
                <w:ilvl w:val="0"/>
                <w:numId w:val="0"/>
              </w:numPr>
              <w:spacing w:line="360" w:lineRule="auto"/>
              <w:rPr>
                <w:rFonts w:ascii="新宋体" w:hAnsi="新宋体" w:eastAsia="新宋体" w:cs="新宋体"/>
                <w:sz w:val="28"/>
                <w:szCs w:val="28"/>
              </w:rPr>
            </w:pPr>
            <w:r>
              <w:rPr>
                <w:rFonts w:hint="eastAsia" w:ascii="黑体" w:hAnsi="黑体" w:eastAsia="黑体" w:cs="黑体"/>
                <w:sz w:val="24"/>
                <w:szCs w:val="24"/>
                <w:lang w:val="en-US" w:eastAsia="zh-CN"/>
              </w:rPr>
              <w:t>三、设计内容</w:t>
            </w:r>
            <w:r>
              <w:rPr>
                <w:rFonts w:ascii="新宋体" w:hAnsi="新宋体" w:eastAsia="新宋体" w:cs="新宋体"/>
                <w:spacing w:val="12"/>
                <w:sz w:val="24"/>
                <w:szCs w:val="24"/>
              </w:rPr>
              <w:t>(图纸比例供参考，可根据具体地形大小进行调节</w:t>
            </w:r>
            <w:r>
              <w:rPr>
                <w:rFonts w:ascii="新宋体" w:hAnsi="新宋体" w:eastAsia="新宋体" w:cs="新宋体"/>
                <w:spacing w:val="6"/>
                <w:sz w:val="24"/>
                <w:szCs w:val="24"/>
              </w:rPr>
              <w:t>)</w:t>
            </w:r>
          </w:p>
          <w:p>
            <w:pPr>
              <w:numPr>
                <w:ilvl w:val="0"/>
                <w:numId w:val="4"/>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区位条件分析</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现状条件分析</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设计概念分析</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总平面规划设计 1: 1000  (含鸟瞰图及街景立面)</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功能交通景观分析图 1；  2000</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 各类设计分析图</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 重要节点空间环境设计    1 : 500  (含透视图或剖面分析)</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 文字说明（总体规划及单地块设计说明及相关经济技术指标）</w:t>
            </w:r>
          </w:p>
          <w:p>
            <w:pPr>
              <w:numPr>
                <w:ilvl w:val="0"/>
                <w:numId w:val="0"/>
              </w:numPr>
              <w:kinsoku w:val="0"/>
              <w:autoSpaceDE w:val="0"/>
              <w:autoSpaceDN w:val="0"/>
              <w:adjustRightInd w:val="0"/>
              <w:snapToGrid w:val="0"/>
              <w:spacing w:line="360" w:lineRule="auto"/>
              <w:jc w:val="both"/>
              <w:textAlignment w:val="baseline"/>
              <w:rPr>
                <w:rFonts w:hint="eastAsia" w:ascii="宋体" w:hAnsi="宋体" w:eastAsia="宋体" w:cs="宋体"/>
                <w:sz w:val="21"/>
                <w:szCs w:val="21"/>
                <w:lang w:val="en-US" w:eastAsia="zh-CN"/>
              </w:rPr>
            </w:pPr>
          </w:p>
          <w:p>
            <w:pPr>
              <w:numPr>
                <w:ilvl w:val="0"/>
                <w:numId w:val="5"/>
              </w:numPr>
              <w:spacing w:line="360" w:lineRule="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设计步骤</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1、场地调研，包括基地现状、周边建筑交通环境等诸多方面情况汇总、社区发展历程及建筑文脉来源发展；</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2、文献综合，包括城市设计的基本理论及设计方法、相似类型社区更新改造 规划设计的案例分析；</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3、建设项目的类型和规模的设定，需有一定的功能与行为分析；</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4、在整体控制的前提下，进行建筑空间体量的塑造；</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5、通过构建草图模型来检验设计构想，分析城市建筑之间的合理关系；</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6、区域总平面图设计，充分考虑各地块建筑的朝向、出入口、相互之间的空间关系；</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7、具体设计，要求具有平面上的功能排布可行性；</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 建筑形象的细致设计；</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9、地面环境的设计与梳理，要求形成连续的步行空间系统与休憩活动节点；</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10、正式成果的绘制。</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黑体" w:hAnsi="黑体" w:eastAsia="黑体" w:cs="黑体"/>
                <w:sz w:val="24"/>
                <w:szCs w:val="24"/>
                <w:lang w:val="en-US" w:eastAsia="zh-CN"/>
              </w:rPr>
              <w:t>五、基地现状调研内容参考：</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1、历史沿革——通过图书馆、互联网和当地居民进行了解</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2、区位研究——对地块的区位和交通条件的分析</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3、业态分析——地块商业业态现状、周边商业业态；</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4、居民构成——对居民的年龄、职业、家庭构成状况的分析</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5、城市肌理——周边空间现状，基地内空间特征，节点构成</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6、建筑特征——建筑界面构成特征(构造、色彩、材质肌理、尺度)，建筑破损状态,使用状况。</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7、动线分析——基地及周边行人的动线及行为模式，周边及用地内部城市交通分析(道 路交通，公交，停车场等)</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8、绿化分析一一基地现状及周边的绿化系统分析</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p>
          <w:p>
            <w:pPr>
              <w:numPr>
                <w:ilvl w:val="0"/>
                <w:numId w:val="0"/>
              </w:numPr>
              <w:kinsoku w:val="0"/>
              <w:autoSpaceDE w:val="0"/>
              <w:autoSpaceDN w:val="0"/>
              <w:adjustRightInd w:val="0"/>
              <w:snapToGrid w:val="0"/>
              <w:spacing w:line="360" w:lineRule="auto"/>
              <w:ind w:leftChars="0"/>
              <w:jc w:val="left"/>
              <w:textAlignment w:val="baseline"/>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六、成果提交要求</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1、展板文件：设计作业 JPG 格式电子文件 1 份，共2张。图幅设定为A0 图纸(应保证出图精度，分辨率不低于 300dpi。勿留边，勿加框)；</w:t>
            </w:r>
          </w:p>
          <w:p>
            <w:pPr>
              <w:numPr>
                <w:ilvl w:val="0"/>
                <w:numId w:val="0"/>
              </w:numPr>
              <w:kinsoku w:val="0"/>
              <w:autoSpaceDE w:val="0"/>
              <w:autoSpaceDN w:val="0"/>
              <w:adjustRightInd w:val="0"/>
              <w:snapToGrid w:val="0"/>
              <w:spacing w:line="360" w:lineRule="auto"/>
              <w:jc w:val="left"/>
              <w:textAlignment w:val="baseline"/>
              <w:rPr>
                <w:rFonts w:hint="default" w:ascii="宋体" w:hAnsi="宋体" w:eastAsia="宋体" w:cs="宋体"/>
                <w:sz w:val="21"/>
                <w:szCs w:val="21"/>
                <w:lang w:val="en-US" w:eastAsia="zh-CN"/>
              </w:rPr>
            </w:pPr>
          </w:p>
          <w:p>
            <w:pPr>
              <w:numPr>
                <w:ilvl w:val="0"/>
                <w:numId w:val="0"/>
              </w:numPr>
              <w:kinsoku w:val="0"/>
              <w:autoSpaceDE w:val="0"/>
              <w:autoSpaceDN w:val="0"/>
              <w:adjustRightInd w:val="0"/>
              <w:snapToGrid w:val="0"/>
              <w:spacing w:line="360" w:lineRule="auto"/>
              <w:ind w:leftChars="0"/>
              <w:jc w:val="left"/>
              <w:textAlignment w:val="baseline"/>
              <w:rPr>
                <w:rFonts w:hint="eastAsia" w:ascii="宋体" w:hAnsi="宋体" w:eastAsia="宋体" w:cs="宋体"/>
                <w:sz w:val="21"/>
                <w:szCs w:val="21"/>
                <w:lang w:val="en-US" w:eastAsia="zh-CN"/>
              </w:rPr>
            </w:pPr>
            <w:r>
              <w:rPr>
                <w:rFonts w:hint="eastAsia" w:ascii="黑体" w:hAnsi="黑体" w:eastAsia="黑体" w:cs="黑体"/>
                <w:sz w:val="24"/>
                <w:szCs w:val="24"/>
                <w:lang w:val="en-US" w:eastAsia="zh-CN"/>
              </w:rPr>
              <w:t>七、参考文献资料</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1、《城市设计》王建国，东南大学出版社</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2、《城市设计》王其钧，机械工业出版社</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3、《城市空间设计》天津大学出版社</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4、《城市规划原理》，李德华，建筑工业出版社</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5、《美国城市设计案例》，理查德•马歇尔，建筑工业出版社</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 《城市设计新理论》 C.亚历山大，知识产权出版社</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7、《街道的美学》，芦原义信</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8、《城市意象》，凯文•林奇</w:t>
            </w:r>
          </w:p>
          <w:p>
            <w:pPr>
              <w:keepNext w:val="0"/>
              <w:keepLines w:val="0"/>
              <w:widowControl/>
              <w:suppressLineNumbers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9、《铜陵市总体规划（2016-2030）》 </w:t>
            </w:r>
          </w:p>
          <w:p>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10、《铜陵市总体风貌规划》 </w:t>
            </w:r>
          </w:p>
          <w:p>
            <w:pPr>
              <w:numPr>
                <w:ilvl w:val="0"/>
                <w:numId w:val="0"/>
              </w:numPr>
              <w:kinsoku w:val="0"/>
              <w:autoSpaceDE w:val="0"/>
              <w:autoSpaceDN w:val="0"/>
              <w:adjustRightInd w:val="0"/>
              <w:snapToGrid w:val="0"/>
              <w:spacing w:line="360" w:lineRule="auto"/>
              <w:jc w:val="left"/>
              <w:textAlignment w:val="baseline"/>
              <w:rPr>
                <w:rFonts w:hint="default" w:ascii="宋体" w:hAnsi="宋体" w:eastAsia="宋体" w:cs="宋体"/>
                <w:sz w:val="21"/>
                <w:szCs w:val="21"/>
                <w:lang w:val="en-US" w:eastAsia="zh-CN"/>
              </w:rPr>
            </w:pPr>
          </w:p>
          <w:p>
            <w:pPr>
              <w:numPr>
                <w:ilvl w:val="0"/>
                <w:numId w:val="0"/>
              </w:numPr>
              <w:kinsoku w:val="0"/>
              <w:autoSpaceDE w:val="0"/>
              <w:autoSpaceDN w:val="0"/>
              <w:adjustRightInd w:val="0"/>
              <w:snapToGrid w:val="0"/>
              <w:spacing w:line="360" w:lineRule="auto"/>
              <w:ind w:leftChars="0"/>
              <w:jc w:val="left"/>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八、基地范围</w:t>
            </w:r>
          </w:p>
          <w:p>
            <w:pPr>
              <w:numPr>
                <w:ilvl w:val="0"/>
                <w:numId w:val="0"/>
              </w:numPr>
              <w:kinsoku w:val="0"/>
              <w:autoSpaceDE w:val="0"/>
              <w:autoSpaceDN w:val="0"/>
              <w:adjustRightInd w:val="0"/>
              <w:snapToGrid w:val="0"/>
              <w:spacing w:line="360" w:lineRule="auto"/>
              <w:jc w:val="left"/>
              <w:textAlignment w:val="baseline"/>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drawing>
                <wp:anchor distT="0" distB="0" distL="114300" distR="114300" simplePos="0" relativeHeight="251659264" behindDoc="0" locked="0" layoutInCell="1" allowOverlap="1">
                  <wp:simplePos x="0" y="0"/>
                  <wp:positionH relativeFrom="column">
                    <wp:posOffset>-84455</wp:posOffset>
                  </wp:positionH>
                  <wp:positionV relativeFrom="paragraph">
                    <wp:posOffset>281940</wp:posOffset>
                  </wp:positionV>
                  <wp:extent cx="5266690" cy="2444115"/>
                  <wp:effectExtent l="0" t="0" r="10160" b="13335"/>
                  <wp:wrapSquare wrapText="bothSides"/>
                  <wp:docPr id="1" name="图片 1"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1"/>
                          <pic:cNvPicPr>
                            <a:picLocks noChangeAspect="1"/>
                          </pic:cNvPicPr>
                        </pic:nvPicPr>
                        <pic:blipFill>
                          <a:blip r:embed="rId4"/>
                          <a:stretch>
                            <a:fillRect/>
                          </a:stretch>
                        </pic:blipFill>
                        <pic:spPr>
                          <a:xfrm>
                            <a:off x="0" y="0"/>
                            <a:ext cx="5266690" cy="2444115"/>
                          </a:xfrm>
                          <a:prstGeom prst="rect">
                            <a:avLst/>
                          </a:prstGeom>
                        </pic:spPr>
                      </pic:pic>
                    </a:graphicData>
                  </a:graphic>
                </wp:anchor>
              </w:drawing>
            </w:r>
            <w:r>
              <w:rPr>
                <w:rFonts w:hint="eastAsia" w:ascii="宋体" w:hAnsi="宋体" w:eastAsia="宋体" w:cs="宋体"/>
                <w:sz w:val="21"/>
                <w:szCs w:val="21"/>
                <w:lang w:val="en-US" w:eastAsia="zh-CN"/>
              </w:rPr>
              <w:t>约150公顷。</w:t>
            </w:r>
          </w:p>
          <w:p>
            <w:pPr>
              <w:pStyle w:val="2"/>
              <w:keepNext w:val="0"/>
              <w:keepLines w:val="0"/>
              <w:pageBreakBefore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val="0"/>
                <w:bCs w:val="0"/>
                <w:color w:val="000000"/>
                <w:kern w:val="0"/>
                <w:sz w:val="24"/>
                <w:szCs w:val="24"/>
                <w:lang w:val="en-US" w:eastAsia="zh-CN" w:bidi="ar"/>
              </w:rPr>
            </w:pPr>
          </w:p>
          <w:p>
            <w:pPr>
              <w:pStyle w:val="2"/>
              <w:keepNext w:val="0"/>
              <w:keepLines w:val="0"/>
              <w:pageBreakBefore w:val="0"/>
              <w:kinsoku/>
              <w:wordWrap/>
              <w:overflowPunct/>
              <w:topLinePunct w:val="0"/>
              <w:autoSpaceDE/>
              <w:autoSpaceDN/>
              <w:bidi w:val="0"/>
              <w:adjustRightInd/>
              <w:snapToGrid/>
              <w:spacing w:line="400" w:lineRule="exact"/>
              <w:ind w:left="0" w:leftChars="0" w:firstLine="0" w:firstLine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九、项目成果推广：</w:t>
            </w:r>
            <w:r>
              <w:rPr>
                <w:rFonts w:hint="eastAsia" w:ascii="宋体" w:hAnsi="宋体" w:eastAsia="宋体" w:cs="宋体"/>
                <w:b w:val="0"/>
                <w:bCs w:val="0"/>
                <w:color w:val="000000"/>
                <w:kern w:val="0"/>
                <w:sz w:val="24"/>
                <w:szCs w:val="24"/>
                <w:lang w:val="en-US" w:eastAsia="zh-CN" w:bidi="ar"/>
              </w:rPr>
              <w:t>收集整理课程教学中的规划成果，择优进行深化，参加安徽省环境设计大赛等学科竞赛，将学生的好的规划思路与成果推广出去。</w:t>
            </w:r>
          </w:p>
        </w:tc>
      </w:tr>
    </w:tbl>
    <w:p>
      <w:pPr>
        <w:widowControl/>
        <w:numPr>
          <w:ilvl w:val="0"/>
          <w:numId w:val="3"/>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(依据学情，设计项目/案例教学实施的有效路径、方法等）</w:t>
            </w:r>
          </w:p>
          <w:p>
            <w:pPr>
              <w:widowControl/>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项目教学实施步骤主要为：</w:t>
            </w:r>
          </w:p>
          <w:p>
            <w:pPr>
              <w:widowControl/>
              <w:numPr>
                <w:ilvl w:val="0"/>
                <w:numId w:val="6"/>
              </w:numPr>
              <w:spacing w:line="360" w:lineRule="auto"/>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教师讲授城市街区更新规划的基础知识、设计阶段与任务书。</w:t>
            </w:r>
          </w:p>
          <w:p>
            <w:pPr>
              <w:widowControl/>
              <w:numPr>
                <w:ilvl w:val="0"/>
                <w:numId w:val="6"/>
              </w:numPr>
              <w:spacing w:line="360" w:lineRule="auto"/>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学生分成3-4人一个小组，明确小组人员分工，由班长统计分组名单交给授课教师。</w:t>
            </w:r>
          </w:p>
          <w:p>
            <w:pPr>
              <w:widowControl/>
              <w:numPr>
                <w:ilvl w:val="0"/>
                <w:numId w:val="6"/>
              </w:numPr>
              <w:spacing w:line="360" w:lineRule="auto"/>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教师与学生到701社区进行现状勘察，现场讲解调研中需要注意的问题和调研内容。</w:t>
            </w:r>
          </w:p>
          <w:p>
            <w:pPr>
              <w:widowControl/>
              <w:numPr>
                <w:ilvl w:val="0"/>
                <w:numId w:val="6"/>
              </w:numPr>
              <w:spacing w:line="360" w:lineRule="auto"/>
              <w:ind w:left="0" w:leftChars="0" w:firstLine="0" w:firstLineChars="0"/>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围绕701社区更新规划的主题，学生收集资料，自由讨论，相互启发，制作问卷，并未后续调研进行准备。</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学生分组进行现状调研，收集访谈、照片和问卷资料。</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分组进行前期调研汇报，授课教师点评。</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针对调研不足部分，进行补充调研与资料收集。</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授课教师通过国内外优秀城市街区更新案例的讲解，让学生了解本次课程设计的基本内容、设计深度和构思呈现的常见手法。</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一草绘制（方案构思与平面图cad绘制）与教师讲解。</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二草绘制（平、立、剖面图绘制）与教师讲解。</w:t>
            </w:r>
          </w:p>
          <w:p>
            <w:pPr>
              <w:widowControl/>
              <w:numPr>
                <w:ilvl w:val="0"/>
                <w:numId w:val="6"/>
              </w:numPr>
              <w:spacing w:line="360" w:lineRule="auto"/>
              <w:ind w:left="0" w:leftChars="0" w:firstLine="0" w:firstLineChars="0"/>
              <w:jc w:val="left"/>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正图（节点绘制、方案渲染与排版）绘制与教师讲解</w:t>
            </w:r>
          </w:p>
          <w:p>
            <w:pPr>
              <w:widowControl/>
              <w:numPr>
                <w:ilvl w:val="0"/>
                <w:numId w:val="6"/>
              </w:numPr>
              <w:spacing w:line="360" w:lineRule="auto"/>
              <w:ind w:left="0" w:leftChars="0" w:firstLine="0" w:firstLineChars="0"/>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分组方案汇报与评图。</w:t>
            </w:r>
          </w:p>
          <w:p>
            <w:pPr>
              <w:widowControl/>
              <w:numPr>
                <w:ilvl w:val="0"/>
                <w:numId w:val="0"/>
              </w:numPr>
              <w:spacing w:line="360" w:lineRule="auto"/>
              <w:ind w:firstLine="480" w:firstLineChars="200"/>
              <w:jc w:val="left"/>
              <w:rPr>
                <w:sz w:val="20"/>
                <w:lang w:bidi="ar"/>
              </w:rPr>
            </w:pPr>
            <w:r>
              <w:rPr>
                <w:rFonts w:hint="eastAsia" w:ascii="宋体" w:hAnsi="宋体" w:eastAsia="宋体" w:cs="仿宋_GB2312"/>
                <w:iCs/>
                <w:color w:val="000000"/>
                <w:kern w:val="0"/>
                <w:sz w:val="24"/>
                <w:szCs w:val="24"/>
                <w:lang w:val="en-US" w:eastAsia="zh-CN" w:bidi="ar"/>
              </w:rPr>
              <w:t>为了使学生能力与设计方案更加符合用人单位的需求，</w:t>
            </w:r>
            <w:r>
              <w:rPr>
                <w:rFonts w:hint="eastAsia" w:ascii="宋体" w:hAnsi="宋体" w:eastAsia="宋体" w:cs="宋体"/>
                <w:b w:val="0"/>
                <w:bCs w:val="0"/>
                <w:color w:val="000000"/>
                <w:kern w:val="0"/>
                <w:sz w:val="24"/>
                <w:szCs w:val="24"/>
                <w:lang w:val="en-US" w:eastAsia="zh-CN" w:bidi="ar"/>
              </w:rPr>
              <w:t>与更好的提高实践教学效果，（1）</w:t>
            </w:r>
            <w:r>
              <w:rPr>
                <w:rFonts w:hint="eastAsia" w:ascii="宋体" w:hAnsi="宋体" w:eastAsia="宋体" w:cs="仿宋_GB2312"/>
                <w:iCs/>
                <w:color w:val="000000"/>
                <w:kern w:val="0"/>
                <w:sz w:val="24"/>
                <w:szCs w:val="24"/>
                <w:lang w:val="en-US" w:eastAsia="zh-CN" w:bidi="ar"/>
              </w:rPr>
              <w:t>在二草与评图阶段邀请</w:t>
            </w:r>
            <w:r>
              <w:rPr>
                <w:rFonts w:hint="eastAsia" w:ascii="宋体" w:hAnsi="宋体" w:eastAsia="宋体" w:cs="宋体"/>
                <w:b w:val="0"/>
                <w:bCs w:val="0"/>
                <w:color w:val="000000"/>
                <w:kern w:val="0"/>
                <w:sz w:val="24"/>
                <w:szCs w:val="24"/>
                <w:lang w:val="en-US" w:eastAsia="zh-CN" w:bidi="ar"/>
              </w:rPr>
              <w:t>合肥工业大学建筑设计院（集团）有限公司</w:t>
            </w:r>
            <w:r>
              <w:rPr>
                <w:rFonts w:hint="eastAsia" w:ascii="宋体" w:hAnsi="宋体" w:eastAsia="宋体" w:cs="仿宋_GB2312"/>
                <w:iCs/>
                <w:color w:val="000000"/>
                <w:kern w:val="0"/>
                <w:sz w:val="24"/>
                <w:szCs w:val="24"/>
                <w:lang w:val="en-US" w:eastAsia="zh-CN" w:bidi="ar"/>
              </w:rPr>
              <w:t>的高级工程师作为拼图专家对方案进行点评与指导。</w:t>
            </w:r>
            <w:r>
              <w:rPr>
                <w:rFonts w:hint="eastAsia" w:ascii="宋体" w:hAnsi="宋体" w:eastAsia="宋体" w:cs="宋体"/>
                <w:b w:val="0"/>
                <w:bCs w:val="0"/>
                <w:color w:val="000000"/>
                <w:kern w:val="0"/>
                <w:sz w:val="24"/>
                <w:szCs w:val="24"/>
                <w:lang w:val="en-US" w:eastAsia="zh-CN" w:bidi="ar"/>
              </w:rPr>
              <w:t>（2）让毕业班优秀学生担任助教，负责课程教学外的答疑。（3）以安徽省环境设计设计大赛等学科竞赛外引导，鼓励学生用课程作业参加相关学科竞赛，调动学生的积极性。</w:t>
            </w:r>
          </w:p>
        </w:tc>
      </w:tr>
    </w:tbl>
    <w:p>
      <w:pPr>
        <w:widowControl/>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4.学习评价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4" w:hRule="atLeast"/>
        </w:trPr>
        <w:tc>
          <w:tcPr>
            <w:tcW w:w="8296" w:type="dxa"/>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(项目考核方案与标准）</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仿宋_GB2312"/>
                <w:b/>
                <w:bCs/>
                <w:iCs/>
                <w:color w:val="000000"/>
                <w:kern w:val="0"/>
                <w:sz w:val="24"/>
                <w:szCs w:val="24"/>
                <w:lang w:bidi="ar"/>
              </w:rPr>
            </w:pPr>
            <w:r>
              <w:rPr>
                <w:rFonts w:hint="eastAsia" w:ascii="宋体" w:hAnsi="宋体" w:eastAsia="宋体" w:cs="仿宋_GB2312"/>
                <w:b/>
                <w:bCs/>
                <w:iCs/>
                <w:color w:val="000000"/>
                <w:kern w:val="0"/>
                <w:sz w:val="24"/>
                <w:szCs w:val="24"/>
                <w:lang w:val="en-US" w:eastAsia="zh-CN" w:bidi="ar"/>
              </w:rPr>
              <w:t xml:space="preserve">1 </w:t>
            </w:r>
            <w:r>
              <w:rPr>
                <w:rFonts w:hint="eastAsia" w:ascii="宋体" w:hAnsi="宋体" w:eastAsia="宋体" w:cs="仿宋_GB2312"/>
                <w:b/>
                <w:bCs/>
                <w:iCs/>
                <w:color w:val="000000"/>
                <w:kern w:val="0"/>
                <w:sz w:val="24"/>
                <w:szCs w:val="24"/>
                <w:lang w:bidi="ar"/>
              </w:rPr>
              <w:t>项目考核方案与标准</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仿宋_GB2312"/>
                <w:b/>
                <w:bCs/>
                <w:iCs/>
                <w:color w:val="000000"/>
                <w:kern w:val="0"/>
                <w:sz w:val="24"/>
                <w:szCs w:val="24"/>
                <w:lang w:val="en-US" w:eastAsia="zh-CN" w:bidi="ar"/>
              </w:rPr>
            </w:pPr>
            <w:r>
              <w:rPr>
                <w:rFonts w:hint="eastAsia" w:ascii="宋体" w:hAnsi="宋体" w:eastAsia="宋体" w:cs="仿宋_GB2312"/>
                <w:b/>
                <w:bCs/>
                <w:iCs/>
                <w:color w:val="000000"/>
                <w:kern w:val="0"/>
                <w:sz w:val="24"/>
                <w:szCs w:val="24"/>
                <w:lang w:val="en-US" w:eastAsia="zh-CN" w:bidi="ar"/>
              </w:rPr>
              <w:t xml:space="preserve">1.1 </w:t>
            </w:r>
            <w:r>
              <w:rPr>
                <w:rFonts w:hint="eastAsia" w:ascii="宋体" w:hAnsi="宋体" w:eastAsia="宋体" w:cs="仿宋_GB2312"/>
                <w:b/>
                <w:bCs/>
                <w:iCs/>
                <w:color w:val="000000"/>
                <w:kern w:val="0"/>
                <w:sz w:val="24"/>
                <w:szCs w:val="24"/>
                <w:lang w:bidi="ar"/>
              </w:rPr>
              <w:t>项目考核方案</w:t>
            </w:r>
            <w:r>
              <w:rPr>
                <w:rFonts w:hint="eastAsia" w:ascii="宋体" w:hAnsi="宋体" w:eastAsia="宋体" w:cs="仿宋_GB2312"/>
                <w:b/>
                <w:bCs/>
                <w:iCs/>
                <w:color w:val="000000"/>
                <w:kern w:val="0"/>
                <w:sz w:val="24"/>
                <w:szCs w:val="24"/>
                <w:lang w:eastAsia="zh-CN" w:bidi="ar"/>
              </w:rPr>
              <w:t>（</w:t>
            </w:r>
            <w:r>
              <w:rPr>
                <w:rFonts w:hint="eastAsia" w:ascii="宋体" w:hAnsi="宋体" w:eastAsia="宋体" w:cs="仿宋_GB2312"/>
                <w:b/>
                <w:bCs/>
                <w:iCs/>
                <w:color w:val="000000"/>
                <w:kern w:val="0"/>
                <w:sz w:val="24"/>
                <w:szCs w:val="24"/>
                <w:lang w:val="en-US" w:eastAsia="zh-CN" w:bidi="ar"/>
              </w:rPr>
              <w:t>满分100分</w:t>
            </w:r>
            <w:r>
              <w:rPr>
                <w:rFonts w:hint="eastAsia" w:ascii="宋体" w:hAnsi="宋体" w:eastAsia="宋体" w:cs="仿宋_GB2312"/>
                <w:b/>
                <w:bCs/>
                <w:iCs/>
                <w:color w:val="000000"/>
                <w:kern w:val="0"/>
                <w:sz w:val="24"/>
                <w:szCs w:val="24"/>
                <w:lang w:eastAsia="zh-CN" w:bidi="ar"/>
              </w:rPr>
              <w:t>）</w:t>
            </w:r>
          </w:p>
          <w:p>
            <w:pPr>
              <w:pStyle w:val="2"/>
              <w:keepNext w:val="0"/>
              <w:keepLines w:val="0"/>
              <w:pageBreakBefore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（1）前期调研成果及汇报（30分）。</w:t>
            </w:r>
          </w:p>
          <w:p>
            <w:pPr>
              <w:pStyle w:val="2"/>
              <w:keepNext w:val="0"/>
              <w:keepLines w:val="0"/>
              <w:pageBreakBefore w:val="0"/>
              <w:numPr>
                <w:ilvl w:val="0"/>
                <w:numId w:val="0"/>
              </w:numPr>
              <w:kinsoku/>
              <w:wordWrap/>
              <w:overflowPunct/>
              <w:topLinePunct w:val="0"/>
              <w:autoSpaceDE/>
              <w:autoSpaceDN/>
              <w:bidi w:val="0"/>
              <w:adjustRightInd/>
              <w:snapToGrid/>
              <w:spacing w:line="400" w:lineRule="exact"/>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（4）正图方案汇报（30）.</w:t>
            </w:r>
          </w:p>
          <w:p>
            <w:pPr>
              <w:pStyle w:val="2"/>
              <w:keepNext w:val="0"/>
              <w:keepLines w:val="0"/>
              <w:pageBreakBefore w:val="0"/>
              <w:numPr>
                <w:ilvl w:val="0"/>
                <w:numId w:val="0"/>
              </w:numPr>
              <w:kinsoku/>
              <w:wordWrap/>
              <w:overflowPunct/>
              <w:topLinePunct w:val="0"/>
              <w:autoSpaceDE/>
              <w:autoSpaceDN/>
              <w:bidi w:val="0"/>
              <w:adjustRightInd/>
              <w:snapToGrid/>
              <w:spacing w:line="400" w:lineRule="exact"/>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（5）终稿成果A0图纸2张（40分）。</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仿宋_GB2312"/>
                <w:b/>
                <w:bCs/>
                <w:iCs/>
                <w:color w:val="000000"/>
                <w:kern w:val="0"/>
                <w:sz w:val="24"/>
                <w:szCs w:val="24"/>
                <w:lang w:eastAsia="zh-CN" w:bidi="ar"/>
              </w:rPr>
            </w:pPr>
            <w:r>
              <w:rPr>
                <w:rFonts w:hint="eastAsia" w:ascii="宋体" w:hAnsi="宋体" w:eastAsia="宋体" w:cs="仿宋_GB2312"/>
                <w:b/>
                <w:bCs/>
                <w:iCs/>
                <w:color w:val="000000"/>
                <w:kern w:val="0"/>
                <w:sz w:val="24"/>
                <w:szCs w:val="24"/>
                <w:lang w:val="en-US" w:eastAsia="zh-CN" w:bidi="ar"/>
              </w:rPr>
              <w:t xml:space="preserve">1.2 </w:t>
            </w:r>
            <w:r>
              <w:rPr>
                <w:rFonts w:hint="eastAsia" w:ascii="宋体" w:hAnsi="宋体" w:eastAsia="宋体" w:cs="仿宋_GB2312"/>
                <w:b/>
                <w:bCs/>
                <w:iCs/>
                <w:color w:val="000000"/>
                <w:kern w:val="0"/>
                <w:sz w:val="24"/>
                <w:szCs w:val="24"/>
                <w:lang w:bidi="ar"/>
              </w:rPr>
              <w:t>项目考核</w:t>
            </w:r>
            <w:r>
              <w:rPr>
                <w:rFonts w:hint="eastAsia" w:ascii="宋体" w:hAnsi="宋体" w:eastAsia="宋体" w:cs="仿宋_GB2312"/>
                <w:b/>
                <w:bCs/>
                <w:iCs/>
                <w:color w:val="000000"/>
                <w:kern w:val="0"/>
                <w:sz w:val="24"/>
                <w:szCs w:val="24"/>
                <w:lang w:val="en-US" w:eastAsia="zh-CN" w:bidi="ar"/>
              </w:rPr>
              <w:t>标准</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eastAsia="zh-CN" w:bidi="ar"/>
              </w:rPr>
              <w:t>（</w:t>
            </w:r>
            <w:r>
              <w:rPr>
                <w:rFonts w:hint="eastAsia" w:ascii="宋体" w:hAnsi="宋体" w:eastAsia="宋体" w:cs="仿宋_GB2312"/>
                <w:iCs/>
                <w:color w:val="000000"/>
                <w:kern w:val="0"/>
                <w:sz w:val="24"/>
                <w:szCs w:val="24"/>
                <w:lang w:val="en-US" w:eastAsia="zh-CN" w:bidi="ar"/>
              </w:rPr>
              <w:t>1</w:t>
            </w:r>
            <w:r>
              <w:rPr>
                <w:rFonts w:hint="eastAsia" w:ascii="宋体" w:hAnsi="宋体" w:eastAsia="宋体" w:cs="仿宋_GB2312"/>
                <w:iCs/>
                <w:color w:val="000000"/>
                <w:kern w:val="0"/>
                <w:sz w:val="24"/>
                <w:szCs w:val="24"/>
                <w:lang w:eastAsia="zh-CN" w:bidi="ar"/>
              </w:rPr>
              <w:t>）</w:t>
            </w:r>
            <w:r>
              <w:rPr>
                <w:rFonts w:hint="eastAsia" w:ascii="宋体" w:hAnsi="宋体" w:eastAsia="宋体" w:cs="仿宋_GB2312"/>
                <w:iCs/>
                <w:color w:val="000000"/>
                <w:kern w:val="0"/>
                <w:sz w:val="24"/>
                <w:szCs w:val="24"/>
                <w:lang w:val="en-US" w:eastAsia="zh-CN" w:bidi="ar"/>
              </w:rPr>
              <w:t>前期调研与</w:t>
            </w:r>
            <w:r>
              <w:rPr>
                <w:rFonts w:hint="eastAsia" w:ascii="宋体" w:hAnsi="宋体" w:eastAsia="宋体" w:cs="宋体"/>
                <w:b w:val="0"/>
                <w:bCs w:val="0"/>
                <w:color w:val="000000"/>
                <w:kern w:val="0"/>
                <w:sz w:val="24"/>
                <w:szCs w:val="24"/>
                <w:lang w:val="en-US" w:eastAsia="zh-CN" w:bidi="ar"/>
              </w:rPr>
              <w:t>正图方案汇报</w:t>
            </w:r>
            <w:r>
              <w:rPr>
                <w:rFonts w:hint="eastAsia" w:ascii="宋体" w:hAnsi="宋体" w:eastAsia="宋体" w:cs="仿宋_GB2312"/>
                <w:iCs/>
                <w:color w:val="000000"/>
                <w:kern w:val="0"/>
                <w:sz w:val="24"/>
                <w:szCs w:val="24"/>
                <w:lang w:val="en-US" w:eastAsia="zh-CN" w:bidi="ar"/>
              </w:rPr>
              <w:t>评分标准</w:t>
            </w:r>
          </w:p>
          <w:tbl>
            <w:tblPr>
              <w:tblStyle w:val="5"/>
              <w:tblW w:w="79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1"/>
              <w:gridCol w:w="1000"/>
              <w:gridCol w:w="4820"/>
              <w:gridCol w:w="620"/>
              <w:gridCol w:w="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项目</w:t>
                  </w: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评分标准（100分制）</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满分</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PP内容与制作</w:t>
                  </w:r>
                </w:p>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（55分）</w:t>
                  </w:r>
                </w:p>
              </w:tc>
              <w:tc>
                <w:tcPr>
                  <w:tcW w:w="1000"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内容</w:t>
                  </w:r>
                </w:p>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(50分）</w:t>
                  </w: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规划方案内容完整清晰、规划思路新颖、汇报重点突出。</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40</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PPT结构合理、逻辑顺畅；幻灯片之间具有层次性和连贯性;过渡恰当，整体风格统一流畅、协调。</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default"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紧扣主题，模板、版式的表现方式能够恰当地表现汇报内容。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效果</w:t>
                  </w:r>
                </w:p>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（10分)</w:t>
                  </w: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整体布局风格（模板设计、板式安排、色彩搭配等）美观合理、立意新颖,构思独特设计巧妙，具体想象力和表现力。</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default"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合理使用了文本、图片、表格、图表、图形、动画、动作等表现工具（可使用超链接播放视频、音频,不使用不扣分）</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3</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1" w:type="dxa"/>
                  <w:vMerge w:val="continue"/>
                  <w:tcBorders>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PPT播放流畅、运行稳定、无故障</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汇报表现</w:t>
                  </w:r>
                </w:p>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（10分）</w:t>
                  </w:r>
                </w:p>
              </w:tc>
              <w:tc>
                <w:tcPr>
                  <w:tcW w:w="1000"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汇报技巧展示</w:t>
                  </w:r>
                </w:p>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（15分）</w:t>
                  </w: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汇报者精神饱满，能较好地运用姿势、动作、手势、表情，表达设计思路。</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条理清晰，表达流畅,主次分明。</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声音洪亮圆润、吐字清晰、表达准确、无口头语。</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综合印象</w:t>
                  </w:r>
                </w:p>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（15分)</w:t>
                  </w: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自信、自然，面带微笑，汇报具有较强的感染力、吸引力和号召力.</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10</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1"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正视听众，保持目光交流，能较好地与听众互动，营造良好的汇报效果。</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10</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1" w:type="dxa"/>
                  <w:vMerge w:val="continue"/>
                  <w:tcBorders>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1000" w:type="dxa"/>
                  <w:vMerge w:val="continue"/>
                  <w:tcBorders>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语言表达得体、流利、基本脱稿。</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5</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汇报时间(10分）</w:t>
                  </w:r>
                </w:p>
              </w:tc>
              <w:tc>
                <w:tcPr>
                  <w:tcW w:w="4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规定时间（10分钟）内汇报完成则为满分；每超过1分钟扣3份，直至扣完为止。</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r>
                    <w:rPr>
                      <w:rFonts w:hint="eastAsia" w:ascii="宋体" w:hAnsi="宋体" w:eastAsia="宋体" w:cs="宋体"/>
                      <w:sz w:val="18"/>
                      <w:szCs w:val="18"/>
                      <w:lang w:val="en-US" w:eastAsia="zh-CN" w:bidi="ar"/>
                    </w:rPr>
                    <w:t>10</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宋体" w:hAnsi="宋体" w:eastAsia="宋体" w:cs="宋体"/>
                      <w:sz w:val="18"/>
                      <w:szCs w:val="18"/>
                      <w:lang w:val="en-US" w:eastAsia="zh-CN" w:bidi="ar"/>
                    </w:rPr>
                  </w:pPr>
                </w:p>
              </w:tc>
            </w:tr>
          </w:tbl>
          <w:p>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（2）终稿成果评分标准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1、图纸及设计说明（ 100 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1）、设计构思（ 20 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创作思路：哲理、实用、情境</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创作意图：寓意、效益、形象</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2）、关系功能：（ 25 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使用合理 现状分析 流线顺畅 规划布局 空间适宜 交通组织 组合有机 绿地构成</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3）、艺术形象（ 20 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性格特征 环境特色 形象景观 景观组织 比例尺度 空间创造 环境文脉 文脉关系</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4）、经济技术（ 20 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结构方案 工程规划 设备选择 交通道路 声光热气 管网配置 细部构造 竖向设计</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5）、图文表达（ 15 分）</w:t>
            </w:r>
          </w:p>
          <w:p>
            <w:pPr>
              <w:keepNext w:val="0"/>
              <w:keepLines w:val="0"/>
              <w:pageBreakBefore w:val="0"/>
              <w:widowControl/>
              <w:kinsoku/>
              <w:wordWrap/>
              <w:overflowPunct/>
              <w:topLinePunct w:val="0"/>
              <w:autoSpaceDE/>
              <w:autoSpaceDN/>
              <w:bidi w:val="0"/>
              <w:adjustRightInd/>
              <w:snapToGrid/>
              <w:spacing w:line="400" w:lineRule="exact"/>
              <w:ind w:right="0" w:rightChars="0" w:firstLine="420" w:firstLineChars="200"/>
              <w:jc w:val="both"/>
              <w:textAlignment w:val="auto"/>
              <w:outlineLvl w:val="9"/>
              <w:rPr>
                <w:kern w:val="0"/>
                <w:sz w:val="20"/>
                <w:szCs w:val="20"/>
                <w:lang w:bidi="ar"/>
              </w:rPr>
            </w:pPr>
            <w:r>
              <w:rPr>
                <w:rFonts w:hint="eastAsia" w:ascii="宋体" w:hAnsi="宋体" w:cs="宋体"/>
                <w:sz w:val="21"/>
                <w:szCs w:val="21"/>
                <w:lang w:val="en-US" w:eastAsia="zh-CN"/>
              </w:rPr>
              <w:t>制图规范 技能训练 文字准确 图面整洁</w:t>
            </w:r>
          </w:p>
        </w:tc>
      </w:tr>
    </w:tbl>
    <w:p>
      <w:pPr>
        <w:spacing w:before="156" w:beforeLines="50" w:after="156" w:afterLines="50"/>
        <w:rPr>
          <w:rFonts w:hint="eastAsia" w:ascii="黑体" w:hAnsi="黑体" w:eastAsia="黑体" w:cs="宋体"/>
          <w:bCs/>
          <w:color w:val="000000"/>
          <w:kern w:val="0"/>
          <w:sz w:val="28"/>
          <w:szCs w:val="28"/>
          <w:lang w:bidi="ar"/>
        </w:rPr>
      </w:pPr>
    </w:p>
    <w:p>
      <w:pPr>
        <w:spacing w:before="156" w:beforeLines="50" w:after="156" w:afterLines="50"/>
        <w:rPr>
          <w:rFonts w:hint="eastAsia" w:ascii="黑体" w:hAnsi="黑体" w:eastAsia="黑体" w:cs="宋体"/>
          <w:bCs/>
          <w:color w:val="000000"/>
          <w:kern w:val="0"/>
          <w:sz w:val="28"/>
          <w:szCs w:val="28"/>
          <w:lang w:bidi="ar"/>
        </w:rPr>
      </w:pPr>
    </w:p>
    <w:p>
      <w:pPr>
        <w:spacing w:before="156" w:beforeLines="50" w:after="156" w:afterLines="50"/>
        <w:rPr>
          <w:rFonts w:hint="eastAsia" w:ascii="黑体" w:hAnsi="黑体" w:eastAsia="黑体" w:cs="宋体"/>
          <w:bCs/>
          <w:color w:val="000000"/>
          <w:kern w:val="0"/>
          <w:sz w:val="28"/>
          <w:szCs w:val="28"/>
          <w:lang w:bidi="ar"/>
        </w:rPr>
      </w:pPr>
    </w:p>
    <w:p>
      <w:pPr>
        <w:spacing w:before="156" w:beforeLines="50" w:after="156" w:afterLines="50"/>
        <w:rPr>
          <w:rFonts w:hint="eastAsia" w:ascii="黑体" w:hAnsi="黑体" w:eastAsia="黑体" w:cs="宋体"/>
          <w:bCs/>
          <w:color w:val="000000"/>
          <w:kern w:val="0"/>
          <w:sz w:val="28"/>
          <w:szCs w:val="28"/>
          <w:lang w:bidi="ar"/>
        </w:rPr>
      </w:pPr>
    </w:p>
    <w:p>
      <w:pPr>
        <w:spacing w:before="156" w:beforeLines="50" w:after="156" w:afterLines="50"/>
        <w:rPr>
          <w:rFonts w:hint="eastAsia" w:ascii="黑体" w:hAnsi="黑体" w:eastAsia="黑体" w:cs="宋体"/>
          <w:bCs/>
          <w:color w:val="000000"/>
          <w:kern w:val="0"/>
          <w:sz w:val="28"/>
          <w:szCs w:val="28"/>
          <w:lang w:bidi="ar"/>
        </w:rPr>
      </w:pPr>
    </w:p>
    <w:p>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5"/>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217" w:type="dxa"/>
          </w:tcPr>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636982-743B-48C4-89DC-CEDB8A3841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0F329569-1B39-4217-A3CF-141406A60C94}"/>
  </w:font>
  <w:font w:name="仿宋">
    <w:panose1 w:val="02010609060101010101"/>
    <w:charset w:val="86"/>
    <w:family w:val="modern"/>
    <w:pitch w:val="default"/>
    <w:sig w:usb0="800002BF" w:usb1="38CF7CFA" w:usb2="00000016" w:usb3="00000000" w:csb0="00040001" w:csb1="00000000"/>
    <w:embedRegular r:id="rId3" w:fontKey="{3D03DBA8-062E-4D59-A0B0-76D8532432FD}"/>
  </w:font>
  <w:font w:name="仿宋_GB2312">
    <w:altName w:val="仿宋"/>
    <w:panose1 w:val="00000000000000000000"/>
    <w:charset w:val="86"/>
    <w:family w:val="modern"/>
    <w:pitch w:val="default"/>
    <w:sig w:usb0="00000000" w:usb1="00000000" w:usb2="00000010" w:usb3="00000000" w:csb0="00040000" w:csb1="00000000"/>
    <w:embedRegular r:id="rId4" w:fontKey="{1A210B44-6817-4139-9F07-AA916727AA1A}"/>
  </w:font>
  <w:font w:name="方正仿宋_GB2312">
    <w:panose1 w:val="02000000000000000000"/>
    <w:charset w:val="86"/>
    <w:family w:val="auto"/>
    <w:pitch w:val="default"/>
    <w:sig w:usb0="A00002BF" w:usb1="184F6CFA" w:usb2="00000012" w:usb3="00000000" w:csb0="00040001" w:csb1="00000000"/>
    <w:embedRegular r:id="rId5" w:fontKey="{A2E66ABB-442B-4CF2-B679-43C2B4F967F9}"/>
  </w:font>
  <w:font w:name="Wingdings 2">
    <w:panose1 w:val="05020102010507070707"/>
    <w:charset w:val="00"/>
    <w:family w:val="auto"/>
    <w:pitch w:val="default"/>
    <w:sig w:usb0="00000000" w:usb1="00000000" w:usb2="00000000" w:usb3="00000000" w:csb0="80000000" w:csb1="00000000"/>
    <w:embedRegular r:id="rId6" w:fontKey="{F485B2D5-FEA4-48F8-A6DE-978EFA164897}"/>
  </w:font>
  <w:font w:name="新宋体">
    <w:panose1 w:val="02010609030101010101"/>
    <w:charset w:val="86"/>
    <w:family w:val="auto"/>
    <w:pitch w:val="default"/>
    <w:sig w:usb0="00000203" w:usb1="288F0000" w:usb2="00000006" w:usb3="00000000" w:csb0="00040001" w:csb1="00000000"/>
    <w:embedRegular r:id="rId7" w:fontKey="{1243D093-2081-41FA-B2F4-CEA703A3271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1859E"/>
    <w:multiLevelType w:val="singleLevel"/>
    <w:tmpl w:val="9D91859E"/>
    <w:lvl w:ilvl="0" w:tentative="0">
      <w:start w:val="1"/>
      <w:numFmt w:val="decimal"/>
      <w:suff w:val="nothing"/>
      <w:lvlText w:val="（%1）"/>
      <w:lvlJc w:val="left"/>
    </w:lvl>
  </w:abstractNum>
  <w:abstractNum w:abstractNumId="1">
    <w:nsid w:val="B8835D6B"/>
    <w:multiLevelType w:val="singleLevel"/>
    <w:tmpl w:val="B8835D6B"/>
    <w:lvl w:ilvl="0" w:tentative="0">
      <w:start w:val="1"/>
      <w:numFmt w:val="decimal"/>
      <w:suff w:val="space"/>
      <w:lvlText w:val="%1、"/>
      <w:lvlJc w:val="left"/>
    </w:lvl>
  </w:abstractNum>
  <w:abstractNum w:abstractNumId="2">
    <w:nsid w:val="1A57A57C"/>
    <w:multiLevelType w:val="singleLevel"/>
    <w:tmpl w:val="1A57A57C"/>
    <w:lvl w:ilvl="0" w:tentative="0">
      <w:start w:val="1"/>
      <w:numFmt w:val="decimal"/>
      <w:suff w:val="nothing"/>
      <w:lvlText w:val="（%1）"/>
      <w:lvlJc w:val="left"/>
    </w:lvl>
  </w:abstractNum>
  <w:abstractNum w:abstractNumId="3">
    <w:nsid w:val="4D0AEB7C"/>
    <w:multiLevelType w:val="singleLevel"/>
    <w:tmpl w:val="4D0AEB7C"/>
    <w:lvl w:ilvl="0" w:tentative="0">
      <w:start w:val="1"/>
      <w:numFmt w:val="decimal"/>
      <w:lvlText w:val="%1."/>
      <w:lvlJc w:val="left"/>
      <w:pPr>
        <w:tabs>
          <w:tab w:val="left" w:pos="312"/>
        </w:tabs>
      </w:pPr>
    </w:lvl>
  </w:abstractNum>
  <w:abstractNum w:abstractNumId="4">
    <w:nsid w:val="58A5880F"/>
    <w:multiLevelType w:val="singleLevel"/>
    <w:tmpl w:val="58A5880F"/>
    <w:lvl w:ilvl="0" w:tentative="0">
      <w:start w:val="2"/>
      <w:numFmt w:val="decimal"/>
      <w:lvlText w:val="%1."/>
      <w:lvlJc w:val="left"/>
      <w:pPr>
        <w:tabs>
          <w:tab w:val="left" w:pos="312"/>
        </w:tabs>
      </w:pPr>
    </w:lvl>
  </w:abstractNum>
  <w:abstractNum w:abstractNumId="5">
    <w:nsid w:val="6C52B520"/>
    <w:multiLevelType w:val="singleLevel"/>
    <w:tmpl w:val="6C52B520"/>
    <w:lvl w:ilvl="0" w:tentative="0">
      <w:start w:val="4"/>
      <w:numFmt w:val="chineseCounting"/>
      <w:suff w:val="nothing"/>
      <w:lvlText w:val="%1、"/>
      <w:lvlJc w:val="left"/>
      <w:rPr>
        <w:rFonts w:hint="eastAsia" w:ascii="黑体" w:hAnsi="黑体" w:eastAsia="黑体" w:cs="黑体"/>
        <w:b w:val="0"/>
        <w:bCs w:val="0"/>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lZTcwOTBkY2U4NTcwOGY5MTZmYjY2NWQyN2YyMWQifQ=="/>
  </w:docVars>
  <w:rsids>
    <w:rsidRoot w:val="00750B6B"/>
    <w:rsid w:val="000D311C"/>
    <w:rsid w:val="002179A0"/>
    <w:rsid w:val="0038748C"/>
    <w:rsid w:val="006240BC"/>
    <w:rsid w:val="00750B6B"/>
    <w:rsid w:val="008E68AA"/>
    <w:rsid w:val="009D4F87"/>
    <w:rsid w:val="00B56FE4"/>
    <w:rsid w:val="00CB789A"/>
    <w:rsid w:val="00DF7241"/>
    <w:rsid w:val="00ED23A0"/>
    <w:rsid w:val="0297204E"/>
    <w:rsid w:val="02C23EA2"/>
    <w:rsid w:val="02E6005D"/>
    <w:rsid w:val="02EB239A"/>
    <w:rsid w:val="037B7722"/>
    <w:rsid w:val="03E272F9"/>
    <w:rsid w:val="05496A5E"/>
    <w:rsid w:val="0563090D"/>
    <w:rsid w:val="0580501B"/>
    <w:rsid w:val="06360DA7"/>
    <w:rsid w:val="06ED4932"/>
    <w:rsid w:val="07500A1D"/>
    <w:rsid w:val="07554285"/>
    <w:rsid w:val="09B039F5"/>
    <w:rsid w:val="09FC0C10"/>
    <w:rsid w:val="0A0D0E47"/>
    <w:rsid w:val="0A595E3B"/>
    <w:rsid w:val="0A9F2406"/>
    <w:rsid w:val="0B1D50BA"/>
    <w:rsid w:val="0C2C7CAB"/>
    <w:rsid w:val="0DE46363"/>
    <w:rsid w:val="0DF92299"/>
    <w:rsid w:val="0E796AAB"/>
    <w:rsid w:val="0EF3685E"/>
    <w:rsid w:val="10853E2D"/>
    <w:rsid w:val="11E06E41"/>
    <w:rsid w:val="11E51B7E"/>
    <w:rsid w:val="12B46304"/>
    <w:rsid w:val="141D25CF"/>
    <w:rsid w:val="145F66CD"/>
    <w:rsid w:val="16077093"/>
    <w:rsid w:val="16096967"/>
    <w:rsid w:val="163258F1"/>
    <w:rsid w:val="16BF65D0"/>
    <w:rsid w:val="17405A81"/>
    <w:rsid w:val="1754056B"/>
    <w:rsid w:val="192F3C2A"/>
    <w:rsid w:val="19353F17"/>
    <w:rsid w:val="194D74B2"/>
    <w:rsid w:val="195B5B5D"/>
    <w:rsid w:val="19D11E91"/>
    <w:rsid w:val="1AF71484"/>
    <w:rsid w:val="1B23471C"/>
    <w:rsid w:val="1D232A04"/>
    <w:rsid w:val="1D96363B"/>
    <w:rsid w:val="1DA67191"/>
    <w:rsid w:val="1DC55869"/>
    <w:rsid w:val="1E171E3D"/>
    <w:rsid w:val="1E566E09"/>
    <w:rsid w:val="1EBF675C"/>
    <w:rsid w:val="1F134CFA"/>
    <w:rsid w:val="1FF8283C"/>
    <w:rsid w:val="2049696B"/>
    <w:rsid w:val="206C021E"/>
    <w:rsid w:val="20CD76E1"/>
    <w:rsid w:val="21B26104"/>
    <w:rsid w:val="22AC524A"/>
    <w:rsid w:val="23FC7B0B"/>
    <w:rsid w:val="24BB1678"/>
    <w:rsid w:val="26103D41"/>
    <w:rsid w:val="27C70430"/>
    <w:rsid w:val="297B7724"/>
    <w:rsid w:val="2BC058C2"/>
    <w:rsid w:val="2C1B6F9C"/>
    <w:rsid w:val="2C5F157F"/>
    <w:rsid w:val="2D92328E"/>
    <w:rsid w:val="2DA21723"/>
    <w:rsid w:val="2E56250D"/>
    <w:rsid w:val="2E731311"/>
    <w:rsid w:val="2ED273F5"/>
    <w:rsid w:val="2EED5DD5"/>
    <w:rsid w:val="2F300FB0"/>
    <w:rsid w:val="2F4B04A7"/>
    <w:rsid w:val="2FE853E7"/>
    <w:rsid w:val="2FEA115F"/>
    <w:rsid w:val="2FF67B04"/>
    <w:rsid w:val="30193AB7"/>
    <w:rsid w:val="30433945"/>
    <w:rsid w:val="30F027A5"/>
    <w:rsid w:val="310E0E7D"/>
    <w:rsid w:val="3216448E"/>
    <w:rsid w:val="32713DBA"/>
    <w:rsid w:val="33115F8B"/>
    <w:rsid w:val="33354DE7"/>
    <w:rsid w:val="353C5A23"/>
    <w:rsid w:val="36A24153"/>
    <w:rsid w:val="36B81EA6"/>
    <w:rsid w:val="37896D68"/>
    <w:rsid w:val="378974B0"/>
    <w:rsid w:val="3828316D"/>
    <w:rsid w:val="383218F5"/>
    <w:rsid w:val="38A56B9D"/>
    <w:rsid w:val="38CA4224"/>
    <w:rsid w:val="39730450"/>
    <w:rsid w:val="3A5913BB"/>
    <w:rsid w:val="3AD43C01"/>
    <w:rsid w:val="3B4235FF"/>
    <w:rsid w:val="3B5B538C"/>
    <w:rsid w:val="3B9A1C8B"/>
    <w:rsid w:val="3BC62A80"/>
    <w:rsid w:val="3BFA1075"/>
    <w:rsid w:val="3C4619D9"/>
    <w:rsid w:val="3D27548E"/>
    <w:rsid w:val="3DF37D79"/>
    <w:rsid w:val="3E49293D"/>
    <w:rsid w:val="3EAD617A"/>
    <w:rsid w:val="3EF23B8C"/>
    <w:rsid w:val="3FC90D91"/>
    <w:rsid w:val="402E4313"/>
    <w:rsid w:val="40794EF5"/>
    <w:rsid w:val="40E90FBF"/>
    <w:rsid w:val="40F938F8"/>
    <w:rsid w:val="41636FC4"/>
    <w:rsid w:val="41A16B8E"/>
    <w:rsid w:val="41B308DE"/>
    <w:rsid w:val="41D85878"/>
    <w:rsid w:val="420A4721"/>
    <w:rsid w:val="427F5525"/>
    <w:rsid w:val="42D014E9"/>
    <w:rsid w:val="44B00869"/>
    <w:rsid w:val="45596713"/>
    <w:rsid w:val="45763769"/>
    <w:rsid w:val="45833790"/>
    <w:rsid w:val="45E16709"/>
    <w:rsid w:val="46BB51AC"/>
    <w:rsid w:val="479779C7"/>
    <w:rsid w:val="483D056E"/>
    <w:rsid w:val="48D03190"/>
    <w:rsid w:val="48D569F9"/>
    <w:rsid w:val="49F30730"/>
    <w:rsid w:val="49FE0DA4"/>
    <w:rsid w:val="4A620A51"/>
    <w:rsid w:val="4A6B25C0"/>
    <w:rsid w:val="4A802994"/>
    <w:rsid w:val="4A8A736F"/>
    <w:rsid w:val="4AD131F0"/>
    <w:rsid w:val="4DA93FB0"/>
    <w:rsid w:val="4DAD6AA9"/>
    <w:rsid w:val="4EA50C1B"/>
    <w:rsid w:val="4F1E452A"/>
    <w:rsid w:val="4F6E54B1"/>
    <w:rsid w:val="51143E36"/>
    <w:rsid w:val="52577995"/>
    <w:rsid w:val="52862B12"/>
    <w:rsid w:val="530F48B5"/>
    <w:rsid w:val="53283BC9"/>
    <w:rsid w:val="53C259F6"/>
    <w:rsid w:val="54310529"/>
    <w:rsid w:val="55471609"/>
    <w:rsid w:val="558D41B7"/>
    <w:rsid w:val="569577C7"/>
    <w:rsid w:val="56E079CF"/>
    <w:rsid w:val="57AC6B77"/>
    <w:rsid w:val="58313520"/>
    <w:rsid w:val="587A0A23"/>
    <w:rsid w:val="58C63C68"/>
    <w:rsid w:val="5ACB37B8"/>
    <w:rsid w:val="5B24736C"/>
    <w:rsid w:val="5BC259E9"/>
    <w:rsid w:val="5BDD7C46"/>
    <w:rsid w:val="5C4952DC"/>
    <w:rsid w:val="5C4F2895"/>
    <w:rsid w:val="5D722610"/>
    <w:rsid w:val="60BE791B"/>
    <w:rsid w:val="62A274F4"/>
    <w:rsid w:val="633839B4"/>
    <w:rsid w:val="69A247FC"/>
    <w:rsid w:val="69D361E5"/>
    <w:rsid w:val="6AF64DD7"/>
    <w:rsid w:val="6C2947E2"/>
    <w:rsid w:val="6F7A7103"/>
    <w:rsid w:val="6F7E4E45"/>
    <w:rsid w:val="719743C3"/>
    <w:rsid w:val="71D90A58"/>
    <w:rsid w:val="728864D5"/>
    <w:rsid w:val="747E1443"/>
    <w:rsid w:val="74962C31"/>
    <w:rsid w:val="74C57072"/>
    <w:rsid w:val="75510906"/>
    <w:rsid w:val="75B07897"/>
    <w:rsid w:val="76757218"/>
    <w:rsid w:val="777D3C34"/>
    <w:rsid w:val="77CE2870"/>
    <w:rsid w:val="79713B8A"/>
    <w:rsid w:val="7A7237F8"/>
    <w:rsid w:val="7BA2010D"/>
    <w:rsid w:val="7BF538C2"/>
    <w:rsid w:val="7C3C1099"/>
    <w:rsid w:val="7CBE755B"/>
    <w:rsid w:val="7D423956"/>
    <w:rsid w:val="7E4436FD"/>
    <w:rsid w:val="7F4374B5"/>
    <w:rsid w:val="7FD60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paragraph" w:styleId="11">
    <w:name w:val="No Spacing"/>
    <w:autoRedefine/>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74</Words>
  <Characters>637</Characters>
  <Lines>27</Lines>
  <Paragraphs>29</Paragraphs>
  <TotalTime>0</TotalTime>
  <ScaleCrop>false</ScaleCrop>
  <LinksUpToDate>false</LinksUpToDate>
  <CharactersWithSpaces>682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廖</cp:lastModifiedBy>
  <dcterms:modified xsi:type="dcterms:W3CDTF">2024-02-27T12:48:05Z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767AEA703F5448AA8764FCD85D367DAC_13</vt:lpwstr>
  </property>
</Properties>
</file>