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eastAsiaTheme="minorEastAsia"/>
          <w:b/>
          <w:bCs/>
          <w:sz w:val="36"/>
          <w:szCs w:val="36"/>
          <w:lang w:val="en-US" w:eastAsia="zh-CN"/>
        </w:rPr>
      </w:pPr>
      <w:r>
        <w:rPr>
          <w:rFonts w:hint="eastAsia"/>
          <w:b/>
          <w:bCs/>
          <w:sz w:val="36"/>
          <w:szCs w:val="36"/>
        </w:rPr>
        <w:t>宜华生活科技股份有限公司连续四年财务造假</w:t>
      </w:r>
      <w:r>
        <w:rPr>
          <w:rFonts w:hint="eastAsia"/>
          <w:b/>
          <w:bCs/>
          <w:sz w:val="36"/>
          <w:szCs w:val="36"/>
          <w:lang w:val="en-US" w:eastAsia="zh-CN"/>
        </w:rPr>
        <w:t>案例</w:t>
      </w:r>
    </w:p>
    <w:p>
      <w:pPr>
        <w:ind w:firstLine="420" w:firstLineChars="200"/>
        <w:rPr>
          <w:rFonts w:hint="eastAsia"/>
        </w:rPr>
      </w:pPr>
      <w:r>
        <w:rPr>
          <w:rFonts w:hint="eastAsia"/>
          <w:lang w:val="en-US" w:eastAsia="zh-CN"/>
        </w:rPr>
        <w:t>2022年</w:t>
      </w:r>
      <w:r>
        <w:rPr>
          <w:rFonts w:hint="eastAsia"/>
        </w:rPr>
        <w:t>5月20日晚，央视财经《经济信息联播》的一期股市大案调查，将家居企业“宜华生活”再次推进大众视野。这起被证监会确认为2021年典型违法案例之一的财务造假案，从而曝光更多案件细节。家居企业“宜华生活”信息披露违法违规案，是一起实际控制人指使上市公司实施财务造假的典型案件。在2016年至2019年期间，“宜华生活”通过虚构销售业务等方式，累计虚增收入71亿元。宜华生活是通过哪些手段来编织财务谎言？为了对抗证监会的调查，它又耍了哪些花招？</w:t>
      </w:r>
    </w:p>
    <w:p>
      <w:pPr>
        <w:ind w:firstLine="422" w:firstLineChars="200"/>
        <w:rPr>
          <w:rFonts w:hint="eastAsia"/>
          <w:b/>
          <w:bCs/>
          <w:lang w:val="en-US" w:eastAsia="zh-CN"/>
        </w:rPr>
      </w:pPr>
      <w:r>
        <w:rPr>
          <w:rFonts w:hint="eastAsia"/>
          <w:b/>
          <w:bCs/>
          <w:lang w:val="en-US" w:eastAsia="zh-CN"/>
        </w:rPr>
        <w:t>一、“</w:t>
      </w:r>
      <w:r>
        <w:rPr>
          <w:rFonts w:hint="eastAsia"/>
          <w:b/>
          <w:bCs/>
        </w:rPr>
        <w:t>宜华生活</w:t>
      </w:r>
      <w:r>
        <w:rPr>
          <w:rFonts w:hint="eastAsia"/>
          <w:b/>
          <w:bCs/>
          <w:lang w:val="en-US" w:eastAsia="zh-CN"/>
        </w:rPr>
        <w:t>”公司简介</w:t>
      </w:r>
      <w:bookmarkStart w:id="0" w:name="_GoBack"/>
      <w:bookmarkEnd w:id="0"/>
    </w:p>
    <w:p>
      <w:pPr>
        <w:ind w:firstLine="420" w:firstLineChars="200"/>
        <w:rPr>
          <w:rFonts w:hint="default"/>
          <w:b w:val="0"/>
          <w:bCs w:val="0"/>
          <w:lang w:val="en-US" w:eastAsia="zh-CN"/>
        </w:rPr>
      </w:pPr>
      <w:r>
        <w:rPr>
          <w:rFonts w:hint="default"/>
          <w:b w:val="0"/>
          <w:bCs w:val="0"/>
          <w:lang w:val="en-US" w:eastAsia="zh-CN"/>
        </w:rPr>
        <w:t>宜华生活科技股份有限公司，</w:t>
      </w:r>
      <w:r>
        <w:rPr>
          <w:rFonts w:hint="eastAsia"/>
          <w:b w:val="0"/>
          <w:bCs w:val="0"/>
          <w:lang w:val="en-US" w:eastAsia="zh-CN"/>
        </w:rPr>
        <w:t>成立于2001年5月31日，</w:t>
      </w:r>
      <w:r>
        <w:rPr>
          <w:rFonts w:hint="default"/>
          <w:b w:val="0"/>
          <w:bCs w:val="0"/>
          <w:lang w:val="en-US" w:eastAsia="zh-CN"/>
        </w:rPr>
        <w:t>股票简称：宜华生活，</w:t>
      </w:r>
      <w:r>
        <w:rPr>
          <w:rFonts w:hint="eastAsia"/>
          <w:b w:val="0"/>
          <w:bCs w:val="0"/>
          <w:lang w:val="en-US" w:eastAsia="zh-CN"/>
        </w:rPr>
        <w:t>股票</w:t>
      </w:r>
      <w:r>
        <w:rPr>
          <w:rFonts w:hint="default"/>
          <w:b w:val="0"/>
          <w:bCs w:val="0"/>
          <w:lang w:val="en-US" w:eastAsia="zh-CN"/>
        </w:rPr>
        <w:t>代码：600978，其前身是广东省宜华木业股份有限公司，2004年8月在上海证券交易所主板上市，是汕头第一家上市民营企业。2016年6月正式变更为宜华生活科技股份有限公司，成功实现从传统家居制造企业转型升级为住居生活一体化服务商。</w:t>
      </w:r>
    </w:p>
    <w:p>
      <w:pPr>
        <w:rPr>
          <w:rFonts w:hint="default"/>
          <w:b w:val="0"/>
          <w:bCs w:val="0"/>
          <w:lang w:val="en-US" w:eastAsia="zh-CN"/>
        </w:rPr>
      </w:pPr>
      <w:r>
        <w:rPr>
          <w:rFonts w:hint="default"/>
          <w:b w:val="0"/>
          <w:bCs w:val="0"/>
          <w:lang w:val="en-US" w:eastAsia="zh-CN"/>
        </w:rPr>
        <w:drawing>
          <wp:inline distT="0" distB="0" distL="114300" distR="114300">
            <wp:extent cx="5264150" cy="3328035"/>
            <wp:effectExtent l="0" t="0" r="12700" b="5715"/>
            <wp:docPr id="12" name="图片 12" descr="S0%_X4H5IMKZ8QQ}RB}1Z~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S0%_X4H5IMKZ8QQ}RB}1Z~3"/>
                    <pic:cNvPicPr>
                      <a:picLocks noChangeAspect="1"/>
                    </pic:cNvPicPr>
                  </pic:nvPicPr>
                  <pic:blipFill>
                    <a:blip r:embed="rId4"/>
                    <a:stretch>
                      <a:fillRect/>
                    </a:stretch>
                  </pic:blipFill>
                  <pic:spPr>
                    <a:xfrm>
                      <a:off x="0" y="0"/>
                      <a:ext cx="5264150" cy="3328035"/>
                    </a:xfrm>
                    <a:prstGeom prst="rect">
                      <a:avLst/>
                    </a:prstGeom>
                  </pic:spPr>
                </pic:pic>
              </a:graphicData>
            </a:graphic>
          </wp:inline>
        </w:drawing>
      </w:r>
    </w:p>
    <w:p>
      <w:pPr>
        <w:ind w:firstLine="422" w:firstLineChars="200"/>
        <w:rPr>
          <w:rFonts w:hint="eastAsia"/>
          <w:b/>
          <w:bCs/>
        </w:rPr>
      </w:pPr>
      <w:r>
        <w:rPr>
          <w:rFonts w:hint="eastAsia"/>
          <w:b/>
          <w:bCs/>
          <w:lang w:val="en-US" w:eastAsia="zh-CN"/>
        </w:rPr>
        <w:t>二、</w:t>
      </w:r>
      <w:r>
        <w:rPr>
          <w:rFonts w:hint="eastAsia"/>
          <w:b/>
          <w:bCs/>
        </w:rPr>
        <w:t>宜华生活：连续四年财务造假</w:t>
      </w:r>
      <w:r>
        <w:rPr>
          <w:rFonts w:hint="eastAsia"/>
          <w:b/>
          <w:bCs/>
          <w:lang w:eastAsia="zh-CN"/>
        </w:rPr>
        <w:t>，</w:t>
      </w:r>
      <w:r>
        <w:rPr>
          <w:rFonts w:hint="eastAsia"/>
          <w:b/>
          <w:bCs/>
        </w:rPr>
        <w:t>隐藏公司重要部门对抗调查</w:t>
      </w:r>
    </w:p>
    <w:p>
      <w:pPr>
        <w:ind w:firstLine="420" w:firstLineChars="200"/>
        <w:rPr>
          <w:rFonts w:hint="eastAsia"/>
        </w:rPr>
      </w:pPr>
      <w:r>
        <w:rPr>
          <w:rFonts w:hint="eastAsia"/>
        </w:rPr>
        <w:t>在2016年至2019年期间，“宜华生活”通过虚构销售业务等方式，累计虚增收入71亿元。宜华生活异常的财务数据，引起了监管部门的注意。2020年4月，证监会依法对宜华生活涉嫌信息披露违法违规立案调查。据央视财经介绍，在证监会调查期间，宜华生活耍了不少花招，而为了隐藏公司的财务造假事实。宜华生活提供的所有和境外客户签订的合同，都只有一个框架协议，不提供基础交易资料，公司整个外销流程不透明。而稽查人员想要问询的核心员工或者高管，不是离职就是联系不上，甚至公司整个进出口部门消失了。公开资料显示，宜华生活主营业务为家具和木地板等家居产品的设计、生产与销售，其中产品外销占比高达70%以上。2019年4月27日，宜华生活发布了2018年年度报告，在报告期末，宜华生活货币资金余额为33.89亿元，长期借款、短期借款、应付债券余额合计为52.56亿元，报告期内财务费用4.47亿元，占归母净利润的115.50%。一边账面上躺着数十亿元货币资金，一边为融资支付高额利息，宜华生活异常的财务数据，引起了监管部门的注意。2020年4月，证监会依法对宜华生活涉嫌信息披露违法违规立案调查。</w:t>
      </w:r>
    </w:p>
    <w:p>
      <w:pPr>
        <w:rPr>
          <w:rFonts w:ascii="宋体" w:hAnsi="宋体" w:eastAsia="宋体" w:cs="宋体"/>
          <w:sz w:val="24"/>
          <w:szCs w:val="24"/>
        </w:rPr>
      </w:pPr>
      <w:r>
        <w:rPr>
          <w:rFonts w:ascii="宋体" w:hAnsi="宋体" w:eastAsia="宋体" w:cs="宋体"/>
          <w:sz w:val="24"/>
          <w:szCs w:val="24"/>
        </w:rPr>
        <w:drawing>
          <wp:inline distT="0" distB="0" distL="114300" distR="114300">
            <wp:extent cx="5286375" cy="2643505"/>
            <wp:effectExtent l="0" t="0" r="9525" b="444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5"/>
                    <a:stretch>
                      <a:fillRect/>
                    </a:stretch>
                  </pic:blipFill>
                  <pic:spPr>
                    <a:xfrm>
                      <a:off x="0" y="0"/>
                      <a:ext cx="5286375" cy="2643505"/>
                    </a:xfrm>
                    <a:prstGeom prst="rect">
                      <a:avLst/>
                    </a:prstGeom>
                    <a:noFill/>
                    <a:ln w="9525">
                      <a:noFill/>
                    </a:ln>
                  </pic:spPr>
                </pic:pic>
              </a:graphicData>
            </a:graphic>
          </wp:inline>
        </w:drawing>
      </w:r>
    </w:p>
    <w:p>
      <w:pPr>
        <w:ind w:firstLine="420" w:firstLineChars="200"/>
        <w:rPr>
          <w:rFonts w:hint="eastAsia"/>
        </w:rPr>
      </w:pPr>
      <w:r>
        <w:rPr>
          <w:rFonts w:hint="eastAsia"/>
        </w:rPr>
        <w:t>证监会稽查人员告诉记者，宜华生活有六大生产基地，合并报表的子公司一共有47家，为了寻找线索，他们需要将所有公司的财务凭证都调到公司现场来。虽然稽查人员心里早有预期，但面对当时会议室堆积如山的财务凭证仍感到了压力。</w:t>
      </w:r>
    </w:p>
    <w:p>
      <w:pPr>
        <w:rPr>
          <w:rFonts w:hint="eastAsia"/>
        </w:rPr>
      </w:pPr>
      <w:r>
        <w:rPr>
          <w:rFonts w:ascii="宋体" w:hAnsi="宋体" w:eastAsia="宋体" w:cs="宋体"/>
          <w:sz w:val="24"/>
          <w:szCs w:val="24"/>
        </w:rPr>
        <w:drawing>
          <wp:inline distT="0" distB="0" distL="114300" distR="114300">
            <wp:extent cx="5248275" cy="2665095"/>
            <wp:effectExtent l="0" t="0" r="9525" b="1905"/>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6"/>
                    <a:stretch>
                      <a:fillRect/>
                    </a:stretch>
                  </pic:blipFill>
                  <pic:spPr>
                    <a:xfrm>
                      <a:off x="0" y="0"/>
                      <a:ext cx="5248275" cy="2665095"/>
                    </a:xfrm>
                    <a:prstGeom prst="rect">
                      <a:avLst/>
                    </a:prstGeom>
                    <a:noFill/>
                    <a:ln w="9525">
                      <a:noFill/>
                    </a:ln>
                  </pic:spPr>
                </pic:pic>
              </a:graphicData>
            </a:graphic>
          </wp:inline>
        </w:drawing>
      </w:r>
    </w:p>
    <w:p>
      <w:pPr>
        <w:ind w:firstLine="420" w:firstLineChars="200"/>
        <w:rPr>
          <w:rFonts w:hint="eastAsia"/>
        </w:rPr>
      </w:pPr>
      <w:r>
        <w:rPr>
          <w:rFonts w:hint="eastAsia"/>
        </w:rPr>
        <w:t>要从浩如烟海的财务凭证中找到公司财务造假的证据实属不易，更让稽查人员感到棘手的是，虽然公司明面十分配合调查工作，但是实际上却在暗地里对抗。宜华生活提供的所有和境外客户签订的合同，都只有一个框架协议，不提供基础交易资料，公司整个外销流程不透明，而稽查人员想要问询的核心员工或者高管，不是离职就是联系不上，甚至公司整个进出口部门消失了。</w:t>
      </w:r>
    </w:p>
    <w:p>
      <w:pPr>
        <w:rPr>
          <w:rFonts w:hint="eastAsia"/>
        </w:rPr>
      </w:pPr>
      <w:r>
        <w:rPr>
          <w:rFonts w:ascii="宋体" w:hAnsi="宋体" w:eastAsia="宋体" w:cs="宋体"/>
          <w:sz w:val="24"/>
          <w:szCs w:val="24"/>
        </w:rPr>
        <w:drawing>
          <wp:inline distT="0" distB="0" distL="114300" distR="114300">
            <wp:extent cx="5286375" cy="2693035"/>
            <wp:effectExtent l="0" t="0" r="9525" b="12065"/>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7"/>
                    <a:stretch>
                      <a:fillRect/>
                    </a:stretch>
                  </pic:blipFill>
                  <pic:spPr>
                    <a:xfrm>
                      <a:off x="0" y="0"/>
                      <a:ext cx="5286375" cy="2693035"/>
                    </a:xfrm>
                    <a:prstGeom prst="rect">
                      <a:avLst/>
                    </a:prstGeom>
                    <a:noFill/>
                    <a:ln w="9525">
                      <a:noFill/>
                    </a:ln>
                  </pic:spPr>
                </pic:pic>
              </a:graphicData>
            </a:graphic>
          </wp:inline>
        </w:drawing>
      </w:r>
    </w:p>
    <w:p>
      <w:pPr>
        <w:rPr>
          <w:rFonts w:hint="eastAsia"/>
        </w:rPr>
      </w:pPr>
      <w:r>
        <w:rPr>
          <w:rFonts w:hint="eastAsia"/>
        </w:rPr>
        <w:t>证监会稽查人员：我们去的时候，财务部，特别是进出口部，基本上都清理得干干净净，电脑都没有，只有一叠很薄的框架合同，作为业务资料留在那里供我们检查。公司为了规避调查，把正常的进出口部，这些业务部门的工作人员，全部隐匿到条件比较差的生产车间的临时办公室，不让主要的业务人员跟调查人员接触。</w:t>
      </w:r>
    </w:p>
    <w:p>
      <w:pPr>
        <w:ind w:firstLine="422" w:firstLineChars="200"/>
        <w:rPr>
          <w:rFonts w:hint="eastAsia"/>
          <w:b/>
          <w:bCs/>
        </w:rPr>
      </w:pPr>
      <w:r>
        <w:rPr>
          <w:rFonts w:hint="eastAsia"/>
          <w:b/>
          <w:bCs/>
          <w:lang w:val="en-US" w:eastAsia="zh-CN"/>
        </w:rPr>
        <w:t>三、</w:t>
      </w:r>
      <w:r>
        <w:rPr>
          <w:rFonts w:hint="eastAsia"/>
          <w:b/>
          <w:bCs/>
        </w:rPr>
        <w:t>报关货值虚高近6倍</w:t>
      </w:r>
      <w:r>
        <w:rPr>
          <w:rFonts w:hint="eastAsia"/>
          <w:b/>
          <w:bCs/>
          <w:lang w:eastAsia="zh-CN"/>
        </w:rPr>
        <w:t>，</w:t>
      </w:r>
      <w:r>
        <w:rPr>
          <w:rFonts w:hint="eastAsia"/>
          <w:b/>
          <w:bCs/>
        </w:rPr>
        <w:t>宜华生活“双系统”伪造数据</w:t>
      </w:r>
    </w:p>
    <w:p>
      <w:pPr>
        <w:ind w:firstLine="420" w:firstLineChars="200"/>
        <w:rPr>
          <w:rFonts w:hint="eastAsia"/>
        </w:rPr>
      </w:pPr>
      <w:r>
        <w:rPr>
          <w:rFonts w:hint="eastAsia"/>
        </w:rPr>
        <w:t>宜华生活还通过两个完全独立的生产业务系统，分别做出了两套数据。一套数据货值虚高，用于报关，另外一套则是跟境外客户对账的真实数据。</w:t>
      </w:r>
    </w:p>
    <w:p>
      <w:pPr>
        <w:ind w:firstLine="420" w:firstLineChars="200"/>
        <w:rPr>
          <w:rFonts w:hint="eastAsia"/>
        </w:rPr>
      </w:pPr>
      <w:r>
        <w:rPr>
          <w:rFonts w:hint="eastAsia"/>
        </w:rPr>
        <w:t>而当稽查人员进场时，他们则将真实数据系统电源拔掉，用虚假数据系统来应对检查。</w:t>
      </w:r>
    </w:p>
    <w:p>
      <w:pPr>
        <w:ind w:firstLine="420" w:firstLineChars="200"/>
        <w:rPr>
          <w:rFonts w:hint="eastAsia"/>
        </w:rPr>
      </w:pPr>
      <w:r>
        <w:rPr>
          <w:rFonts w:hint="eastAsia"/>
        </w:rPr>
        <w:t>这其中，仅一项梳妆台的价格，在真实报价与出口报关的价格之间，差价就将近6倍。最终，调查组找到了真实交易资料，进一步夯实宜华生活财务造假证据，并对案件相关责任人员进行了处罚。</w:t>
      </w:r>
    </w:p>
    <w:p>
      <w:pPr>
        <w:ind w:firstLine="420" w:firstLineChars="200"/>
        <w:rPr>
          <w:rFonts w:hint="eastAsia"/>
        </w:rPr>
      </w:pPr>
      <w:r>
        <w:rPr>
          <w:rFonts w:hint="eastAsia"/>
        </w:rPr>
        <w:t>证监会稽查人员告诉记者，以往他们查的财务造假案一般是假出口，它没有真正的出口和报关，因此整套数据都是假的。然而宜华生活是真出口、真报关，但是报关价格虚高、货值虚高，以此来虚增企业营收和利润。因此要想找到该公司造假的强有力证据，获取到它和境外客户真实的报价合同尤为关键。</w:t>
      </w:r>
    </w:p>
    <w:p>
      <w:pPr>
        <w:ind w:firstLine="420" w:firstLineChars="200"/>
        <w:rPr>
          <w:rFonts w:hint="eastAsia"/>
        </w:rPr>
      </w:pPr>
      <w:r>
        <w:rPr>
          <w:rFonts w:hint="eastAsia"/>
        </w:rPr>
        <w:t>从表面上来看，宜华生活提供给证监会稽查人员查阅的框架协议，无论是报关单价还是总额，和海关数据都是一致的，它的财务数据跟这些框架协议也相吻合，然而在调查中稽查人员发现，公司竟然暗地里运行着另外一套生产业务系统，每次稽查人员进场，他们就偷偷把这套系统电源给拔了。</w:t>
      </w:r>
    </w:p>
    <w:p>
      <w:pPr>
        <w:rPr>
          <w:rFonts w:hint="eastAsia"/>
        </w:rPr>
      </w:pPr>
      <w:r>
        <w:rPr>
          <w:rFonts w:ascii="宋体" w:hAnsi="宋体" w:eastAsia="宋体" w:cs="宋体"/>
          <w:sz w:val="24"/>
          <w:szCs w:val="24"/>
        </w:rPr>
        <w:drawing>
          <wp:inline distT="0" distB="0" distL="114300" distR="114300">
            <wp:extent cx="5248910" cy="2624455"/>
            <wp:effectExtent l="0" t="0" r="8890" b="4445"/>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8"/>
                    <a:stretch>
                      <a:fillRect/>
                    </a:stretch>
                  </pic:blipFill>
                  <pic:spPr>
                    <a:xfrm>
                      <a:off x="0" y="0"/>
                      <a:ext cx="5248910" cy="2624455"/>
                    </a:xfrm>
                    <a:prstGeom prst="rect">
                      <a:avLst/>
                    </a:prstGeom>
                    <a:noFill/>
                    <a:ln w="9525">
                      <a:noFill/>
                    </a:ln>
                  </pic:spPr>
                </pic:pic>
              </a:graphicData>
            </a:graphic>
          </wp:inline>
        </w:drawing>
      </w:r>
    </w:p>
    <w:p>
      <w:pPr>
        <w:ind w:firstLine="420" w:firstLineChars="200"/>
        <w:rPr>
          <w:rFonts w:hint="eastAsia"/>
        </w:rPr>
      </w:pPr>
      <w:r>
        <w:rPr>
          <w:rFonts w:hint="eastAsia"/>
        </w:rPr>
        <w:t>通过两个完全独立的生产业务系统，宜华生活分别做出了两套数据，一套数据货值虚高，用于报关，另外一套数据则是跟境外客户对账的真实数据。最终，调查组找到了公司出口货物真实价格的相关证据，包括报价、英文发票、装箱单等货运凭证，以及对账、催款明细等。</w:t>
      </w:r>
    </w:p>
    <w:p>
      <w:pPr>
        <w:rPr>
          <w:rFonts w:hint="eastAsia"/>
        </w:rPr>
      </w:pPr>
      <w:r>
        <w:rPr>
          <w:rFonts w:ascii="宋体" w:hAnsi="宋体" w:eastAsia="宋体" w:cs="宋体"/>
          <w:sz w:val="24"/>
          <w:szCs w:val="24"/>
        </w:rPr>
        <w:drawing>
          <wp:inline distT="0" distB="0" distL="114300" distR="114300">
            <wp:extent cx="5210175" cy="2613660"/>
            <wp:effectExtent l="0" t="0" r="9525" b="15240"/>
            <wp:docPr id="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56"/>
                    <pic:cNvPicPr>
                      <a:picLocks noChangeAspect="1"/>
                    </pic:cNvPicPr>
                  </pic:nvPicPr>
                  <pic:blipFill>
                    <a:blip r:embed="rId9"/>
                    <a:stretch>
                      <a:fillRect/>
                    </a:stretch>
                  </pic:blipFill>
                  <pic:spPr>
                    <a:xfrm>
                      <a:off x="0" y="0"/>
                      <a:ext cx="5210175" cy="2613660"/>
                    </a:xfrm>
                    <a:prstGeom prst="rect">
                      <a:avLst/>
                    </a:prstGeom>
                    <a:noFill/>
                    <a:ln w="9525">
                      <a:noFill/>
                    </a:ln>
                  </pic:spPr>
                </pic:pic>
              </a:graphicData>
            </a:graphic>
          </wp:inline>
        </w:drawing>
      </w:r>
    </w:p>
    <w:p>
      <w:pPr>
        <w:rPr>
          <w:rFonts w:hint="eastAsia"/>
        </w:rPr>
      </w:pPr>
      <w:r>
        <w:rPr>
          <w:rFonts w:ascii="宋体" w:hAnsi="宋体" w:eastAsia="宋体" w:cs="宋体"/>
          <w:sz w:val="24"/>
          <w:szCs w:val="24"/>
        </w:rPr>
        <w:drawing>
          <wp:inline distT="0" distB="0" distL="114300" distR="114300">
            <wp:extent cx="5201920" cy="2609215"/>
            <wp:effectExtent l="0" t="0" r="17780" b="635"/>
            <wp:docPr id="7"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56"/>
                    <pic:cNvPicPr>
                      <a:picLocks noChangeAspect="1"/>
                    </pic:cNvPicPr>
                  </pic:nvPicPr>
                  <pic:blipFill>
                    <a:blip r:embed="rId10"/>
                    <a:stretch>
                      <a:fillRect/>
                    </a:stretch>
                  </pic:blipFill>
                  <pic:spPr>
                    <a:xfrm>
                      <a:off x="0" y="0"/>
                      <a:ext cx="5201920" cy="2609215"/>
                    </a:xfrm>
                    <a:prstGeom prst="rect">
                      <a:avLst/>
                    </a:prstGeom>
                    <a:noFill/>
                    <a:ln w="9525">
                      <a:noFill/>
                    </a:ln>
                  </pic:spPr>
                </pic:pic>
              </a:graphicData>
            </a:graphic>
          </wp:inline>
        </w:drawing>
      </w:r>
    </w:p>
    <w:p>
      <w:pPr>
        <w:rPr>
          <w:rFonts w:hint="eastAsia"/>
        </w:rPr>
      </w:pPr>
      <w:r>
        <w:rPr>
          <w:rFonts w:hint="eastAsia"/>
        </w:rPr>
        <w:t>证监会稽查人员：有一个实例给大家看。这一本是它的真实报价记录，这一本是它的出口报关记录。这个梳妆台的真实报价，只有205美元，但是在出口报关的时候，梳妆台报价高达1359美元，差价将近6倍。</w:t>
      </w:r>
    </w:p>
    <w:p>
      <w:pPr>
        <w:ind w:firstLine="420" w:firstLineChars="200"/>
        <w:rPr>
          <w:rFonts w:hint="eastAsia"/>
        </w:rPr>
      </w:pPr>
      <w:r>
        <w:rPr>
          <w:rFonts w:hint="eastAsia"/>
        </w:rPr>
        <w:t>宜华生活真实交易资料的查获，为案件的调查打开了一扇大门，为了进一步夯实证据，稽查人员同时申请了跨境执法合作，请境外的监管部门协查一些境外客户的具体情况，从后续协查反馈回来的数据来看，宜华生活财务造假铁证如山。为了具体计算出宜华生活各个年度外销的虚假数据，证监会稽查人员更是将该公司从2016年到2019年，整个出口的12000多个集装箱号码，都进行了一一核对。</w:t>
      </w:r>
    </w:p>
    <w:p>
      <w:pPr>
        <w:rPr>
          <w:rFonts w:hint="eastAsia"/>
        </w:rPr>
      </w:pPr>
      <w:r>
        <w:rPr>
          <w:rFonts w:ascii="宋体" w:hAnsi="宋体" w:eastAsia="宋体" w:cs="宋体"/>
          <w:sz w:val="24"/>
          <w:szCs w:val="24"/>
        </w:rPr>
        <w:drawing>
          <wp:inline distT="0" distB="0" distL="114300" distR="114300">
            <wp:extent cx="5238750" cy="2611120"/>
            <wp:effectExtent l="0" t="0" r="0" b="17780"/>
            <wp:docPr id="8"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56"/>
                    <pic:cNvPicPr>
                      <a:picLocks noChangeAspect="1"/>
                    </pic:cNvPicPr>
                  </pic:nvPicPr>
                  <pic:blipFill>
                    <a:blip r:embed="rId11"/>
                    <a:stretch>
                      <a:fillRect/>
                    </a:stretch>
                  </pic:blipFill>
                  <pic:spPr>
                    <a:xfrm>
                      <a:off x="0" y="0"/>
                      <a:ext cx="5238750" cy="2611120"/>
                    </a:xfrm>
                    <a:prstGeom prst="rect">
                      <a:avLst/>
                    </a:prstGeom>
                    <a:noFill/>
                    <a:ln w="9525">
                      <a:noFill/>
                    </a:ln>
                  </pic:spPr>
                </pic:pic>
              </a:graphicData>
            </a:graphic>
          </wp:inline>
        </w:drawing>
      </w:r>
    </w:p>
    <w:p>
      <w:pPr>
        <w:rPr>
          <w:rFonts w:hint="eastAsia"/>
        </w:rPr>
      </w:pPr>
      <w:r>
        <w:rPr>
          <w:rFonts w:hint="eastAsia"/>
        </w:rPr>
        <w:t>证监会稽查人员：宜华生活系统性长期造假，违法金额特别巨大，性质也比较恶劣。因为它的2019年年报是在2020年的4月份公布的，适用了新的证券法，对它进行了处罚，对公司罚款600万元。</w:t>
      </w:r>
    </w:p>
    <w:p>
      <w:pPr>
        <w:ind w:firstLine="420" w:firstLineChars="200"/>
        <w:rPr>
          <w:rFonts w:hint="eastAsia"/>
        </w:rPr>
      </w:pPr>
      <w:r>
        <w:rPr>
          <w:rFonts w:hint="eastAsia"/>
        </w:rPr>
        <w:t>在全面推行注册制改革的背景下，随着证券法的实施，资本市场的监管制度与退市制度进一步完善，宜华生活财务造假案，成为首批适用新证券法惩处的恶性案件。去年3月22日，由于收盘价格连续20个交易日低于1元，宜华生活被上海证券交易所摘牌，正式退出A股市场，它也由此成为退市新规下的首批“1元退市股”之一。</w:t>
      </w:r>
    </w:p>
    <w:p>
      <w:pPr>
        <w:tabs>
          <w:tab w:val="left" w:pos="886"/>
        </w:tabs>
        <w:rPr>
          <w:rFonts w:hint="eastAsia" w:eastAsiaTheme="minorEastAsia"/>
          <w:lang w:eastAsia="zh-CN"/>
        </w:rPr>
      </w:pPr>
      <w:r>
        <w:rPr>
          <w:rFonts w:ascii="宋体" w:hAnsi="宋体" w:eastAsia="宋体" w:cs="宋体"/>
          <w:sz w:val="24"/>
          <w:szCs w:val="24"/>
        </w:rPr>
        <w:drawing>
          <wp:inline distT="0" distB="0" distL="114300" distR="114300">
            <wp:extent cx="5267960" cy="2617470"/>
            <wp:effectExtent l="0" t="0" r="8890" b="11430"/>
            <wp:docPr id="9"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256"/>
                    <pic:cNvPicPr>
                      <a:picLocks noChangeAspect="1"/>
                    </pic:cNvPicPr>
                  </pic:nvPicPr>
                  <pic:blipFill>
                    <a:blip r:embed="rId12"/>
                    <a:stretch>
                      <a:fillRect/>
                    </a:stretch>
                  </pic:blipFill>
                  <pic:spPr>
                    <a:xfrm>
                      <a:off x="0" y="0"/>
                      <a:ext cx="5267960" cy="2617470"/>
                    </a:xfrm>
                    <a:prstGeom prst="rect">
                      <a:avLst/>
                    </a:prstGeom>
                    <a:noFill/>
                    <a:ln w="9525">
                      <a:noFill/>
                    </a:ln>
                  </pic:spPr>
                </pic:pic>
              </a:graphicData>
            </a:graphic>
          </wp:inline>
        </w:drawing>
      </w:r>
    </w:p>
    <w:p>
      <w:pPr>
        <w:tabs>
          <w:tab w:val="left" w:pos="1266"/>
        </w:tabs>
        <w:ind w:firstLine="420" w:firstLineChars="200"/>
        <w:rPr>
          <w:rFonts w:hint="eastAsia" w:eastAsiaTheme="minorEastAsia"/>
          <w:lang w:eastAsia="zh-CN"/>
        </w:rPr>
      </w:pPr>
      <w:r>
        <w:rPr>
          <w:rFonts w:hint="eastAsia"/>
          <w:lang w:eastAsia="zh-CN"/>
        </w:rPr>
        <w:t>证监会稽查人员：新证券法的威力在这个案子里得到了充分体现。首先是新证券法赋予了我们更多的相应执法权限。此外，在相应后续的处罚里，新证券法提高了违法成本。给上市公司的警示主要体现在，首先上市公司必须完善自己的公司治理，其次就是需要遵规守法地经营，不能轻易突破底线，否则就只能自食其果。</w:t>
      </w:r>
    </w:p>
    <w:p>
      <w:pPr>
        <w:ind w:firstLine="422" w:firstLineChars="200"/>
        <w:rPr>
          <w:rFonts w:hint="default" w:eastAsiaTheme="minorEastAsia"/>
          <w:b/>
          <w:bCs/>
          <w:lang w:val="en-US" w:eastAsia="zh-CN"/>
        </w:rPr>
      </w:pPr>
      <w:r>
        <w:rPr>
          <w:rFonts w:hint="eastAsia"/>
          <w:b/>
          <w:bCs/>
          <w:lang w:val="en-US" w:eastAsia="zh-CN"/>
        </w:rPr>
        <w:t>四、相关结果</w:t>
      </w:r>
    </w:p>
    <w:p>
      <w:pPr>
        <w:tabs>
          <w:tab w:val="left" w:pos="1162"/>
        </w:tabs>
        <w:ind w:firstLine="420" w:firstLineChars="200"/>
        <w:rPr>
          <w:rFonts w:hint="eastAsia" w:eastAsiaTheme="minorEastAsia"/>
          <w:lang w:eastAsia="zh-CN"/>
        </w:rPr>
      </w:pPr>
      <w:r>
        <w:rPr>
          <w:rFonts w:hint="eastAsia"/>
          <w:lang w:eastAsia="zh-CN"/>
        </w:rPr>
        <w:t>2021年10月18日，证监会就宜华生活信息披露违法违规行为下发了处罚结果，其中宜华生活被处以600万元罚款，公司实际控制人刘绍喜除被罚款930万元外，并终身禁入证券市场。</w:t>
      </w:r>
    </w:p>
    <w:p>
      <w:pPr>
        <w:rPr>
          <w:rFonts w:hint="eastAsia"/>
        </w:rPr>
      </w:pPr>
      <w:r>
        <w:rPr>
          <w:rFonts w:ascii="宋体" w:hAnsi="宋体" w:eastAsia="宋体" w:cs="宋体"/>
          <w:sz w:val="24"/>
          <w:szCs w:val="24"/>
        </w:rPr>
        <w:drawing>
          <wp:inline distT="0" distB="0" distL="114300" distR="114300">
            <wp:extent cx="5189220" cy="2038985"/>
            <wp:effectExtent l="0" t="0" r="11430" b="18415"/>
            <wp:docPr id="10"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256"/>
                    <pic:cNvPicPr>
                      <a:picLocks noChangeAspect="1"/>
                    </pic:cNvPicPr>
                  </pic:nvPicPr>
                  <pic:blipFill>
                    <a:blip r:embed="rId13"/>
                    <a:stretch>
                      <a:fillRect/>
                    </a:stretch>
                  </pic:blipFill>
                  <pic:spPr>
                    <a:xfrm>
                      <a:off x="0" y="0"/>
                      <a:ext cx="5189220" cy="2038985"/>
                    </a:xfrm>
                    <a:prstGeom prst="rect">
                      <a:avLst/>
                    </a:prstGeom>
                    <a:noFill/>
                    <a:ln w="9525">
                      <a:noFill/>
                    </a:ln>
                  </pic:spPr>
                </pic:pic>
              </a:graphicData>
            </a:graphic>
          </wp:inline>
        </w:drawing>
      </w:r>
    </w:p>
    <w:p>
      <w:pPr>
        <w:ind w:firstLine="420" w:firstLineChars="200"/>
        <w:rPr>
          <w:rFonts w:hint="eastAsia"/>
        </w:rPr>
      </w:pPr>
      <w:r>
        <w:rPr>
          <w:rFonts w:hint="eastAsia"/>
        </w:rPr>
        <w:t>图源：证监会网站</w:t>
      </w:r>
    </w:p>
    <w:p>
      <w:pPr>
        <w:ind w:firstLine="420" w:firstLineChars="200"/>
        <w:rPr>
          <w:rFonts w:hint="eastAsia"/>
        </w:rPr>
      </w:pPr>
      <w:r>
        <w:rPr>
          <w:rFonts w:hint="eastAsia"/>
        </w:rPr>
        <w:t>此外，还有宜华生活18名董事、监事、高级管理人员也均被依法做出了不同程度的处罚。宜华生活退市危局未解</w:t>
      </w:r>
      <w:r>
        <w:rPr>
          <w:rFonts w:hint="eastAsia"/>
          <w:lang w:eastAsia="zh-CN"/>
        </w:rPr>
        <w:t>，</w:t>
      </w:r>
      <w:r>
        <w:rPr>
          <w:rFonts w:hint="eastAsia"/>
        </w:rPr>
        <w:t>天眼查资料显示，宜华集团当前被执行人达25条，被执行总金额为59.42亿元。据2021年年报介绍，报告期内，宜华生活作为被告人/被申请人的累计诉讼、仲裁事项涉及金额达48.09亿元，占期末净资产比例为159.4%。</w:t>
      </w:r>
    </w:p>
    <w:p>
      <w:pPr>
        <w:rPr>
          <w:rFonts w:hint="eastAsia"/>
        </w:rPr>
      </w:pPr>
      <w:r>
        <w:rPr>
          <w:rFonts w:ascii="宋体" w:hAnsi="宋体" w:eastAsia="宋体" w:cs="宋体"/>
          <w:sz w:val="24"/>
          <w:szCs w:val="24"/>
        </w:rPr>
        <w:drawing>
          <wp:inline distT="0" distB="0" distL="114300" distR="114300">
            <wp:extent cx="5262880" cy="1819275"/>
            <wp:effectExtent l="0" t="0" r="13970" b="9525"/>
            <wp:docPr id="11"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256"/>
                    <pic:cNvPicPr>
                      <a:picLocks noChangeAspect="1"/>
                    </pic:cNvPicPr>
                  </pic:nvPicPr>
                  <pic:blipFill>
                    <a:blip r:embed="rId14"/>
                    <a:stretch>
                      <a:fillRect/>
                    </a:stretch>
                  </pic:blipFill>
                  <pic:spPr>
                    <a:xfrm>
                      <a:off x="0" y="0"/>
                      <a:ext cx="5262880" cy="1819275"/>
                    </a:xfrm>
                    <a:prstGeom prst="rect">
                      <a:avLst/>
                    </a:prstGeom>
                    <a:noFill/>
                    <a:ln w="9525">
                      <a:noFill/>
                    </a:ln>
                  </pic:spPr>
                </pic:pic>
              </a:graphicData>
            </a:graphic>
          </wp:inline>
        </w:drawing>
      </w:r>
    </w:p>
    <w:p>
      <w:pPr>
        <w:ind w:firstLine="420" w:firstLineChars="200"/>
        <w:rPr>
          <w:rFonts w:hint="eastAsia"/>
        </w:rPr>
      </w:pPr>
      <w:r>
        <w:rPr>
          <w:rFonts w:hint="eastAsia"/>
        </w:rPr>
        <w:t>图源：宜华生活2021年年报</w:t>
      </w:r>
    </w:p>
    <w:p>
      <w:pPr>
        <w:ind w:firstLine="420" w:firstLineChars="200"/>
        <w:rPr>
          <w:rFonts w:hint="eastAsia"/>
        </w:rPr>
      </w:pPr>
      <w:r>
        <w:rPr>
          <w:rFonts w:hint="eastAsia"/>
        </w:rPr>
        <w:t>5月13日，宜华生活对外公告了最新诉讼进展，张素梅、赵连云等49名投资者已向其提起诉讼，要求赔偿经济损失合计1451.96万元。而这已经不是宜华生活近期首次被投资者起诉事件。两个月前，一位名为唐宇寰的投资者也将其告上法庭，要求宜华生活及其他被告共同赔偿投资差额损失、投资差额损失部分手续费、投资差额损失部分过户费合计665.55万元。而除了被投资者起诉外，宜华生活与金融机构之间也面临着多起纠纷。2021年年报披露，报告期内，因金融借款合同纠纷，中国银行汕头分行、渤海银行深圳分行、中国光大银行深圳分行、中国光大银行深圳西丽支行四家金融机构已经将其告上法庭，累计涉及总金额33.53亿元。宜华集团旗下另一上市公司宜华健康，于2022年4月6日发布了关于股票交易可能被实施退市风险警示及其他风险警示的第二次提示性公告。从1995年创立到2004年登陆A股，宜华经历了“创业艰难万死一生”的10年。从2020年4月爆雷到2021年3月退市，宜华却只用了“兵败如山倒”的短短1年时间……</w:t>
      </w:r>
    </w:p>
    <w:p>
      <w:pPr>
        <w:ind w:firstLine="420" w:firstLineChars="200"/>
        <w:rPr>
          <w:rFonts w:hint="eastAsia"/>
        </w:rPr>
      </w:pPr>
      <w:r>
        <w:rPr>
          <w:rFonts w:hint="eastAsia"/>
        </w:rPr>
        <w:t>一代木业大佬落幕，折射的不仅仅是家居行业的临暖悲凉。</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ZiNGI3M2U2MGNhNWZhNTgxN2RiZmYwNTY5ODdhNDUifQ=="/>
  </w:docVars>
  <w:rsids>
    <w:rsidRoot w:val="00000000"/>
    <w:rsid w:val="08DA7138"/>
    <w:rsid w:val="119D6F55"/>
    <w:rsid w:val="12D270D2"/>
    <w:rsid w:val="12D93FBD"/>
    <w:rsid w:val="21024B6B"/>
    <w:rsid w:val="32DF0178"/>
    <w:rsid w:val="39CC57F9"/>
    <w:rsid w:val="3BA0301A"/>
    <w:rsid w:val="47E744AA"/>
    <w:rsid w:val="4C066EC9"/>
    <w:rsid w:val="505C355C"/>
    <w:rsid w:val="51631831"/>
    <w:rsid w:val="56C34FB7"/>
    <w:rsid w:val="57601B83"/>
    <w:rsid w:val="59D34D80"/>
    <w:rsid w:val="5D301FF8"/>
    <w:rsid w:val="6753171E"/>
    <w:rsid w:val="6ACB3360"/>
    <w:rsid w:val="70D0347E"/>
    <w:rsid w:val="73D01515"/>
    <w:rsid w:val="7B191EC6"/>
    <w:rsid w:val="7B566C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2">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7</Pages>
  <Words>3166</Words>
  <Characters>3326</Characters>
  <Lines>0</Lines>
  <Paragraphs>0</Paragraphs>
  <TotalTime>14</TotalTime>
  <ScaleCrop>false</ScaleCrop>
  <LinksUpToDate>false</LinksUpToDate>
  <CharactersWithSpaces>3326</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2024-06-21T14:14:00Z</dcterms:created>
  <dc:creator>Administrator.DESKTOP-UHSIIQS</dc:creator>
  <cp:lastModifiedBy>吴中山</cp:lastModifiedBy>
  <dcterms:modified xsi:type="dcterms:W3CDTF">2024-07-06T02:16:16Z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1AAFE937B87E4B27A8F88777705131E6_12</vt:lpwstr>
  </property>
</Properties>
</file>