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70" w:lineRule="auto"/>
        <w:rPr>
          <w:rFonts w:ascii="Arial"/>
          <w:sz w:val="21"/>
        </w:rPr>
      </w:pPr>
    </w:p>
    <w:p>
      <w:pPr>
        <w:spacing w:before="101" w:line="224" w:lineRule="auto"/>
        <w:ind w:left="3150"/>
        <w:outlineLvl w:val="0"/>
        <w:rPr>
          <w:rFonts w:ascii="黑体" w:hAnsi="黑体" w:eastAsia="黑体" w:cs="黑体"/>
          <w:sz w:val="31"/>
          <w:szCs w:val="31"/>
        </w:rPr>
      </w:pPr>
      <w:r>
        <w:rPr>
          <w:rFonts w:hint="eastAsia" w:ascii="黑体" w:hAnsi="黑体" w:eastAsia="黑体" w:cs="黑体"/>
          <w:spacing w:val="6"/>
          <w:sz w:val="31"/>
          <w:szCs w:val="31"/>
          <w:lang w:val="en-US" w:eastAsia="zh-CN"/>
        </w:rPr>
        <w:t>企业</w:t>
      </w:r>
      <w:r>
        <w:rPr>
          <w:rFonts w:ascii="黑体" w:hAnsi="黑体" w:eastAsia="黑体" w:cs="黑体"/>
          <w:spacing w:val="6"/>
          <w:sz w:val="31"/>
          <w:szCs w:val="31"/>
        </w:rPr>
        <w:t>内部控制教学大纲</w:t>
      </w:r>
    </w:p>
    <w:p>
      <w:pPr>
        <w:spacing w:before="166"/>
      </w:pPr>
    </w:p>
    <w:tbl>
      <w:tblPr>
        <w:tblStyle w:val="7"/>
        <w:tblW w:w="8974" w:type="dxa"/>
        <w:tblInd w:w="7"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1581"/>
        <w:gridCol w:w="7393"/>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73" w:hRule="atLeast"/>
        </w:trPr>
        <w:tc>
          <w:tcPr>
            <w:tcW w:w="1581" w:type="dxa"/>
            <w:vMerge w:val="restart"/>
            <w:tcBorders>
              <w:bottom w:val="nil"/>
            </w:tcBorders>
            <w:vAlign w:val="top"/>
          </w:tcPr>
          <w:p>
            <w:pPr>
              <w:pStyle w:val="8"/>
              <w:spacing w:before="269" w:line="221" w:lineRule="auto"/>
              <w:ind w:left="366"/>
            </w:pPr>
            <w:r>
              <w:rPr>
                <w:b/>
                <w:bCs/>
                <w:spacing w:val="-3"/>
              </w:rPr>
              <w:t>课程名称</w:t>
            </w:r>
          </w:p>
        </w:tc>
        <w:tc>
          <w:tcPr>
            <w:tcW w:w="7393" w:type="dxa"/>
            <w:vAlign w:val="top"/>
          </w:tcPr>
          <w:p>
            <w:pPr>
              <w:pStyle w:val="8"/>
              <w:spacing w:before="79" w:line="221" w:lineRule="auto"/>
              <w:ind w:left="124"/>
              <w:rPr>
                <w:rFonts w:hint="eastAsia" w:eastAsia="宋体"/>
                <w:lang w:eastAsia="zh-CN"/>
              </w:rPr>
            </w:pPr>
            <w:r>
              <w:rPr>
                <w:spacing w:val="-3"/>
              </w:rPr>
              <w:t>中文：</w:t>
            </w:r>
            <w:r>
              <w:rPr>
                <w:rFonts w:hint="eastAsia"/>
                <w:spacing w:val="-3"/>
                <w:lang w:val="en-US" w:eastAsia="zh-CN"/>
              </w:rPr>
              <w:t>企业</w:t>
            </w:r>
            <w:r>
              <w:rPr>
                <w:spacing w:val="-3"/>
              </w:rPr>
              <w:t>内部控制</w:t>
            </w:r>
            <w:r>
              <w:rPr>
                <w:rFonts w:hint="eastAsia"/>
                <w:spacing w:val="-3"/>
                <w:lang w:eastAsia="zh-CN"/>
              </w:rPr>
              <w:t>——基于CRIME理论的*ST宜生财务舞弊课程思政案例分析</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66" w:hRule="atLeast"/>
        </w:trPr>
        <w:tc>
          <w:tcPr>
            <w:tcW w:w="1581" w:type="dxa"/>
            <w:vMerge w:val="continue"/>
            <w:tcBorders>
              <w:top w:val="nil"/>
            </w:tcBorders>
            <w:vAlign w:val="top"/>
          </w:tcPr>
          <w:p>
            <w:pPr>
              <w:rPr>
                <w:rFonts w:ascii="Arial"/>
                <w:sz w:val="21"/>
              </w:rPr>
            </w:pPr>
          </w:p>
        </w:tc>
        <w:tc>
          <w:tcPr>
            <w:tcW w:w="7393" w:type="dxa"/>
            <w:vAlign w:val="top"/>
          </w:tcPr>
          <w:p>
            <w:pPr>
              <w:pStyle w:val="8"/>
              <w:spacing w:before="70" w:line="230" w:lineRule="auto"/>
              <w:ind w:left="105"/>
              <w:rPr>
                <w:rFonts w:ascii="Courier New" w:hAnsi="Courier New" w:eastAsia="Courier New" w:cs="Courier New"/>
              </w:rPr>
            </w:pPr>
            <w:r>
              <w:rPr>
                <w:spacing w:val="-1"/>
              </w:rPr>
              <w:t>英文：</w:t>
            </w:r>
            <w:r>
              <w:rPr>
                <w:rFonts w:hint="eastAsia" w:ascii="Courier New" w:hAnsi="Courier New" w:eastAsia="Courier New" w:cs="Courier New"/>
                <w:spacing w:val="-1"/>
              </w:rPr>
              <w:t xml:space="preserve">Internal Control of Enterprises </w:t>
            </w:r>
            <w:r>
              <w:rPr>
                <w:rFonts w:hint="eastAsia" w:ascii="Courier New" w:hAnsi="Courier New" w:cs="Courier New"/>
                <w:spacing w:val="-1"/>
                <w:lang w:eastAsia="zh-CN"/>
              </w:rPr>
              <w:t>——</w:t>
            </w:r>
            <w:r>
              <w:rPr>
                <w:rFonts w:hint="eastAsia" w:ascii="Courier New" w:hAnsi="Courier New" w:eastAsia="Courier New" w:cs="Courier New"/>
                <w:spacing w:val="-1"/>
              </w:rPr>
              <w:t xml:space="preserve"> Analysis of the Ideological and Political Case of * ST Yisheng Financial Fraud Course Based on CRIME Theory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38" w:hRule="atLeast"/>
        </w:trPr>
        <w:tc>
          <w:tcPr>
            <w:tcW w:w="1581" w:type="dxa"/>
            <w:vAlign w:val="top"/>
          </w:tcPr>
          <w:p>
            <w:pPr>
              <w:pStyle w:val="8"/>
              <w:spacing w:before="109" w:line="221" w:lineRule="auto"/>
              <w:ind w:left="366"/>
            </w:pPr>
            <w:r>
              <w:rPr>
                <w:b/>
                <w:bCs/>
                <w:spacing w:val="-3"/>
              </w:rPr>
              <w:t>授课对象</w:t>
            </w:r>
          </w:p>
        </w:tc>
        <w:tc>
          <w:tcPr>
            <w:tcW w:w="7393" w:type="dxa"/>
            <w:vAlign w:val="top"/>
          </w:tcPr>
          <w:p>
            <w:pPr>
              <w:pStyle w:val="8"/>
              <w:spacing w:before="109" w:line="220" w:lineRule="auto"/>
              <w:ind w:firstLine="206" w:firstLineChars="100"/>
              <w:rPr>
                <w:rFonts w:ascii="Courier New" w:hAnsi="Courier New" w:eastAsia="Courier New" w:cs="Courier New"/>
                <w:sz w:val="21"/>
                <w:szCs w:val="21"/>
              </w:rPr>
            </w:pPr>
            <w:r>
              <w:rPr>
                <w:rFonts w:hint="eastAsia"/>
                <w:spacing w:val="-2"/>
              </w:rPr>
              <w:t>主要面向对财务、会计、审计、金融等领域有浓厚兴趣或专业需求的学生</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367" w:hRule="atLeast"/>
        </w:trPr>
        <w:tc>
          <w:tcPr>
            <w:tcW w:w="1581" w:type="dxa"/>
            <w:vAlign w:val="top"/>
          </w:tcPr>
          <w:p>
            <w:pPr>
              <w:spacing w:line="252" w:lineRule="auto"/>
              <w:rPr>
                <w:rFonts w:ascii="Arial"/>
                <w:sz w:val="21"/>
              </w:rPr>
            </w:pPr>
          </w:p>
          <w:p>
            <w:pPr>
              <w:spacing w:line="252" w:lineRule="auto"/>
              <w:rPr>
                <w:rFonts w:ascii="Arial"/>
                <w:sz w:val="21"/>
              </w:rPr>
            </w:pPr>
          </w:p>
          <w:p>
            <w:pPr>
              <w:pStyle w:val="8"/>
              <w:spacing w:before="69" w:line="221" w:lineRule="auto"/>
              <w:ind w:left="366"/>
              <w:rPr>
                <w:rFonts w:hint="eastAsia" w:eastAsia="宋体"/>
                <w:lang w:eastAsia="zh-CN"/>
              </w:rPr>
            </w:pPr>
            <w:r>
              <w:rPr>
                <w:b/>
                <w:bCs/>
                <w:spacing w:val="-3"/>
              </w:rPr>
              <w:t>课程</w:t>
            </w:r>
            <w:r>
              <w:rPr>
                <w:rFonts w:hint="eastAsia"/>
                <w:b/>
                <w:bCs/>
                <w:spacing w:val="-3"/>
                <w:lang w:val="en-US" w:eastAsia="zh-CN"/>
              </w:rPr>
              <w:t>背景</w:t>
            </w:r>
          </w:p>
        </w:tc>
        <w:tc>
          <w:tcPr>
            <w:tcW w:w="7393" w:type="dxa"/>
            <w:vAlign w:val="top"/>
          </w:tcPr>
          <w:p>
            <w:pPr>
              <w:pStyle w:val="8"/>
              <w:spacing w:before="50" w:line="269" w:lineRule="auto"/>
              <w:ind w:left="105" w:right="97" w:firstLine="388" w:firstLineChars="200"/>
              <w:jc w:val="both"/>
            </w:pPr>
            <w:r>
              <w:rPr>
                <w:rFonts w:hint="eastAsia"/>
                <w:spacing w:val="-8"/>
              </w:rPr>
              <w:t>近年来，上市公司财务舞弊案件频发，不仅严重损害了投资者的利益，也影响了资本市场的健康发展。为了加强对学生财务舞弊识别与防范能力的培养，本课程以CRIME理论为基础，结合ST宜生财务舞弊案例，设计了一门思政案例课程。本课程旨在通过分析ST宜生的舞弊手段、动机和后果，引导学生深入思考财务舞弊对企业、投资者和社会的危害，同时强化学生的法律意识和职业道德观念。</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877" w:hRule="atLeast"/>
        </w:trPr>
        <w:tc>
          <w:tcPr>
            <w:tcW w:w="1581" w:type="dxa"/>
            <w:vAlign w:val="top"/>
          </w:tcPr>
          <w:p>
            <w:pPr>
              <w:pStyle w:val="8"/>
              <w:spacing w:before="69" w:line="221" w:lineRule="auto"/>
              <w:ind w:left="366"/>
              <w:rPr>
                <w:rFonts w:hint="eastAsia"/>
                <w:b/>
                <w:bCs/>
                <w:spacing w:val="-3"/>
              </w:rPr>
            </w:pPr>
          </w:p>
          <w:p>
            <w:pPr>
              <w:pStyle w:val="8"/>
              <w:spacing w:before="69" w:line="221" w:lineRule="auto"/>
              <w:ind w:left="366"/>
              <w:rPr>
                <w:rFonts w:hint="eastAsia"/>
                <w:b/>
                <w:bCs/>
                <w:spacing w:val="-3"/>
              </w:rPr>
            </w:pPr>
          </w:p>
          <w:p>
            <w:pPr>
              <w:pStyle w:val="8"/>
              <w:spacing w:before="69" w:line="221" w:lineRule="auto"/>
              <w:ind w:left="366"/>
              <w:rPr>
                <w:rFonts w:hint="eastAsia"/>
                <w:b/>
                <w:bCs/>
                <w:spacing w:val="-3"/>
              </w:rPr>
            </w:pPr>
          </w:p>
          <w:p>
            <w:pPr>
              <w:pStyle w:val="8"/>
              <w:spacing w:before="69" w:line="221" w:lineRule="auto"/>
              <w:ind w:left="366"/>
              <w:rPr>
                <w:rFonts w:hint="eastAsia"/>
                <w:b/>
                <w:bCs/>
                <w:spacing w:val="-3"/>
              </w:rPr>
            </w:pPr>
          </w:p>
          <w:p>
            <w:pPr>
              <w:pStyle w:val="8"/>
              <w:spacing w:before="69" w:line="221" w:lineRule="auto"/>
              <w:ind w:left="366"/>
              <w:rPr>
                <w:rFonts w:hint="eastAsia"/>
                <w:b/>
                <w:bCs/>
                <w:spacing w:val="-3"/>
              </w:rPr>
            </w:pPr>
          </w:p>
          <w:p>
            <w:pPr>
              <w:pStyle w:val="8"/>
              <w:spacing w:before="69" w:line="221" w:lineRule="auto"/>
              <w:ind w:left="366"/>
              <w:rPr>
                <w:rFonts w:hint="eastAsia"/>
                <w:b/>
                <w:bCs/>
                <w:spacing w:val="-3"/>
              </w:rPr>
            </w:pPr>
          </w:p>
          <w:p>
            <w:pPr>
              <w:pStyle w:val="8"/>
              <w:spacing w:before="69" w:line="221" w:lineRule="auto"/>
              <w:ind w:left="366"/>
              <w:rPr>
                <w:rFonts w:hint="eastAsia"/>
                <w:b/>
                <w:bCs/>
                <w:spacing w:val="-3"/>
              </w:rPr>
            </w:pPr>
          </w:p>
          <w:p>
            <w:pPr>
              <w:pStyle w:val="8"/>
              <w:spacing w:before="69" w:line="221" w:lineRule="auto"/>
              <w:ind w:left="366"/>
              <w:rPr>
                <w:rFonts w:hint="eastAsia"/>
                <w:b/>
                <w:bCs/>
                <w:spacing w:val="-3"/>
              </w:rPr>
            </w:pPr>
          </w:p>
          <w:p>
            <w:pPr>
              <w:pStyle w:val="8"/>
              <w:spacing w:before="69" w:line="221" w:lineRule="auto"/>
              <w:ind w:left="366"/>
              <w:rPr>
                <w:rFonts w:hint="eastAsia"/>
                <w:b/>
                <w:bCs/>
                <w:spacing w:val="-3"/>
              </w:rPr>
            </w:pPr>
          </w:p>
          <w:p>
            <w:pPr>
              <w:pStyle w:val="8"/>
              <w:spacing w:before="69" w:line="221" w:lineRule="auto"/>
              <w:ind w:left="366"/>
              <w:rPr>
                <w:rFonts w:hint="eastAsia"/>
                <w:b/>
                <w:bCs/>
                <w:spacing w:val="-3"/>
              </w:rPr>
            </w:pPr>
          </w:p>
          <w:p>
            <w:pPr>
              <w:pStyle w:val="8"/>
              <w:spacing w:before="69" w:line="221" w:lineRule="auto"/>
              <w:ind w:left="366"/>
              <w:rPr>
                <w:rFonts w:hint="eastAsia"/>
                <w:b/>
                <w:bCs/>
                <w:spacing w:val="-3"/>
              </w:rPr>
            </w:pPr>
          </w:p>
          <w:p>
            <w:pPr>
              <w:pStyle w:val="8"/>
              <w:spacing w:before="69" w:line="221" w:lineRule="auto"/>
              <w:ind w:left="366"/>
              <w:rPr>
                <w:rFonts w:hint="eastAsia"/>
                <w:b/>
                <w:bCs/>
                <w:spacing w:val="-3"/>
              </w:rPr>
            </w:pPr>
          </w:p>
          <w:p>
            <w:pPr>
              <w:pStyle w:val="8"/>
              <w:spacing w:before="69" w:line="221" w:lineRule="auto"/>
              <w:ind w:left="366"/>
              <w:rPr>
                <w:rFonts w:hint="eastAsia"/>
                <w:b/>
                <w:bCs/>
                <w:spacing w:val="-3"/>
              </w:rPr>
            </w:pPr>
          </w:p>
          <w:p>
            <w:pPr>
              <w:pStyle w:val="8"/>
              <w:spacing w:before="69" w:line="221" w:lineRule="auto"/>
              <w:ind w:left="366"/>
              <w:rPr>
                <w:b/>
                <w:bCs/>
                <w:spacing w:val="-3"/>
              </w:rPr>
            </w:pPr>
            <w:r>
              <w:rPr>
                <w:rFonts w:hint="eastAsia"/>
                <w:b/>
                <w:bCs/>
                <w:spacing w:val="-3"/>
              </w:rPr>
              <w:t>课程内容</w:t>
            </w:r>
          </w:p>
        </w:tc>
        <w:tc>
          <w:tcPr>
            <w:tcW w:w="7393" w:type="dxa"/>
            <w:vAlign w:val="top"/>
          </w:tcPr>
          <w:p>
            <w:pPr>
              <w:pStyle w:val="8"/>
              <w:spacing w:before="50" w:line="269" w:lineRule="auto"/>
              <w:ind w:right="97" w:firstLine="388" w:firstLineChars="200"/>
              <w:jc w:val="both"/>
              <w:rPr>
                <w:rFonts w:hint="eastAsia"/>
                <w:spacing w:val="-8"/>
                <w:lang w:val="en-US" w:eastAsia="zh-CN"/>
              </w:rPr>
            </w:pPr>
            <w:r>
              <w:rPr>
                <w:rFonts w:hint="eastAsia"/>
                <w:spacing w:val="-8"/>
                <w:lang w:val="en-US" w:eastAsia="zh-CN"/>
              </w:rPr>
              <w:t>一、引言</w:t>
            </w:r>
          </w:p>
          <w:p>
            <w:pPr>
              <w:pStyle w:val="8"/>
              <w:spacing w:before="50" w:line="269" w:lineRule="auto"/>
              <w:ind w:right="97" w:firstLine="388" w:firstLineChars="200"/>
              <w:jc w:val="both"/>
              <w:rPr>
                <w:rFonts w:hint="eastAsia"/>
                <w:spacing w:val="-8"/>
                <w:lang w:val="en-US" w:eastAsia="zh-CN"/>
              </w:rPr>
            </w:pPr>
            <w:r>
              <w:rPr>
                <w:rFonts w:hint="eastAsia"/>
                <w:spacing w:val="-8"/>
                <w:lang w:val="en-US" w:eastAsia="zh-CN"/>
              </w:rPr>
              <w:t>1.介绍*ST宜生公司背景和基本情况。</w:t>
            </w:r>
            <w:bookmarkStart w:id="0" w:name="_GoBack"/>
            <w:bookmarkEnd w:id="0"/>
          </w:p>
          <w:p>
            <w:pPr>
              <w:pStyle w:val="8"/>
              <w:spacing w:before="50" w:line="269" w:lineRule="auto"/>
              <w:ind w:right="97" w:firstLine="388" w:firstLineChars="200"/>
              <w:jc w:val="both"/>
              <w:rPr>
                <w:rFonts w:hint="eastAsia"/>
                <w:spacing w:val="-8"/>
                <w:lang w:val="en-US" w:eastAsia="zh-CN"/>
              </w:rPr>
            </w:pPr>
            <w:r>
              <w:rPr>
                <w:rFonts w:hint="eastAsia"/>
                <w:spacing w:val="-8"/>
                <w:lang w:val="en-US" w:eastAsia="zh-CN"/>
              </w:rPr>
              <w:t>2.简述近年来上市公司财务舞弊事件的普遍性和危害性。</w:t>
            </w:r>
          </w:p>
          <w:p>
            <w:pPr>
              <w:pStyle w:val="8"/>
              <w:spacing w:before="50" w:line="269" w:lineRule="auto"/>
              <w:ind w:right="97" w:firstLine="388" w:firstLineChars="200"/>
              <w:jc w:val="both"/>
              <w:rPr>
                <w:rFonts w:hint="eastAsia"/>
                <w:spacing w:val="-8"/>
                <w:lang w:val="en-US" w:eastAsia="zh-CN"/>
              </w:rPr>
            </w:pPr>
            <w:r>
              <w:rPr>
                <w:rFonts w:hint="eastAsia"/>
                <w:spacing w:val="-8"/>
                <w:lang w:val="en-US" w:eastAsia="zh-CN"/>
              </w:rPr>
              <w:t>3.引出CRIME理论在财务舞弊识别与防范中的重要性。</w:t>
            </w:r>
          </w:p>
          <w:p>
            <w:pPr>
              <w:pStyle w:val="8"/>
              <w:spacing w:before="50" w:line="269" w:lineRule="auto"/>
              <w:ind w:right="97" w:firstLine="388" w:firstLineChars="200"/>
              <w:jc w:val="both"/>
              <w:rPr>
                <w:rFonts w:hint="eastAsia"/>
                <w:spacing w:val="-8"/>
                <w:lang w:val="en-US" w:eastAsia="zh-CN"/>
              </w:rPr>
            </w:pPr>
          </w:p>
          <w:p>
            <w:pPr>
              <w:pStyle w:val="8"/>
              <w:spacing w:before="50" w:line="269" w:lineRule="auto"/>
              <w:ind w:right="97" w:firstLine="388" w:firstLineChars="200"/>
              <w:jc w:val="both"/>
              <w:rPr>
                <w:rFonts w:hint="eastAsia"/>
                <w:spacing w:val="-8"/>
                <w:lang w:val="en-US" w:eastAsia="zh-CN"/>
              </w:rPr>
            </w:pPr>
            <w:r>
              <w:rPr>
                <w:rFonts w:hint="eastAsia"/>
                <w:spacing w:val="-8"/>
                <w:lang w:val="en-US" w:eastAsia="zh-CN"/>
              </w:rPr>
              <w:t>二、CRIME理论概述</w:t>
            </w:r>
          </w:p>
          <w:p>
            <w:pPr>
              <w:pStyle w:val="8"/>
              <w:spacing w:before="50" w:line="269" w:lineRule="auto"/>
              <w:ind w:right="97" w:firstLine="388" w:firstLineChars="200"/>
              <w:jc w:val="both"/>
              <w:rPr>
                <w:rFonts w:hint="eastAsia"/>
                <w:spacing w:val="-8"/>
                <w:lang w:val="en-US" w:eastAsia="zh-CN"/>
              </w:rPr>
            </w:pPr>
            <w:r>
              <w:rPr>
                <w:rFonts w:hint="eastAsia"/>
                <w:spacing w:val="-8"/>
                <w:lang w:val="en-US" w:eastAsia="zh-CN"/>
              </w:rPr>
              <w:t>1.C（Crime动机）：介绍财务舞弊的动机，如追求个人利益、掩盖经营不善等。</w:t>
            </w:r>
          </w:p>
          <w:p>
            <w:pPr>
              <w:pStyle w:val="8"/>
              <w:spacing w:before="50" w:line="269" w:lineRule="auto"/>
              <w:ind w:right="97" w:firstLine="388" w:firstLineChars="200"/>
              <w:jc w:val="both"/>
              <w:rPr>
                <w:rFonts w:hint="eastAsia"/>
                <w:spacing w:val="-8"/>
                <w:lang w:val="en-US" w:eastAsia="zh-CN"/>
              </w:rPr>
            </w:pPr>
            <w:r>
              <w:rPr>
                <w:rFonts w:hint="eastAsia"/>
                <w:spacing w:val="-8"/>
                <w:lang w:val="en-US" w:eastAsia="zh-CN"/>
              </w:rPr>
              <w:t>2.R（Rationalization借口）：阐述舞弊者为自己行为找借口的心理机制。</w:t>
            </w:r>
          </w:p>
          <w:p>
            <w:pPr>
              <w:pStyle w:val="8"/>
              <w:spacing w:before="50" w:line="269" w:lineRule="auto"/>
              <w:ind w:right="97" w:firstLine="388" w:firstLineChars="200"/>
              <w:jc w:val="both"/>
              <w:rPr>
                <w:rFonts w:hint="eastAsia"/>
                <w:spacing w:val="-8"/>
                <w:lang w:val="en-US" w:eastAsia="zh-CN"/>
              </w:rPr>
            </w:pPr>
            <w:r>
              <w:rPr>
                <w:rFonts w:hint="eastAsia"/>
                <w:spacing w:val="-8"/>
                <w:lang w:val="en-US" w:eastAsia="zh-CN"/>
              </w:rPr>
              <w:t>3.I（Ignorance无知）：分析舞弊者可能存在的对法律法规和职业道德的无知或漠视。</w:t>
            </w:r>
          </w:p>
          <w:p>
            <w:pPr>
              <w:pStyle w:val="8"/>
              <w:spacing w:before="50" w:line="269" w:lineRule="auto"/>
              <w:ind w:right="97" w:firstLine="388" w:firstLineChars="200"/>
              <w:jc w:val="both"/>
              <w:rPr>
                <w:rFonts w:hint="eastAsia"/>
                <w:spacing w:val="-8"/>
                <w:lang w:val="en-US" w:eastAsia="zh-CN"/>
              </w:rPr>
            </w:pPr>
            <w:r>
              <w:rPr>
                <w:rFonts w:hint="eastAsia"/>
                <w:spacing w:val="-8"/>
                <w:lang w:val="en-US" w:eastAsia="zh-CN"/>
              </w:rPr>
              <w:t>4.M（Money动机）：强调财务舞弊的经济动机，如虚增利润、掩盖亏损等。</w:t>
            </w:r>
          </w:p>
          <w:p>
            <w:pPr>
              <w:pStyle w:val="8"/>
              <w:spacing w:before="50" w:line="269" w:lineRule="auto"/>
              <w:ind w:right="97" w:firstLine="388" w:firstLineChars="200"/>
              <w:jc w:val="both"/>
              <w:rPr>
                <w:rFonts w:hint="eastAsia"/>
                <w:spacing w:val="-8"/>
                <w:lang w:val="en-US" w:eastAsia="zh-CN"/>
              </w:rPr>
            </w:pPr>
            <w:r>
              <w:rPr>
                <w:rFonts w:hint="eastAsia"/>
                <w:spacing w:val="-8"/>
                <w:lang w:val="en-US" w:eastAsia="zh-CN"/>
              </w:rPr>
              <w:t>5.E（Exposure机会）：探讨舞弊者实施舞弊行为的机会，如内部控制缺失、监管不到位等。</w:t>
            </w:r>
          </w:p>
          <w:p>
            <w:pPr>
              <w:pStyle w:val="8"/>
              <w:spacing w:before="50" w:line="269" w:lineRule="auto"/>
              <w:ind w:right="97" w:firstLine="388" w:firstLineChars="200"/>
              <w:jc w:val="both"/>
              <w:rPr>
                <w:rFonts w:hint="eastAsia"/>
                <w:spacing w:val="-8"/>
                <w:lang w:val="en-US" w:eastAsia="zh-CN"/>
              </w:rPr>
            </w:pPr>
          </w:p>
          <w:p>
            <w:pPr>
              <w:pStyle w:val="8"/>
              <w:spacing w:before="50" w:line="269" w:lineRule="auto"/>
              <w:ind w:right="97" w:firstLine="388" w:firstLineChars="200"/>
              <w:jc w:val="both"/>
              <w:rPr>
                <w:rFonts w:hint="eastAsia"/>
                <w:spacing w:val="-8"/>
                <w:lang w:val="en-US" w:eastAsia="zh-CN"/>
              </w:rPr>
            </w:pPr>
            <w:r>
              <w:rPr>
                <w:rFonts w:hint="eastAsia"/>
                <w:spacing w:val="-8"/>
                <w:lang w:val="en-US" w:eastAsia="zh-CN"/>
              </w:rPr>
              <w:t>三、*ST宜生财务舞弊案例分析</w:t>
            </w:r>
          </w:p>
          <w:p>
            <w:pPr>
              <w:pStyle w:val="8"/>
              <w:spacing w:before="50" w:line="269" w:lineRule="auto"/>
              <w:ind w:right="97" w:firstLine="388" w:firstLineChars="200"/>
              <w:jc w:val="both"/>
              <w:rPr>
                <w:rFonts w:hint="eastAsia"/>
                <w:spacing w:val="-8"/>
                <w:lang w:val="en-US" w:eastAsia="zh-CN"/>
              </w:rPr>
            </w:pPr>
            <w:r>
              <w:rPr>
                <w:rFonts w:hint="eastAsia"/>
                <w:spacing w:val="-8"/>
                <w:lang w:val="en-US" w:eastAsia="zh-CN"/>
              </w:rPr>
              <w:t>1.舞弊手段与过程</w:t>
            </w:r>
          </w:p>
          <w:p>
            <w:pPr>
              <w:pStyle w:val="8"/>
              <w:spacing w:before="50" w:line="269" w:lineRule="auto"/>
              <w:ind w:right="97" w:firstLine="388" w:firstLineChars="200"/>
              <w:jc w:val="both"/>
              <w:rPr>
                <w:rFonts w:hint="eastAsia"/>
                <w:spacing w:val="-8"/>
                <w:lang w:val="en-US" w:eastAsia="zh-CN"/>
              </w:rPr>
            </w:pPr>
            <w:r>
              <w:rPr>
                <w:rFonts w:hint="eastAsia"/>
                <w:spacing w:val="-8"/>
                <w:lang w:val="en-US" w:eastAsia="zh-CN"/>
              </w:rPr>
              <w:t>（1）虚构销售业务、虚增销售额等方式虚增利润20余亿元。</w:t>
            </w:r>
          </w:p>
          <w:p>
            <w:pPr>
              <w:pStyle w:val="8"/>
              <w:spacing w:before="50" w:line="269" w:lineRule="auto"/>
              <w:ind w:right="97" w:firstLine="388" w:firstLineChars="200"/>
              <w:jc w:val="both"/>
              <w:rPr>
                <w:rFonts w:hint="eastAsia"/>
                <w:spacing w:val="-8"/>
                <w:lang w:val="en-US" w:eastAsia="zh-CN"/>
              </w:rPr>
            </w:pPr>
            <w:r>
              <w:rPr>
                <w:rFonts w:hint="eastAsia"/>
                <w:spacing w:val="-8"/>
                <w:lang w:val="en-US" w:eastAsia="zh-CN"/>
              </w:rPr>
              <w:t>（2）伪造银行单据等方式虚增银行存款80余亿元。</w:t>
            </w:r>
          </w:p>
          <w:p>
            <w:pPr>
              <w:pStyle w:val="8"/>
              <w:spacing w:before="50" w:line="269" w:lineRule="auto"/>
              <w:ind w:right="97" w:firstLine="388" w:firstLineChars="200"/>
              <w:jc w:val="both"/>
              <w:rPr>
                <w:rFonts w:hint="eastAsia"/>
                <w:spacing w:val="-8"/>
                <w:lang w:val="en-US" w:eastAsia="zh-CN"/>
              </w:rPr>
            </w:pPr>
            <w:r>
              <w:rPr>
                <w:rFonts w:hint="eastAsia"/>
                <w:spacing w:val="-8"/>
                <w:lang w:val="en-US" w:eastAsia="zh-CN"/>
              </w:rPr>
              <w:t>（3）未按规定披露与关联方资金往来300余亿元。</w:t>
            </w:r>
          </w:p>
          <w:p>
            <w:pPr>
              <w:pStyle w:val="8"/>
              <w:spacing w:before="50" w:line="269" w:lineRule="auto"/>
              <w:ind w:right="97" w:firstLine="388" w:firstLineChars="200"/>
              <w:jc w:val="both"/>
              <w:rPr>
                <w:rFonts w:hint="eastAsia"/>
                <w:spacing w:val="-8"/>
                <w:lang w:val="en-US" w:eastAsia="zh-CN"/>
              </w:rPr>
            </w:pPr>
            <w:r>
              <w:rPr>
                <w:rFonts w:hint="eastAsia"/>
                <w:spacing w:val="-8"/>
                <w:lang w:val="en-US" w:eastAsia="zh-CN"/>
              </w:rPr>
              <w:t>2.舞弊动机与借口</w:t>
            </w:r>
          </w:p>
          <w:p>
            <w:pPr>
              <w:pStyle w:val="8"/>
              <w:spacing w:before="50" w:line="269" w:lineRule="auto"/>
              <w:ind w:right="97" w:firstLine="388" w:firstLineChars="200"/>
              <w:jc w:val="both"/>
              <w:rPr>
                <w:rFonts w:hint="eastAsia"/>
                <w:spacing w:val="-8"/>
                <w:lang w:val="en-US" w:eastAsia="zh-CN"/>
              </w:rPr>
            </w:pPr>
            <w:r>
              <w:rPr>
                <w:rFonts w:hint="eastAsia"/>
                <w:spacing w:val="-8"/>
                <w:lang w:val="en-US" w:eastAsia="zh-CN"/>
              </w:rPr>
              <w:t>（1）动机：维持股价、获取不正当利益等。</w:t>
            </w:r>
          </w:p>
          <w:p>
            <w:pPr>
              <w:pStyle w:val="8"/>
              <w:spacing w:before="50" w:line="269" w:lineRule="auto"/>
              <w:ind w:right="97" w:firstLine="388" w:firstLineChars="200"/>
              <w:jc w:val="both"/>
              <w:rPr>
                <w:rFonts w:hint="eastAsia"/>
                <w:spacing w:val="-8"/>
                <w:lang w:val="en-US" w:eastAsia="zh-CN"/>
              </w:rPr>
            </w:pPr>
            <w:r>
              <w:rPr>
                <w:rFonts w:hint="eastAsia"/>
                <w:spacing w:val="-8"/>
                <w:lang w:val="en-US" w:eastAsia="zh-CN"/>
              </w:rPr>
              <w:t>（2）借口：市场环境变化、经营策略调整等。</w:t>
            </w:r>
          </w:p>
          <w:p>
            <w:pPr>
              <w:pStyle w:val="8"/>
              <w:spacing w:before="50" w:line="269" w:lineRule="auto"/>
              <w:ind w:right="97" w:firstLine="388" w:firstLineChars="200"/>
              <w:jc w:val="both"/>
              <w:rPr>
                <w:rFonts w:hint="eastAsia"/>
                <w:spacing w:val="-8"/>
                <w:lang w:val="en-US" w:eastAsia="zh-CN"/>
              </w:rPr>
            </w:pPr>
            <w:r>
              <w:rPr>
                <w:rFonts w:hint="eastAsia"/>
                <w:spacing w:val="-8"/>
                <w:lang w:val="en-US" w:eastAsia="zh-CN"/>
              </w:rPr>
              <w:t>3.内部控制与外部监管缺失</w:t>
            </w:r>
          </w:p>
          <w:p>
            <w:pPr>
              <w:pStyle w:val="8"/>
              <w:spacing w:before="50" w:line="269" w:lineRule="auto"/>
              <w:ind w:right="97" w:firstLine="388" w:firstLineChars="200"/>
              <w:jc w:val="both"/>
              <w:rPr>
                <w:rFonts w:hint="eastAsia"/>
                <w:spacing w:val="-8"/>
                <w:lang w:val="en-US" w:eastAsia="zh-CN"/>
              </w:rPr>
            </w:pPr>
            <w:r>
              <w:rPr>
                <w:rFonts w:hint="eastAsia"/>
                <w:spacing w:val="-8"/>
                <w:lang w:val="en-US" w:eastAsia="zh-CN"/>
              </w:rPr>
              <w:t>（1）内部控制：治理结构存在缺陷，如股权过于集中、董事会监督不足等。</w:t>
            </w:r>
          </w:p>
          <w:p>
            <w:pPr>
              <w:pStyle w:val="8"/>
              <w:spacing w:before="50" w:line="269" w:lineRule="auto"/>
              <w:ind w:right="97" w:firstLine="388" w:firstLineChars="200"/>
              <w:jc w:val="both"/>
              <w:rPr>
                <w:rFonts w:hint="eastAsia"/>
                <w:spacing w:val="-8"/>
                <w:lang w:val="en-US" w:eastAsia="zh-CN"/>
              </w:rPr>
            </w:pPr>
            <w:r>
              <w:rPr>
                <w:rFonts w:hint="eastAsia"/>
                <w:spacing w:val="-8"/>
                <w:lang w:val="en-US" w:eastAsia="zh-CN"/>
              </w:rPr>
              <w:t>（2）外部监管：证监会等监管机构的监管力度不够，未能及时发现和制止舞弊行为。</w:t>
            </w:r>
          </w:p>
          <w:p>
            <w:pPr>
              <w:pStyle w:val="8"/>
              <w:spacing w:before="50" w:line="269" w:lineRule="auto"/>
              <w:ind w:right="97" w:firstLine="388" w:firstLineChars="200"/>
              <w:jc w:val="both"/>
              <w:rPr>
                <w:rFonts w:hint="eastAsia"/>
                <w:spacing w:val="-8"/>
                <w:lang w:val="en-US" w:eastAsia="zh-CN"/>
              </w:rPr>
            </w:pPr>
          </w:p>
          <w:p>
            <w:pPr>
              <w:pStyle w:val="8"/>
              <w:spacing w:before="50" w:line="269" w:lineRule="auto"/>
              <w:ind w:right="97" w:firstLine="388" w:firstLineChars="200"/>
              <w:jc w:val="both"/>
              <w:rPr>
                <w:rFonts w:hint="eastAsia"/>
                <w:spacing w:val="-8"/>
                <w:lang w:val="en-US" w:eastAsia="zh-CN"/>
              </w:rPr>
            </w:pPr>
            <w:r>
              <w:rPr>
                <w:rFonts w:hint="eastAsia"/>
                <w:spacing w:val="-8"/>
                <w:lang w:val="en-US" w:eastAsia="zh-CN"/>
              </w:rPr>
              <w:t>四、CRIME理论在*ST宜生案例中的应用</w:t>
            </w:r>
          </w:p>
          <w:p>
            <w:pPr>
              <w:pStyle w:val="8"/>
              <w:spacing w:before="50" w:line="269" w:lineRule="auto"/>
              <w:ind w:right="97" w:firstLine="388" w:firstLineChars="200"/>
              <w:jc w:val="both"/>
              <w:rPr>
                <w:rFonts w:hint="eastAsia"/>
                <w:spacing w:val="-8"/>
                <w:lang w:val="en-US" w:eastAsia="zh-CN"/>
              </w:rPr>
            </w:pPr>
            <w:r>
              <w:rPr>
                <w:rFonts w:hint="eastAsia"/>
                <w:spacing w:val="-8"/>
                <w:lang w:val="en-US" w:eastAsia="zh-CN"/>
              </w:rPr>
              <w:t>1.分析*ST宜生舞弊行为背后的CRIME要素。</w:t>
            </w:r>
          </w:p>
          <w:p>
            <w:pPr>
              <w:pStyle w:val="8"/>
              <w:spacing w:before="50" w:line="269" w:lineRule="auto"/>
              <w:ind w:right="97" w:firstLine="388" w:firstLineChars="200"/>
              <w:jc w:val="both"/>
              <w:rPr>
                <w:rFonts w:hint="eastAsia"/>
                <w:spacing w:val="-8"/>
                <w:lang w:val="en-US" w:eastAsia="zh-CN"/>
              </w:rPr>
            </w:pPr>
            <w:r>
              <w:rPr>
                <w:rFonts w:hint="eastAsia"/>
                <w:spacing w:val="-8"/>
                <w:lang w:val="en-US" w:eastAsia="zh-CN"/>
              </w:rPr>
              <w:t>2.探讨如何通过CRIME理论识别和防范类似财务舞弊行为。</w:t>
            </w:r>
          </w:p>
          <w:p>
            <w:pPr>
              <w:pStyle w:val="8"/>
              <w:spacing w:before="50" w:line="269" w:lineRule="auto"/>
              <w:ind w:right="97" w:firstLine="388" w:firstLineChars="200"/>
              <w:jc w:val="both"/>
              <w:rPr>
                <w:rFonts w:hint="eastAsia"/>
                <w:spacing w:val="-8"/>
                <w:lang w:val="en-US" w:eastAsia="zh-CN"/>
              </w:rPr>
            </w:pPr>
          </w:p>
          <w:p>
            <w:pPr>
              <w:pStyle w:val="8"/>
              <w:spacing w:before="50" w:line="269" w:lineRule="auto"/>
              <w:ind w:right="97" w:firstLine="388" w:firstLineChars="200"/>
              <w:jc w:val="both"/>
              <w:rPr>
                <w:rFonts w:hint="eastAsia"/>
                <w:spacing w:val="-8"/>
                <w:lang w:val="en-US" w:eastAsia="zh-CN"/>
              </w:rPr>
            </w:pPr>
            <w:r>
              <w:rPr>
                <w:rFonts w:hint="eastAsia"/>
                <w:spacing w:val="-8"/>
                <w:lang w:val="en-US" w:eastAsia="zh-CN"/>
              </w:rPr>
              <w:t>五、思政教育与启示</w:t>
            </w:r>
          </w:p>
          <w:p>
            <w:pPr>
              <w:pStyle w:val="8"/>
              <w:spacing w:before="50" w:line="269" w:lineRule="auto"/>
              <w:ind w:right="97" w:firstLine="388" w:firstLineChars="200"/>
              <w:jc w:val="both"/>
              <w:rPr>
                <w:rFonts w:hint="eastAsia"/>
                <w:spacing w:val="-8"/>
                <w:lang w:val="en-US" w:eastAsia="zh-CN"/>
              </w:rPr>
            </w:pPr>
            <w:r>
              <w:rPr>
                <w:rFonts w:hint="eastAsia"/>
                <w:spacing w:val="-8"/>
                <w:lang w:val="en-US" w:eastAsia="zh-CN"/>
              </w:rPr>
              <w:t>1.强调财务舞弊行为的违法性和道德沦丧性。</w:t>
            </w:r>
          </w:p>
          <w:p>
            <w:pPr>
              <w:pStyle w:val="8"/>
              <w:spacing w:before="50" w:line="269" w:lineRule="auto"/>
              <w:ind w:right="97" w:firstLine="388" w:firstLineChars="200"/>
              <w:jc w:val="both"/>
              <w:rPr>
                <w:rFonts w:hint="eastAsia"/>
                <w:spacing w:val="-8"/>
                <w:lang w:val="en-US" w:eastAsia="zh-CN"/>
              </w:rPr>
            </w:pPr>
            <w:r>
              <w:rPr>
                <w:rFonts w:hint="eastAsia"/>
                <w:spacing w:val="-8"/>
                <w:lang w:val="en-US" w:eastAsia="zh-CN"/>
              </w:rPr>
              <w:t>2.引导学生树立正确的价值观和职业道德观念。</w:t>
            </w:r>
          </w:p>
          <w:p>
            <w:pPr>
              <w:pStyle w:val="8"/>
              <w:spacing w:before="50" w:line="269" w:lineRule="auto"/>
              <w:ind w:right="97" w:firstLine="388" w:firstLineChars="200"/>
              <w:jc w:val="both"/>
              <w:rPr>
                <w:rFonts w:hint="eastAsia"/>
                <w:spacing w:val="-8"/>
                <w:lang w:val="en-US" w:eastAsia="zh-CN"/>
              </w:rPr>
            </w:pPr>
            <w:r>
              <w:rPr>
                <w:rFonts w:hint="eastAsia"/>
                <w:spacing w:val="-8"/>
                <w:lang w:val="en-US" w:eastAsia="zh-CN"/>
              </w:rPr>
              <w:t>3.强调企业、投资者和监管机构在防范财务舞弊中的责任和作用。</w:t>
            </w:r>
          </w:p>
          <w:p>
            <w:pPr>
              <w:pStyle w:val="8"/>
              <w:spacing w:before="50" w:line="269" w:lineRule="auto"/>
              <w:ind w:right="97" w:firstLine="388" w:firstLineChars="200"/>
              <w:jc w:val="both"/>
              <w:rPr>
                <w:rFonts w:hint="eastAsia"/>
                <w:spacing w:val="-8"/>
                <w:lang w:val="en-US" w:eastAsia="zh-CN"/>
              </w:rPr>
            </w:pPr>
          </w:p>
          <w:p>
            <w:pPr>
              <w:pStyle w:val="8"/>
              <w:spacing w:before="50" w:line="269" w:lineRule="auto"/>
              <w:ind w:right="97" w:firstLine="388" w:firstLineChars="200"/>
              <w:jc w:val="both"/>
              <w:rPr>
                <w:rFonts w:hint="eastAsia"/>
                <w:spacing w:val="-8"/>
                <w:lang w:val="en-US" w:eastAsia="zh-CN"/>
              </w:rPr>
            </w:pPr>
            <w:r>
              <w:rPr>
                <w:rFonts w:hint="eastAsia"/>
                <w:spacing w:val="-8"/>
                <w:lang w:val="en-US" w:eastAsia="zh-CN"/>
              </w:rPr>
              <w:t>六、总结与讨论</w:t>
            </w:r>
          </w:p>
          <w:p>
            <w:pPr>
              <w:pStyle w:val="8"/>
              <w:spacing w:before="50" w:line="269" w:lineRule="auto"/>
              <w:ind w:right="97" w:firstLine="388" w:firstLineChars="200"/>
              <w:jc w:val="both"/>
              <w:rPr>
                <w:rFonts w:hint="eastAsia"/>
                <w:spacing w:val="-8"/>
                <w:lang w:val="en-US" w:eastAsia="zh-CN"/>
              </w:rPr>
            </w:pPr>
            <w:r>
              <w:rPr>
                <w:rFonts w:hint="eastAsia"/>
                <w:spacing w:val="-8"/>
                <w:lang w:val="en-US" w:eastAsia="zh-CN"/>
              </w:rPr>
              <w:t>1.总结*ST宜生财务舞弊案例的教训和启示。</w:t>
            </w:r>
          </w:p>
          <w:p>
            <w:pPr>
              <w:pStyle w:val="8"/>
              <w:spacing w:before="50" w:line="269" w:lineRule="auto"/>
              <w:ind w:right="97" w:firstLine="388" w:firstLineChars="200"/>
              <w:jc w:val="both"/>
              <w:rPr>
                <w:spacing w:val="-8"/>
              </w:rPr>
            </w:pPr>
            <w:r>
              <w:rPr>
                <w:rFonts w:hint="eastAsia"/>
                <w:spacing w:val="-8"/>
                <w:lang w:val="en-US" w:eastAsia="zh-CN"/>
              </w:rPr>
              <w:t>2.鼓励学生就财务舞弊问题展开讨论，提出自己的看法和建议。</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27" w:hRule="atLeast"/>
        </w:trPr>
        <w:tc>
          <w:tcPr>
            <w:tcW w:w="1581" w:type="dxa"/>
            <w:vAlign w:val="top"/>
          </w:tcPr>
          <w:p>
            <w:pPr>
              <w:pStyle w:val="8"/>
              <w:spacing w:before="205" w:line="221" w:lineRule="auto"/>
              <w:ind w:left="371"/>
            </w:pPr>
            <w:r>
              <w:rPr>
                <w:b/>
                <w:bCs/>
                <w:spacing w:val="-4"/>
              </w:rPr>
              <w:t>先修课程</w:t>
            </w:r>
          </w:p>
        </w:tc>
        <w:tc>
          <w:tcPr>
            <w:tcW w:w="7393" w:type="dxa"/>
            <w:vAlign w:val="top"/>
          </w:tcPr>
          <w:p>
            <w:pPr>
              <w:pStyle w:val="8"/>
              <w:spacing w:before="50" w:line="221" w:lineRule="auto"/>
              <w:ind w:left="211"/>
            </w:pPr>
            <w:r>
              <w:rPr>
                <w:rFonts w:hint="eastAsia"/>
                <w:spacing w:val="-8"/>
                <w:lang w:eastAsia="zh-CN"/>
              </w:rPr>
              <w:t>ST宜生财务舞弊课程的先修课程应涵盖财务报表分析、审计学原理、内部控制与风险管理以及公司法与证券法等方面。这些课程将为学生提供必要的基础知识和技能，帮助他们更好地理解和分析ST宜生财务舞弊案例。</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723" w:hRule="atLeast"/>
        </w:trPr>
        <w:tc>
          <w:tcPr>
            <w:tcW w:w="1581" w:type="dxa"/>
            <w:vAlign w:val="top"/>
          </w:tcPr>
          <w:p>
            <w:pPr>
              <w:spacing w:line="244" w:lineRule="auto"/>
              <w:rPr>
                <w:rFonts w:ascii="Arial"/>
                <w:sz w:val="21"/>
              </w:rPr>
            </w:pPr>
          </w:p>
          <w:p>
            <w:pPr>
              <w:spacing w:line="244" w:lineRule="auto"/>
              <w:rPr>
                <w:rFonts w:ascii="Arial"/>
                <w:sz w:val="21"/>
              </w:rPr>
            </w:pPr>
          </w:p>
          <w:p>
            <w:pPr>
              <w:spacing w:line="244" w:lineRule="auto"/>
              <w:rPr>
                <w:rFonts w:ascii="Arial"/>
                <w:sz w:val="21"/>
              </w:rPr>
            </w:pPr>
          </w:p>
          <w:p>
            <w:pPr>
              <w:spacing w:line="244" w:lineRule="auto"/>
              <w:rPr>
                <w:rFonts w:ascii="Arial"/>
                <w:sz w:val="21"/>
              </w:rPr>
            </w:pPr>
          </w:p>
          <w:p>
            <w:pPr>
              <w:spacing w:line="244" w:lineRule="auto"/>
              <w:rPr>
                <w:rFonts w:ascii="Arial"/>
                <w:sz w:val="21"/>
              </w:rPr>
            </w:pPr>
          </w:p>
          <w:p>
            <w:pPr>
              <w:spacing w:line="244" w:lineRule="auto"/>
              <w:rPr>
                <w:rFonts w:ascii="Arial"/>
                <w:sz w:val="21"/>
              </w:rPr>
            </w:pPr>
          </w:p>
          <w:p>
            <w:pPr>
              <w:spacing w:line="244" w:lineRule="auto"/>
              <w:rPr>
                <w:rFonts w:ascii="Arial"/>
                <w:sz w:val="21"/>
              </w:rPr>
            </w:pPr>
          </w:p>
          <w:p>
            <w:pPr>
              <w:spacing w:line="244" w:lineRule="auto"/>
              <w:rPr>
                <w:rFonts w:ascii="Arial"/>
                <w:sz w:val="21"/>
              </w:rPr>
            </w:pPr>
          </w:p>
          <w:p>
            <w:pPr>
              <w:spacing w:line="244" w:lineRule="auto"/>
              <w:rPr>
                <w:rFonts w:ascii="Arial"/>
                <w:sz w:val="21"/>
              </w:rPr>
            </w:pPr>
          </w:p>
          <w:p>
            <w:pPr>
              <w:spacing w:line="244" w:lineRule="auto"/>
              <w:rPr>
                <w:rFonts w:ascii="Arial"/>
                <w:sz w:val="21"/>
              </w:rPr>
            </w:pPr>
          </w:p>
          <w:p>
            <w:pPr>
              <w:spacing w:line="244" w:lineRule="auto"/>
              <w:rPr>
                <w:rFonts w:ascii="Arial"/>
                <w:sz w:val="21"/>
              </w:rPr>
            </w:pPr>
          </w:p>
          <w:p>
            <w:pPr>
              <w:spacing w:line="244" w:lineRule="auto"/>
              <w:rPr>
                <w:rFonts w:ascii="Arial"/>
                <w:sz w:val="21"/>
              </w:rPr>
            </w:pPr>
          </w:p>
          <w:p>
            <w:pPr>
              <w:spacing w:line="244" w:lineRule="auto"/>
              <w:rPr>
                <w:rFonts w:ascii="Arial"/>
                <w:sz w:val="21"/>
              </w:rPr>
            </w:pPr>
          </w:p>
          <w:p>
            <w:pPr>
              <w:spacing w:line="244" w:lineRule="auto"/>
              <w:rPr>
                <w:rFonts w:ascii="Arial"/>
                <w:sz w:val="21"/>
              </w:rPr>
            </w:pPr>
          </w:p>
          <w:p>
            <w:pPr>
              <w:spacing w:line="244" w:lineRule="auto"/>
              <w:rPr>
                <w:rFonts w:ascii="Arial"/>
                <w:sz w:val="21"/>
              </w:rPr>
            </w:pPr>
          </w:p>
          <w:p>
            <w:pPr>
              <w:spacing w:line="244" w:lineRule="auto"/>
              <w:rPr>
                <w:rFonts w:ascii="Arial"/>
                <w:sz w:val="21"/>
              </w:rPr>
            </w:pPr>
          </w:p>
          <w:p>
            <w:pPr>
              <w:spacing w:line="244" w:lineRule="auto"/>
              <w:rPr>
                <w:rFonts w:ascii="Arial"/>
                <w:sz w:val="21"/>
              </w:rPr>
            </w:pPr>
          </w:p>
          <w:p>
            <w:pPr>
              <w:spacing w:line="244" w:lineRule="auto"/>
              <w:rPr>
                <w:rFonts w:ascii="Arial"/>
                <w:sz w:val="21"/>
              </w:rPr>
            </w:pPr>
          </w:p>
          <w:p>
            <w:pPr>
              <w:spacing w:line="244" w:lineRule="auto"/>
              <w:rPr>
                <w:rFonts w:ascii="Arial"/>
                <w:sz w:val="21"/>
              </w:rPr>
            </w:pPr>
          </w:p>
          <w:p>
            <w:pPr>
              <w:spacing w:line="245" w:lineRule="auto"/>
              <w:rPr>
                <w:rFonts w:ascii="Arial"/>
                <w:sz w:val="21"/>
              </w:rPr>
            </w:pPr>
          </w:p>
          <w:p>
            <w:pPr>
              <w:pStyle w:val="8"/>
              <w:spacing w:before="69" w:line="221" w:lineRule="auto"/>
              <w:ind w:left="366"/>
            </w:pPr>
            <w:r>
              <w:rPr>
                <w:b/>
                <w:bCs/>
                <w:spacing w:val="-3"/>
              </w:rPr>
              <w:t>课程目标</w:t>
            </w:r>
          </w:p>
        </w:tc>
        <w:tc>
          <w:tcPr>
            <w:tcW w:w="7393" w:type="dxa"/>
            <w:vAlign w:val="top"/>
          </w:tcPr>
          <w:p>
            <w:pPr>
              <w:pStyle w:val="8"/>
              <w:spacing w:before="50" w:line="269" w:lineRule="auto"/>
              <w:ind w:right="97" w:firstLine="420" w:firstLineChars="200"/>
              <w:jc w:val="both"/>
              <w:rPr>
                <w:rFonts w:hint="eastAsia"/>
              </w:rPr>
            </w:pPr>
            <w:r>
              <w:rPr>
                <w:rFonts w:hint="eastAsia"/>
                <w:lang w:val="en-US" w:eastAsia="zh-CN"/>
              </w:rPr>
              <w:t>一、</w:t>
            </w:r>
            <w:r>
              <w:rPr>
                <w:rFonts w:hint="eastAsia"/>
              </w:rPr>
              <w:t>理论理解与应用</w:t>
            </w:r>
          </w:p>
          <w:p>
            <w:pPr>
              <w:pStyle w:val="8"/>
              <w:spacing w:before="50" w:line="269" w:lineRule="auto"/>
              <w:ind w:right="97" w:firstLine="420" w:firstLineChars="200"/>
              <w:jc w:val="both"/>
              <w:rPr>
                <w:rFonts w:hint="eastAsia"/>
              </w:rPr>
            </w:pPr>
            <w:r>
              <w:rPr>
                <w:rFonts w:hint="eastAsia"/>
                <w:lang w:val="en-US" w:eastAsia="zh-CN"/>
              </w:rPr>
              <w:t>1.</w:t>
            </w:r>
            <w:r>
              <w:rPr>
                <w:rFonts w:hint="eastAsia"/>
              </w:rPr>
              <w:t>学生将深入理解CRIME理论，包括其五个核心要素（Crime动机、Rationalization借口、Ignorance无知、Money动机、Exposure机会）在财务舞弊案例中的应用。</w:t>
            </w:r>
          </w:p>
          <w:p>
            <w:pPr>
              <w:pStyle w:val="8"/>
              <w:spacing w:before="50" w:line="269" w:lineRule="auto"/>
              <w:ind w:right="97" w:firstLine="420" w:firstLineChars="200"/>
              <w:jc w:val="both"/>
              <w:rPr>
                <w:rFonts w:hint="eastAsia"/>
              </w:rPr>
            </w:pPr>
            <w:r>
              <w:rPr>
                <w:rFonts w:hint="eastAsia"/>
                <w:lang w:val="en-US" w:eastAsia="zh-CN"/>
              </w:rPr>
              <w:t>2.</w:t>
            </w:r>
            <w:r>
              <w:rPr>
                <w:rFonts w:hint="eastAsia"/>
              </w:rPr>
              <w:t>学生能够运用CRIME理论框架，分析*ST宜生财务舞弊案例的动机、手段、机会等关键因素。</w:t>
            </w:r>
          </w:p>
          <w:p>
            <w:pPr>
              <w:pStyle w:val="8"/>
              <w:spacing w:before="50" w:line="269" w:lineRule="auto"/>
              <w:ind w:left="105" w:right="97" w:firstLine="420" w:firstLineChars="200"/>
              <w:jc w:val="both"/>
              <w:rPr>
                <w:rFonts w:hint="eastAsia"/>
              </w:rPr>
            </w:pPr>
          </w:p>
          <w:p>
            <w:pPr>
              <w:pStyle w:val="8"/>
              <w:spacing w:before="50" w:line="269" w:lineRule="auto"/>
              <w:ind w:right="97" w:firstLine="420" w:firstLineChars="200"/>
              <w:jc w:val="both"/>
              <w:rPr>
                <w:rFonts w:hint="eastAsia"/>
              </w:rPr>
            </w:pPr>
            <w:r>
              <w:rPr>
                <w:rFonts w:hint="eastAsia"/>
                <w:lang w:val="en-US" w:eastAsia="zh-CN"/>
              </w:rPr>
              <w:t>二、</w:t>
            </w:r>
            <w:r>
              <w:rPr>
                <w:rFonts w:hint="eastAsia"/>
              </w:rPr>
              <w:t>案例分析与实践</w:t>
            </w:r>
          </w:p>
          <w:p>
            <w:pPr>
              <w:pStyle w:val="8"/>
              <w:spacing w:before="50" w:line="269" w:lineRule="auto"/>
              <w:ind w:right="97" w:firstLine="420" w:firstLineChars="200"/>
              <w:jc w:val="both"/>
              <w:rPr>
                <w:rFonts w:hint="eastAsia"/>
              </w:rPr>
            </w:pPr>
            <w:r>
              <w:rPr>
                <w:rFonts w:hint="eastAsia"/>
                <w:lang w:val="en-US" w:eastAsia="zh-CN"/>
              </w:rPr>
              <w:t>1.</w:t>
            </w:r>
            <w:r>
              <w:rPr>
                <w:rFonts w:hint="eastAsia"/>
              </w:rPr>
              <w:t>学生将详细研究*ST宜生财务舞弊案例，包括其舞弊手段、金额、时间线等具体细节。</w:t>
            </w:r>
          </w:p>
          <w:p>
            <w:pPr>
              <w:pStyle w:val="8"/>
              <w:spacing w:before="50" w:line="269" w:lineRule="auto"/>
              <w:ind w:right="97" w:firstLine="420" w:firstLineChars="200"/>
              <w:jc w:val="both"/>
              <w:rPr>
                <w:rFonts w:hint="eastAsia"/>
              </w:rPr>
            </w:pPr>
            <w:r>
              <w:rPr>
                <w:rFonts w:hint="eastAsia"/>
                <w:lang w:val="en-US" w:eastAsia="zh-CN"/>
              </w:rPr>
              <w:t>2.</w:t>
            </w:r>
            <w:r>
              <w:rPr>
                <w:rFonts w:hint="eastAsia"/>
              </w:rPr>
              <w:t>学生将通过分析*ST宜生案例，掌握如何识别类似财务舞弊行为的技巧和方法。</w:t>
            </w:r>
          </w:p>
          <w:p>
            <w:pPr>
              <w:pStyle w:val="8"/>
              <w:spacing w:before="50" w:line="269" w:lineRule="auto"/>
              <w:ind w:left="105" w:right="97" w:firstLine="420" w:firstLineChars="200"/>
              <w:jc w:val="both"/>
              <w:rPr>
                <w:rFonts w:hint="eastAsia"/>
              </w:rPr>
            </w:pPr>
          </w:p>
          <w:p>
            <w:pPr>
              <w:pStyle w:val="8"/>
              <w:spacing w:before="50" w:line="269" w:lineRule="auto"/>
              <w:ind w:right="97" w:firstLine="420" w:firstLineChars="200"/>
              <w:jc w:val="both"/>
              <w:rPr>
                <w:rFonts w:hint="eastAsia"/>
              </w:rPr>
            </w:pPr>
            <w:r>
              <w:rPr>
                <w:rFonts w:hint="eastAsia"/>
                <w:lang w:val="en-US" w:eastAsia="zh-CN"/>
              </w:rPr>
              <w:t>三、</w:t>
            </w:r>
            <w:r>
              <w:rPr>
                <w:rFonts w:hint="eastAsia"/>
              </w:rPr>
              <w:t>思政教育与职业道德</w:t>
            </w:r>
          </w:p>
          <w:p>
            <w:pPr>
              <w:pStyle w:val="8"/>
              <w:spacing w:before="50" w:line="269" w:lineRule="auto"/>
              <w:ind w:right="97" w:firstLine="420" w:firstLineChars="200"/>
              <w:jc w:val="both"/>
              <w:rPr>
                <w:rFonts w:hint="eastAsia"/>
              </w:rPr>
            </w:pPr>
            <w:r>
              <w:rPr>
                <w:rFonts w:hint="eastAsia"/>
                <w:lang w:val="en-US" w:eastAsia="zh-CN"/>
              </w:rPr>
              <w:t>1.</w:t>
            </w:r>
            <w:r>
              <w:rPr>
                <w:rFonts w:hint="eastAsia"/>
              </w:rPr>
              <w:t>学生将认识到财务舞弊的严重性和危害性，增强对职业道德和法律法规的尊重。</w:t>
            </w:r>
          </w:p>
          <w:p>
            <w:pPr>
              <w:pStyle w:val="8"/>
              <w:spacing w:before="50" w:line="269" w:lineRule="auto"/>
              <w:ind w:right="97" w:firstLine="420" w:firstLineChars="200"/>
              <w:jc w:val="both"/>
              <w:rPr>
                <w:rFonts w:hint="eastAsia"/>
              </w:rPr>
            </w:pPr>
            <w:r>
              <w:rPr>
                <w:rFonts w:hint="eastAsia"/>
                <w:lang w:val="en-US" w:eastAsia="zh-CN"/>
              </w:rPr>
              <w:t>2.</w:t>
            </w:r>
            <w:r>
              <w:rPr>
                <w:rFonts w:hint="eastAsia"/>
              </w:rPr>
              <w:t>学生将理解作为未来会计、审计和财务管理人员的责任，即保护投资者权益，维护市场公平和透明。</w:t>
            </w:r>
          </w:p>
          <w:p>
            <w:pPr>
              <w:pStyle w:val="8"/>
              <w:spacing w:before="50" w:line="269" w:lineRule="auto"/>
              <w:ind w:left="105" w:right="97" w:firstLine="420" w:firstLineChars="200"/>
              <w:jc w:val="both"/>
              <w:rPr>
                <w:rFonts w:hint="eastAsia"/>
              </w:rPr>
            </w:pPr>
          </w:p>
          <w:p>
            <w:pPr>
              <w:pStyle w:val="8"/>
              <w:spacing w:before="50" w:line="269" w:lineRule="auto"/>
              <w:ind w:right="97" w:firstLine="420" w:firstLineChars="200"/>
              <w:jc w:val="both"/>
              <w:rPr>
                <w:rFonts w:hint="eastAsia"/>
              </w:rPr>
            </w:pPr>
            <w:r>
              <w:rPr>
                <w:rFonts w:hint="eastAsia"/>
                <w:lang w:val="en-US" w:eastAsia="zh-CN"/>
              </w:rPr>
              <w:t>四、</w:t>
            </w:r>
            <w:r>
              <w:rPr>
                <w:rFonts w:hint="eastAsia"/>
              </w:rPr>
              <w:t>数据解读与财务分析</w:t>
            </w:r>
          </w:p>
          <w:p>
            <w:pPr>
              <w:pStyle w:val="8"/>
              <w:spacing w:before="50" w:line="269" w:lineRule="auto"/>
              <w:ind w:right="97" w:firstLine="420" w:firstLineChars="200"/>
              <w:jc w:val="both"/>
              <w:rPr>
                <w:rFonts w:hint="eastAsia"/>
              </w:rPr>
            </w:pPr>
            <w:r>
              <w:rPr>
                <w:rFonts w:hint="eastAsia"/>
                <w:lang w:val="en-US" w:eastAsia="zh-CN"/>
              </w:rPr>
              <w:t>1.</w:t>
            </w:r>
            <w:r>
              <w:rPr>
                <w:rFonts w:hint="eastAsia"/>
              </w:rPr>
              <w:t>学生将学会解读财务报表和财务数据，以识别潜在的财务舞弊迹象。</w:t>
            </w:r>
          </w:p>
          <w:p>
            <w:pPr>
              <w:pStyle w:val="8"/>
              <w:spacing w:before="50" w:line="269" w:lineRule="auto"/>
              <w:ind w:right="97" w:firstLine="420" w:firstLineChars="200"/>
              <w:jc w:val="both"/>
              <w:rPr>
                <w:rFonts w:hint="eastAsia"/>
              </w:rPr>
            </w:pPr>
            <w:r>
              <w:rPr>
                <w:rFonts w:hint="eastAsia"/>
                <w:lang w:val="en-US" w:eastAsia="zh-CN"/>
              </w:rPr>
              <w:t>2.</w:t>
            </w:r>
            <w:r>
              <w:rPr>
                <w:rFonts w:hint="eastAsia"/>
              </w:rPr>
              <w:t>学生将利用*ST宜生案例中的财务数据（如虚增利润20亿、银行存款80亿等），进行财务分析，增强实践能力。</w:t>
            </w:r>
          </w:p>
          <w:p>
            <w:pPr>
              <w:pStyle w:val="8"/>
              <w:spacing w:before="50" w:line="269" w:lineRule="auto"/>
              <w:ind w:left="105" w:right="97" w:firstLine="420" w:firstLineChars="200"/>
              <w:jc w:val="both"/>
              <w:rPr>
                <w:rFonts w:hint="eastAsia"/>
              </w:rPr>
            </w:pPr>
          </w:p>
          <w:p>
            <w:pPr>
              <w:pStyle w:val="8"/>
              <w:spacing w:before="50" w:line="269" w:lineRule="auto"/>
              <w:ind w:left="105" w:right="97" w:firstLine="420" w:firstLineChars="200"/>
              <w:jc w:val="both"/>
              <w:rPr>
                <w:rFonts w:hint="eastAsia"/>
              </w:rPr>
            </w:pPr>
            <w:r>
              <w:rPr>
                <w:rFonts w:hint="eastAsia"/>
                <w:lang w:val="en-US" w:eastAsia="zh-CN"/>
              </w:rPr>
              <w:t>五、</w:t>
            </w:r>
            <w:r>
              <w:rPr>
                <w:rFonts w:hint="eastAsia"/>
              </w:rPr>
              <w:t>政策与监管理解</w:t>
            </w:r>
          </w:p>
          <w:p>
            <w:pPr>
              <w:pStyle w:val="8"/>
              <w:spacing w:before="50" w:line="269" w:lineRule="auto"/>
              <w:ind w:left="105" w:right="97" w:firstLine="420" w:firstLineChars="200"/>
              <w:jc w:val="both"/>
              <w:rPr>
                <w:rFonts w:hint="eastAsia"/>
              </w:rPr>
            </w:pPr>
            <w:r>
              <w:rPr>
                <w:rFonts w:hint="eastAsia"/>
                <w:lang w:val="en-US" w:eastAsia="zh-CN"/>
              </w:rPr>
              <w:t>1.</w:t>
            </w:r>
            <w:r>
              <w:rPr>
                <w:rFonts w:hint="eastAsia"/>
              </w:rPr>
              <w:t>学生将了解证监会等监管机构在打击财务舞弊方面的政策、措施和效果。</w:t>
            </w:r>
          </w:p>
          <w:p>
            <w:pPr>
              <w:pStyle w:val="8"/>
              <w:spacing w:before="50" w:line="269" w:lineRule="auto"/>
              <w:ind w:left="105" w:right="97" w:firstLine="420" w:firstLineChars="200"/>
              <w:jc w:val="both"/>
              <w:rPr>
                <w:rFonts w:hint="eastAsia"/>
              </w:rPr>
            </w:pPr>
            <w:r>
              <w:rPr>
                <w:rFonts w:hint="eastAsia"/>
                <w:lang w:val="en-US" w:eastAsia="zh-CN"/>
              </w:rPr>
              <w:t>2.</w:t>
            </w:r>
            <w:r>
              <w:rPr>
                <w:rFonts w:hint="eastAsia"/>
              </w:rPr>
              <w:t>学生将认识到加强监管、完善制度对于防止财务舞弊的重要性。</w:t>
            </w:r>
          </w:p>
          <w:p>
            <w:pPr>
              <w:pStyle w:val="8"/>
              <w:spacing w:before="50" w:line="269" w:lineRule="auto"/>
              <w:ind w:left="105" w:right="97" w:firstLine="420" w:firstLineChars="200"/>
              <w:jc w:val="both"/>
              <w:rPr>
                <w:rFonts w:hint="eastAsia"/>
              </w:rPr>
            </w:pPr>
          </w:p>
          <w:p>
            <w:pPr>
              <w:pStyle w:val="8"/>
              <w:spacing w:before="50" w:line="269" w:lineRule="auto"/>
              <w:ind w:left="105" w:right="97" w:firstLine="420" w:firstLineChars="200"/>
              <w:jc w:val="both"/>
              <w:rPr>
                <w:rFonts w:hint="eastAsia"/>
              </w:rPr>
            </w:pPr>
            <w:r>
              <w:rPr>
                <w:rFonts w:hint="eastAsia"/>
                <w:lang w:val="en-US" w:eastAsia="zh-CN"/>
              </w:rPr>
              <w:t>六、</w:t>
            </w:r>
            <w:r>
              <w:rPr>
                <w:rFonts w:hint="eastAsia"/>
              </w:rPr>
              <w:t>批判性思维与问题解决</w:t>
            </w:r>
          </w:p>
          <w:p>
            <w:pPr>
              <w:pStyle w:val="8"/>
              <w:spacing w:before="50" w:line="269" w:lineRule="auto"/>
              <w:ind w:left="105" w:right="97" w:firstLine="420" w:firstLineChars="200"/>
              <w:jc w:val="both"/>
              <w:rPr>
                <w:rFonts w:hint="eastAsia"/>
              </w:rPr>
            </w:pPr>
            <w:r>
              <w:rPr>
                <w:rFonts w:hint="eastAsia"/>
                <w:lang w:val="en-US" w:eastAsia="zh-CN"/>
              </w:rPr>
              <w:t>1.</w:t>
            </w:r>
            <w:r>
              <w:rPr>
                <w:rFonts w:hint="eastAsia"/>
              </w:rPr>
              <w:t>学生将培养批判性思维能力，对*ST宜生案例进行独立分析和评价。</w:t>
            </w:r>
          </w:p>
          <w:p>
            <w:pPr>
              <w:pStyle w:val="8"/>
              <w:spacing w:before="50" w:line="269" w:lineRule="auto"/>
              <w:ind w:left="105" w:right="97" w:firstLine="420" w:firstLineChars="200"/>
              <w:jc w:val="both"/>
              <w:rPr>
                <w:rFonts w:hint="eastAsia"/>
              </w:rPr>
            </w:pPr>
            <w:r>
              <w:rPr>
                <w:rFonts w:hint="eastAsia"/>
                <w:lang w:val="en-US" w:eastAsia="zh-CN"/>
              </w:rPr>
              <w:t>2.</w:t>
            </w:r>
            <w:r>
              <w:rPr>
                <w:rFonts w:hint="eastAsia"/>
              </w:rPr>
              <w:t>学生将学会运用所学知识，提出解决财务舞弊问题的策略和建议。</w:t>
            </w:r>
          </w:p>
          <w:p>
            <w:pPr>
              <w:pStyle w:val="8"/>
              <w:spacing w:before="50" w:line="269" w:lineRule="auto"/>
              <w:ind w:left="105" w:right="97" w:firstLine="420" w:firstLineChars="200"/>
              <w:jc w:val="both"/>
              <w:rPr>
                <w:rFonts w:hint="eastAsia"/>
              </w:rPr>
            </w:pPr>
          </w:p>
          <w:p>
            <w:pPr>
              <w:pStyle w:val="8"/>
              <w:spacing w:before="50" w:line="269" w:lineRule="auto"/>
              <w:ind w:left="105" w:right="97" w:firstLine="420" w:firstLineChars="200"/>
              <w:jc w:val="both"/>
              <w:rPr>
                <w:rFonts w:hint="eastAsia"/>
              </w:rPr>
            </w:pPr>
            <w:r>
              <w:rPr>
                <w:rFonts w:hint="eastAsia"/>
                <w:lang w:val="en-US" w:eastAsia="zh-CN"/>
              </w:rPr>
              <w:t>七、</w:t>
            </w:r>
            <w:r>
              <w:rPr>
                <w:rFonts w:hint="eastAsia"/>
              </w:rPr>
              <w:t>社会责任与公众利益</w:t>
            </w:r>
          </w:p>
          <w:p>
            <w:pPr>
              <w:pStyle w:val="8"/>
              <w:spacing w:before="50" w:line="269" w:lineRule="auto"/>
              <w:ind w:left="105" w:right="97" w:firstLine="420" w:firstLineChars="200"/>
              <w:jc w:val="both"/>
              <w:rPr>
                <w:rFonts w:hint="eastAsia"/>
              </w:rPr>
            </w:pPr>
            <w:r>
              <w:rPr>
                <w:rFonts w:hint="eastAsia"/>
                <w:lang w:val="en-US" w:eastAsia="zh-CN"/>
              </w:rPr>
              <w:t>1.</w:t>
            </w:r>
            <w:r>
              <w:rPr>
                <w:rFonts w:hint="eastAsia"/>
              </w:rPr>
              <w:t>学生将认识到作为财务专业人员，在维护公众利益、保护投资者权益方面的社会责任。</w:t>
            </w:r>
          </w:p>
          <w:p>
            <w:pPr>
              <w:pStyle w:val="8"/>
              <w:spacing w:before="50" w:line="269" w:lineRule="auto"/>
              <w:ind w:left="105" w:right="97" w:firstLine="420" w:firstLineChars="200"/>
              <w:jc w:val="both"/>
              <w:rPr>
                <w:rFonts w:hint="eastAsia"/>
              </w:rPr>
            </w:pPr>
            <w:r>
              <w:rPr>
                <w:rFonts w:hint="eastAsia"/>
                <w:lang w:val="en-US" w:eastAsia="zh-CN"/>
              </w:rPr>
              <w:t>2.</w:t>
            </w:r>
            <w:r>
              <w:rPr>
                <w:rFonts w:hint="eastAsia"/>
              </w:rPr>
              <w:t>学生将理解诚信、透明和合规在财务管理中的重要性，并致力于在实际工作中践行这些价值观。</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253" w:hRule="atLeast"/>
        </w:trPr>
        <w:tc>
          <w:tcPr>
            <w:tcW w:w="1581" w:type="dxa"/>
            <w:vAlign w:val="top"/>
          </w:tcPr>
          <w:p>
            <w:pPr>
              <w:spacing w:line="303" w:lineRule="auto"/>
              <w:rPr>
                <w:rFonts w:ascii="Arial"/>
                <w:sz w:val="21"/>
              </w:rPr>
            </w:pPr>
          </w:p>
          <w:p>
            <w:pPr>
              <w:pStyle w:val="8"/>
              <w:spacing w:before="68" w:line="221" w:lineRule="auto"/>
              <w:ind w:firstLine="205" w:firstLineChars="100"/>
              <w:rPr>
                <w:b/>
                <w:bCs/>
                <w:spacing w:val="-3"/>
              </w:rPr>
            </w:pPr>
          </w:p>
          <w:p>
            <w:pPr>
              <w:pStyle w:val="8"/>
              <w:spacing w:before="68" w:line="221" w:lineRule="auto"/>
              <w:ind w:firstLine="205" w:firstLineChars="100"/>
              <w:rPr>
                <w:b/>
                <w:bCs/>
                <w:spacing w:val="-3"/>
              </w:rPr>
            </w:pPr>
          </w:p>
          <w:p>
            <w:pPr>
              <w:pStyle w:val="8"/>
              <w:spacing w:before="68" w:line="221" w:lineRule="auto"/>
              <w:ind w:firstLine="205" w:firstLineChars="100"/>
              <w:rPr>
                <w:b/>
                <w:bCs/>
                <w:spacing w:val="-3"/>
              </w:rPr>
            </w:pPr>
          </w:p>
          <w:p>
            <w:pPr>
              <w:pStyle w:val="8"/>
              <w:spacing w:before="68" w:line="221" w:lineRule="auto"/>
              <w:ind w:firstLine="205" w:firstLineChars="100"/>
              <w:rPr>
                <w:b/>
                <w:bCs/>
                <w:spacing w:val="-3"/>
              </w:rPr>
            </w:pPr>
          </w:p>
          <w:p>
            <w:pPr>
              <w:pStyle w:val="8"/>
              <w:spacing w:before="68" w:line="221" w:lineRule="auto"/>
              <w:ind w:firstLine="205" w:firstLineChars="100"/>
              <w:rPr>
                <w:b/>
                <w:bCs/>
                <w:spacing w:val="-3"/>
              </w:rPr>
            </w:pPr>
          </w:p>
          <w:p>
            <w:pPr>
              <w:pStyle w:val="8"/>
              <w:spacing w:before="68" w:line="221" w:lineRule="auto"/>
              <w:ind w:firstLine="205" w:firstLineChars="100"/>
              <w:rPr>
                <w:b/>
                <w:bCs/>
                <w:spacing w:val="-3"/>
              </w:rPr>
            </w:pPr>
          </w:p>
          <w:p>
            <w:pPr>
              <w:pStyle w:val="8"/>
              <w:spacing w:before="68" w:line="221" w:lineRule="auto"/>
              <w:ind w:firstLine="205" w:firstLineChars="100"/>
              <w:rPr>
                <w:b/>
                <w:bCs/>
                <w:spacing w:val="-3"/>
              </w:rPr>
            </w:pPr>
          </w:p>
          <w:p>
            <w:pPr>
              <w:pStyle w:val="8"/>
              <w:spacing w:before="68" w:line="221" w:lineRule="auto"/>
              <w:ind w:firstLine="205" w:firstLineChars="100"/>
              <w:rPr>
                <w:b/>
                <w:bCs/>
                <w:spacing w:val="-3"/>
              </w:rPr>
            </w:pPr>
          </w:p>
          <w:p>
            <w:pPr>
              <w:pStyle w:val="8"/>
              <w:spacing w:before="68" w:line="221" w:lineRule="auto"/>
              <w:ind w:firstLine="205" w:firstLineChars="100"/>
              <w:rPr>
                <w:b/>
                <w:bCs/>
                <w:spacing w:val="-3"/>
              </w:rPr>
            </w:pPr>
          </w:p>
          <w:p>
            <w:pPr>
              <w:pStyle w:val="8"/>
              <w:spacing w:before="68" w:line="221" w:lineRule="auto"/>
              <w:ind w:firstLine="205" w:firstLineChars="100"/>
              <w:rPr>
                <w:b/>
                <w:bCs/>
                <w:spacing w:val="-3"/>
              </w:rPr>
            </w:pPr>
          </w:p>
          <w:p>
            <w:pPr>
              <w:pStyle w:val="8"/>
              <w:spacing w:before="68" w:line="221" w:lineRule="auto"/>
              <w:ind w:firstLine="205" w:firstLineChars="100"/>
              <w:rPr>
                <w:b/>
                <w:bCs/>
                <w:spacing w:val="-3"/>
              </w:rPr>
            </w:pPr>
          </w:p>
          <w:p>
            <w:pPr>
              <w:pStyle w:val="8"/>
              <w:spacing w:before="68" w:line="221" w:lineRule="auto"/>
              <w:ind w:firstLine="205" w:firstLineChars="100"/>
            </w:pPr>
            <w:r>
              <w:rPr>
                <w:b/>
                <w:bCs/>
                <w:spacing w:val="-3"/>
              </w:rPr>
              <w:t>预期学习成果</w:t>
            </w:r>
          </w:p>
        </w:tc>
        <w:tc>
          <w:tcPr>
            <w:tcW w:w="7393" w:type="dxa"/>
            <w:vAlign w:val="top"/>
          </w:tcPr>
          <w:p>
            <w:pPr>
              <w:pStyle w:val="8"/>
              <w:spacing w:before="58" w:line="217" w:lineRule="auto"/>
              <w:ind w:left="115" w:firstLine="408" w:firstLineChars="200"/>
              <w:rPr>
                <w:rFonts w:hint="eastAsia"/>
                <w:spacing w:val="-3"/>
                <w:lang w:val="en-US" w:eastAsia="zh-CN"/>
              </w:rPr>
            </w:pPr>
            <w:r>
              <w:rPr>
                <w:rFonts w:hint="eastAsia"/>
                <w:spacing w:val="-3"/>
                <w:lang w:val="en-US" w:eastAsia="zh-CN"/>
              </w:rPr>
              <w:t>一、理论知识掌握</w:t>
            </w:r>
          </w:p>
          <w:p>
            <w:pPr>
              <w:pStyle w:val="8"/>
              <w:spacing w:before="58" w:line="217" w:lineRule="auto"/>
              <w:ind w:left="115" w:firstLine="408" w:firstLineChars="200"/>
              <w:rPr>
                <w:rFonts w:hint="eastAsia"/>
                <w:spacing w:val="-3"/>
                <w:lang w:val="en-US" w:eastAsia="zh-CN"/>
              </w:rPr>
            </w:pPr>
            <w:r>
              <w:rPr>
                <w:rFonts w:hint="eastAsia"/>
                <w:spacing w:val="-3"/>
                <w:lang w:val="en-US" w:eastAsia="zh-CN"/>
              </w:rPr>
              <w:t>1.学生能够熟练掌握CRIME理论，理解其五个核心要素（Crime动机、Rationalization借口、Ignorance无知、Money动机、Exposure机会）在财务舞弊分析中的应用。</w:t>
            </w:r>
          </w:p>
          <w:p>
            <w:pPr>
              <w:pStyle w:val="8"/>
              <w:spacing w:before="58" w:line="217" w:lineRule="auto"/>
              <w:ind w:left="115" w:firstLine="408" w:firstLineChars="200"/>
              <w:rPr>
                <w:rFonts w:hint="eastAsia"/>
                <w:spacing w:val="-3"/>
                <w:lang w:val="en-US" w:eastAsia="zh-CN"/>
              </w:rPr>
            </w:pPr>
            <w:r>
              <w:rPr>
                <w:rFonts w:hint="eastAsia"/>
                <w:spacing w:val="-3"/>
                <w:lang w:val="en-US" w:eastAsia="zh-CN"/>
              </w:rPr>
              <w:t>2.学生能够深入了解*ST宜生财务舞弊案例的具体背景、过程和结果，形成对财务舞弊现象的全面认识。</w:t>
            </w:r>
          </w:p>
          <w:p>
            <w:pPr>
              <w:pStyle w:val="8"/>
              <w:spacing w:before="58" w:line="217" w:lineRule="auto"/>
              <w:ind w:left="115"/>
              <w:rPr>
                <w:rFonts w:hint="eastAsia"/>
                <w:spacing w:val="-3"/>
                <w:lang w:val="en-US" w:eastAsia="zh-CN"/>
              </w:rPr>
            </w:pPr>
          </w:p>
          <w:p>
            <w:pPr>
              <w:pStyle w:val="8"/>
              <w:spacing w:before="58" w:line="217" w:lineRule="auto"/>
              <w:ind w:left="115" w:firstLine="408" w:firstLineChars="200"/>
              <w:rPr>
                <w:rFonts w:hint="eastAsia"/>
                <w:spacing w:val="-3"/>
                <w:lang w:val="en-US" w:eastAsia="zh-CN"/>
              </w:rPr>
            </w:pPr>
            <w:r>
              <w:rPr>
                <w:rFonts w:hint="eastAsia"/>
                <w:spacing w:val="-3"/>
                <w:lang w:val="en-US" w:eastAsia="zh-CN"/>
              </w:rPr>
              <w:t>二、案例分析技能提升</w:t>
            </w:r>
          </w:p>
          <w:p>
            <w:pPr>
              <w:pStyle w:val="8"/>
              <w:spacing w:before="58" w:line="217" w:lineRule="auto"/>
              <w:ind w:left="115" w:firstLine="408" w:firstLineChars="200"/>
              <w:rPr>
                <w:rFonts w:hint="eastAsia"/>
                <w:spacing w:val="-3"/>
                <w:lang w:val="en-US" w:eastAsia="zh-CN"/>
              </w:rPr>
            </w:pPr>
            <w:r>
              <w:rPr>
                <w:rFonts w:hint="eastAsia"/>
                <w:spacing w:val="-3"/>
                <w:lang w:val="en-US" w:eastAsia="zh-CN"/>
              </w:rPr>
              <w:t>1.学生能够运用CRIME理论框架，独立分析*ST宜生财务舞弊案例，识别其中的关键问题和舞弊手段。</w:t>
            </w:r>
          </w:p>
          <w:p>
            <w:pPr>
              <w:pStyle w:val="8"/>
              <w:spacing w:before="58" w:line="217" w:lineRule="auto"/>
              <w:ind w:left="115" w:firstLine="408" w:firstLineChars="200"/>
              <w:rPr>
                <w:rFonts w:hint="eastAsia"/>
                <w:spacing w:val="-3"/>
                <w:lang w:val="en-US" w:eastAsia="zh-CN"/>
              </w:rPr>
            </w:pPr>
            <w:r>
              <w:rPr>
                <w:rFonts w:hint="eastAsia"/>
                <w:spacing w:val="-3"/>
                <w:lang w:val="en-US" w:eastAsia="zh-CN"/>
              </w:rPr>
              <w:t>2.学生能够通过对案例的深入分析，掌握财务舞弊的识别方法和技巧，提升在实际工作中发现问题和解决问题的能力。</w:t>
            </w:r>
          </w:p>
          <w:p>
            <w:pPr>
              <w:pStyle w:val="8"/>
              <w:spacing w:before="58" w:line="217" w:lineRule="auto"/>
              <w:ind w:left="115"/>
              <w:rPr>
                <w:rFonts w:hint="eastAsia"/>
                <w:spacing w:val="-3"/>
                <w:lang w:val="en-US" w:eastAsia="zh-CN"/>
              </w:rPr>
            </w:pPr>
          </w:p>
          <w:p>
            <w:pPr>
              <w:pStyle w:val="8"/>
              <w:spacing w:before="58" w:line="217" w:lineRule="auto"/>
              <w:ind w:left="115" w:firstLine="408" w:firstLineChars="200"/>
              <w:rPr>
                <w:rFonts w:hint="eastAsia"/>
                <w:spacing w:val="-3"/>
                <w:lang w:val="en-US" w:eastAsia="zh-CN"/>
              </w:rPr>
            </w:pPr>
            <w:r>
              <w:rPr>
                <w:rFonts w:hint="eastAsia"/>
                <w:spacing w:val="-3"/>
                <w:lang w:val="en-US" w:eastAsia="zh-CN"/>
              </w:rPr>
              <w:t>三、职业道德与法规意识强化</w:t>
            </w:r>
          </w:p>
          <w:p>
            <w:pPr>
              <w:pStyle w:val="8"/>
              <w:spacing w:before="58" w:line="217" w:lineRule="auto"/>
              <w:ind w:left="115" w:firstLine="408" w:firstLineChars="200"/>
              <w:rPr>
                <w:rFonts w:hint="eastAsia"/>
                <w:spacing w:val="-3"/>
                <w:lang w:val="en-US" w:eastAsia="zh-CN"/>
              </w:rPr>
            </w:pPr>
            <w:r>
              <w:rPr>
                <w:rFonts w:hint="eastAsia"/>
                <w:spacing w:val="-3"/>
                <w:lang w:val="en-US" w:eastAsia="zh-CN"/>
              </w:rPr>
              <w:t>1.学生能够深刻认识到财务舞弊的严重性和危害性，增强对职业道德和法律法规的尊重。</w:t>
            </w:r>
          </w:p>
          <w:p>
            <w:pPr>
              <w:pStyle w:val="8"/>
              <w:spacing w:before="58" w:line="217" w:lineRule="auto"/>
              <w:ind w:left="115" w:firstLine="408" w:firstLineChars="200"/>
              <w:rPr>
                <w:rFonts w:hint="eastAsia"/>
                <w:spacing w:val="-3"/>
                <w:lang w:val="en-US" w:eastAsia="zh-CN"/>
              </w:rPr>
            </w:pPr>
            <w:r>
              <w:rPr>
                <w:rFonts w:hint="eastAsia"/>
                <w:spacing w:val="-3"/>
                <w:lang w:val="en-US" w:eastAsia="zh-CN"/>
              </w:rPr>
              <w:t>2.学生能够明确自己在财务管理领域中的社会责任和角色定位，坚持诚信、透明和合规的原则。</w:t>
            </w:r>
          </w:p>
          <w:p>
            <w:pPr>
              <w:pStyle w:val="8"/>
              <w:spacing w:before="58" w:line="217" w:lineRule="auto"/>
              <w:ind w:left="115"/>
              <w:rPr>
                <w:rFonts w:hint="eastAsia"/>
                <w:spacing w:val="-3"/>
                <w:lang w:val="en-US" w:eastAsia="zh-CN"/>
              </w:rPr>
            </w:pPr>
          </w:p>
          <w:p>
            <w:pPr>
              <w:pStyle w:val="8"/>
              <w:spacing w:before="58" w:line="217" w:lineRule="auto"/>
              <w:ind w:left="115" w:firstLine="408" w:firstLineChars="200"/>
              <w:rPr>
                <w:rFonts w:hint="eastAsia"/>
                <w:spacing w:val="-3"/>
                <w:lang w:val="en-US" w:eastAsia="zh-CN"/>
              </w:rPr>
            </w:pPr>
            <w:r>
              <w:rPr>
                <w:rFonts w:hint="eastAsia"/>
                <w:spacing w:val="-3"/>
                <w:lang w:val="en-US" w:eastAsia="zh-CN"/>
              </w:rPr>
              <w:t>四、财务数据分析与解读能力增强</w:t>
            </w:r>
          </w:p>
          <w:p>
            <w:pPr>
              <w:pStyle w:val="8"/>
              <w:spacing w:before="58" w:line="217" w:lineRule="auto"/>
              <w:ind w:left="115" w:firstLine="408" w:firstLineChars="200"/>
              <w:rPr>
                <w:rFonts w:hint="eastAsia"/>
                <w:spacing w:val="-3"/>
                <w:lang w:val="en-US" w:eastAsia="zh-CN"/>
              </w:rPr>
            </w:pPr>
            <w:r>
              <w:rPr>
                <w:rFonts w:hint="eastAsia"/>
                <w:spacing w:val="-3"/>
                <w:lang w:val="en-US" w:eastAsia="zh-CN"/>
              </w:rPr>
              <w:t>1.学生能够熟练解读财务报表和财务数据，识别潜在的财务舞弊迹象。</w:t>
            </w:r>
          </w:p>
          <w:p>
            <w:pPr>
              <w:pStyle w:val="8"/>
              <w:spacing w:before="58" w:line="217" w:lineRule="auto"/>
              <w:ind w:left="115" w:firstLine="408" w:firstLineChars="200"/>
              <w:rPr>
                <w:rFonts w:hint="eastAsia"/>
                <w:spacing w:val="-3"/>
                <w:lang w:val="en-US" w:eastAsia="zh-CN"/>
              </w:rPr>
            </w:pPr>
            <w:r>
              <w:rPr>
                <w:rFonts w:hint="eastAsia"/>
                <w:spacing w:val="-3"/>
                <w:lang w:val="en-US" w:eastAsia="zh-CN"/>
              </w:rPr>
              <w:t>2.学生能够运用财务分析工具和方法，对*ST宜生案例中的财务数据进行深入分析，揭示其背后的经济实质。</w:t>
            </w:r>
          </w:p>
          <w:p>
            <w:pPr>
              <w:pStyle w:val="8"/>
              <w:spacing w:before="58" w:line="217" w:lineRule="auto"/>
              <w:ind w:left="115"/>
              <w:rPr>
                <w:rFonts w:hint="eastAsia"/>
                <w:spacing w:val="-3"/>
                <w:lang w:val="en-US" w:eastAsia="zh-CN"/>
              </w:rPr>
            </w:pPr>
          </w:p>
          <w:p>
            <w:pPr>
              <w:pStyle w:val="8"/>
              <w:spacing w:before="58" w:line="217" w:lineRule="auto"/>
              <w:ind w:left="115" w:firstLine="408" w:firstLineChars="200"/>
              <w:rPr>
                <w:rFonts w:hint="eastAsia"/>
                <w:spacing w:val="-3"/>
                <w:lang w:val="en-US" w:eastAsia="zh-CN"/>
              </w:rPr>
            </w:pPr>
            <w:r>
              <w:rPr>
                <w:rFonts w:hint="eastAsia"/>
                <w:spacing w:val="-3"/>
                <w:lang w:val="en-US" w:eastAsia="zh-CN"/>
              </w:rPr>
              <w:t>五、批判性思维与问题解决能力发展</w:t>
            </w:r>
          </w:p>
          <w:p>
            <w:pPr>
              <w:pStyle w:val="8"/>
              <w:spacing w:before="58" w:line="217" w:lineRule="auto"/>
              <w:ind w:left="115" w:firstLine="408" w:firstLineChars="200"/>
              <w:rPr>
                <w:rFonts w:hint="eastAsia"/>
                <w:spacing w:val="-3"/>
                <w:lang w:val="en-US" w:eastAsia="zh-CN"/>
              </w:rPr>
            </w:pPr>
            <w:r>
              <w:rPr>
                <w:rFonts w:hint="eastAsia"/>
                <w:spacing w:val="-3"/>
                <w:lang w:val="en-US" w:eastAsia="zh-CN"/>
              </w:rPr>
              <w:t>1.学生能够培养批判性思维能力，对*ST宜生案例进行独立分析和评价，形成自己的见解和观点。</w:t>
            </w:r>
          </w:p>
          <w:p>
            <w:pPr>
              <w:pStyle w:val="8"/>
              <w:spacing w:before="58" w:line="217" w:lineRule="auto"/>
              <w:ind w:left="115" w:firstLine="408" w:firstLineChars="200"/>
              <w:rPr>
                <w:rFonts w:hint="eastAsia"/>
                <w:spacing w:val="-3"/>
                <w:lang w:val="en-US" w:eastAsia="zh-CN"/>
              </w:rPr>
            </w:pPr>
            <w:r>
              <w:rPr>
                <w:rFonts w:hint="eastAsia"/>
                <w:spacing w:val="-3"/>
                <w:lang w:val="en-US" w:eastAsia="zh-CN"/>
              </w:rPr>
              <w:t>2.学生能够运用所学知识，提出解决财务舞弊问题的策略和建议，发展解决实际问题的能力。</w:t>
            </w:r>
          </w:p>
          <w:p>
            <w:pPr>
              <w:pStyle w:val="8"/>
              <w:spacing w:before="58" w:line="217" w:lineRule="auto"/>
              <w:ind w:left="115"/>
              <w:rPr>
                <w:rFonts w:hint="eastAsia"/>
                <w:spacing w:val="-3"/>
                <w:lang w:val="en-US" w:eastAsia="zh-CN"/>
              </w:rPr>
            </w:pPr>
          </w:p>
          <w:p>
            <w:pPr>
              <w:pStyle w:val="8"/>
              <w:spacing w:before="58" w:line="217" w:lineRule="auto"/>
              <w:ind w:left="115" w:firstLine="408" w:firstLineChars="200"/>
              <w:rPr>
                <w:rFonts w:hint="eastAsia"/>
                <w:spacing w:val="-3"/>
                <w:lang w:val="en-US" w:eastAsia="zh-CN"/>
              </w:rPr>
            </w:pPr>
            <w:r>
              <w:rPr>
                <w:rFonts w:hint="eastAsia"/>
                <w:spacing w:val="-3"/>
                <w:lang w:val="en-US" w:eastAsia="zh-CN"/>
              </w:rPr>
              <w:t>六、团队协作与沟通能力提升</w:t>
            </w:r>
          </w:p>
          <w:p>
            <w:pPr>
              <w:pStyle w:val="8"/>
              <w:spacing w:before="58" w:line="217" w:lineRule="auto"/>
              <w:ind w:left="115" w:firstLine="408" w:firstLineChars="200"/>
              <w:rPr>
                <w:rFonts w:hint="eastAsia"/>
                <w:spacing w:val="-3"/>
                <w:lang w:val="en-US" w:eastAsia="zh-CN"/>
              </w:rPr>
            </w:pPr>
            <w:r>
              <w:rPr>
                <w:rFonts w:hint="eastAsia"/>
                <w:spacing w:val="-3"/>
                <w:lang w:val="en-US" w:eastAsia="zh-CN"/>
              </w:rPr>
              <w:t>1.学生能够在课程学习和案例分析中积极参与团队讨论和合作，提升团队协作和沟通能力。</w:t>
            </w:r>
          </w:p>
          <w:p>
            <w:pPr>
              <w:pStyle w:val="8"/>
              <w:spacing w:before="58" w:line="217" w:lineRule="auto"/>
              <w:ind w:left="115" w:firstLine="408" w:firstLineChars="200"/>
              <w:rPr>
                <w:rFonts w:hint="eastAsia"/>
                <w:spacing w:val="-3"/>
                <w:lang w:val="en-US" w:eastAsia="zh-CN"/>
              </w:rPr>
            </w:pPr>
            <w:r>
              <w:rPr>
                <w:rFonts w:hint="eastAsia"/>
                <w:spacing w:val="-3"/>
                <w:lang w:val="en-US" w:eastAsia="zh-CN"/>
              </w:rPr>
              <w:t>2.学生能够学会倾听他人的观点和建议，尊重多样性，形成开放、包容的学习氛围。</w:t>
            </w:r>
          </w:p>
          <w:p>
            <w:pPr>
              <w:pStyle w:val="8"/>
              <w:spacing w:before="58" w:line="217" w:lineRule="auto"/>
              <w:ind w:left="115"/>
              <w:rPr>
                <w:rFonts w:hint="eastAsia"/>
                <w:spacing w:val="-3"/>
                <w:lang w:val="en-US" w:eastAsia="zh-CN"/>
              </w:rPr>
            </w:pPr>
          </w:p>
          <w:p>
            <w:pPr>
              <w:pStyle w:val="8"/>
              <w:spacing w:before="58" w:line="217" w:lineRule="auto"/>
              <w:ind w:left="115" w:firstLine="408" w:firstLineChars="200"/>
              <w:rPr>
                <w:rFonts w:hint="eastAsia"/>
                <w:spacing w:val="-3"/>
                <w:lang w:val="en-US" w:eastAsia="zh-CN"/>
              </w:rPr>
            </w:pPr>
            <w:r>
              <w:rPr>
                <w:rFonts w:hint="eastAsia"/>
                <w:spacing w:val="-3"/>
                <w:lang w:val="en-US" w:eastAsia="zh-CN"/>
              </w:rPr>
              <w:t>七、持续学习与自我提升意识培养</w:t>
            </w:r>
          </w:p>
          <w:p>
            <w:pPr>
              <w:pStyle w:val="8"/>
              <w:spacing w:before="58" w:line="217" w:lineRule="auto"/>
              <w:ind w:left="115" w:firstLine="408" w:firstLineChars="200"/>
              <w:rPr>
                <w:rFonts w:hint="eastAsia"/>
                <w:spacing w:val="-3"/>
                <w:lang w:val="en-US" w:eastAsia="zh-CN"/>
              </w:rPr>
            </w:pPr>
            <w:r>
              <w:rPr>
                <w:rFonts w:hint="eastAsia"/>
                <w:spacing w:val="-3"/>
                <w:lang w:val="en-US" w:eastAsia="zh-CN"/>
              </w:rPr>
              <w:t>1.学生能够认识到财务管理领域的复杂性和变化性，培养持续学习和自我提升的意识。</w:t>
            </w:r>
          </w:p>
          <w:p>
            <w:pPr>
              <w:pStyle w:val="8"/>
              <w:spacing w:before="58" w:line="217" w:lineRule="auto"/>
              <w:ind w:left="115" w:firstLine="408" w:firstLineChars="200"/>
            </w:pPr>
            <w:r>
              <w:rPr>
                <w:rFonts w:hint="eastAsia"/>
                <w:spacing w:val="-3"/>
                <w:lang w:val="en-US" w:eastAsia="zh-CN"/>
              </w:rPr>
              <w:t>2.学生能够关注财务管理领域的最新动态和趋势，不断更新自己的知识和技能，以适应不断变化的市场环境。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752" w:hRule="atLeast"/>
        </w:trPr>
        <w:tc>
          <w:tcPr>
            <w:tcW w:w="1581" w:type="dxa"/>
            <w:vAlign w:val="top"/>
          </w:tcPr>
          <w:p>
            <w:pPr>
              <w:pStyle w:val="8"/>
              <w:spacing w:before="278" w:line="221" w:lineRule="auto"/>
              <w:ind w:left="370"/>
              <w:rPr>
                <w:b/>
                <w:bCs/>
                <w:spacing w:val="-4"/>
              </w:rPr>
            </w:pPr>
          </w:p>
          <w:p>
            <w:pPr>
              <w:pStyle w:val="8"/>
              <w:spacing w:before="278" w:line="221" w:lineRule="auto"/>
              <w:ind w:left="370"/>
              <w:rPr>
                <w:rFonts w:hint="eastAsia" w:eastAsia="宋体"/>
                <w:lang w:eastAsia="zh-CN"/>
              </w:rPr>
            </w:pPr>
            <w:r>
              <w:rPr>
                <w:b/>
                <w:bCs/>
                <w:spacing w:val="-4"/>
              </w:rPr>
              <w:t>教学</w:t>
            </w:r>
            <w:r>
              <w:rPr>
                <w:rFonts w:hint="eastAsia"/>
                <w:b/>
                <w:bCs/>
                <w:spacing w:val="-4"/>
                <w:lang w:val="en-US" w:eastAsia="zh-CN"/>
              </w:rPr>
              <w:t>方法</w:t>
            </w:r>
          </w:p>
        </w:tc>
        <w:tc>
          <w:tcPr>
            <w:tcW w:w="7393" w:type="dxa"/>
            <w:vAlign w:val="top"/>
          </w:tcPr>
          <w:p>
            <w:pPr>
              <w:pStyle w:val="8"/>
              <w:spacing w:before="58" w:line="221" w:lineRule="auto"/>
              <w:ind w:left="119" w:firstLine="412" w:firstLineChars="200"/>
              <w:rPr>
                <w:rFonts w:hint="eastAsia"/>
                <w:spacing w:val="-2"/>
              </w:rPr>
            </w:pPr>
            <w:r>
              <w:rPr>
                <w:rFonts w:hint="eastAsia"/>
                <w:spacing w:val="-2"/>
                <w:lang w:val="en-US" w:eastAsia="zh-CN"/>
              </w:rPr>
              <w:t>1.</w:t>
            </w:r>
            <w:r>
              <w:rPr>
                <w:rFonts w:hint="eastAsia"/>
                <w:spacing w:val="-2"/>
              </w:rPr>
              <w:t>讲授与案例分析相结合：通过讲授财务舞弊的基本理论和方法，结合ST宜生等实际案例进行分析和讨论，使学生更深入地理解财务舞弊的实质和识别方法。</w:t>
            </w:r>
          </w:p>
          <w:p>
            <w:pPr>
              <w:pStyle w:val="8"/>
              <w:spacing w:before="58" w:line="221" w:lineRule="auto"/>
              <w:ind w:left="119" w:firstLine="412" w:firstLineChars="200"/>
              <w:rPr>
                <w:rFonts w:hint="eastAsia"/>
                <w:spacing w:val="-2"/>
              </w:rPr>
            </w:pPr>
            <w:r>
              <w:rPr>
                <w:rFonts w:hint="eastAsia"/>
                <w:spacing w:val="-2"/>
                <w:lang w:val="en-US" w:eastAsia="zh-CN"/>
              </w:rPr>
              <w:t>2.</w:t>
            </w:r>
            <w:r>
              <w:rPr>
                <w:rFonts w:hint="eastAsia"/>
                <w:spacing w:val="-2"/>
              </w:rPr>
              <w:t>互动式教学：鼓励学生在课堂上积极提问、发表意见，开展小组讨论和角色扮演等活动，提高学生的学习兴趣和参与度。</w:t>
            </w:r>
          </w:p>
          <w:p>
            <w:pPr>
              <w:pStyle w:val="8"/>
              <w:spacing w:before="58" w:line="221" w:lineRule="auto"/>
              <w:ind w:left="119" w:firstLine="412" w:firstLineChars="200"/>
            </w:pPr>
            <w:r>
              <w:rPr>
                <w:rFonts w:hint="eastAsia"/>
                <w:spacing w:val="-2"/>
                <w:lang w:val="en-US" w:eastAsia="zh-CN"/>
              </w:rPr>
              <w:t>3.</w:t>
            </w:r>
            <w:r>
              <w:rPr>
                <w:rFonts w:hint="eastAsia"/>
                <w:spacing w:val="-2"/>
              </w:rPr>
              <w:t>实践教学：安排学生进行财务报表分析和内部控制评估等实际操作，培养学生的实践能力和应用能力。</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35" w:hRule="atLeast"/>
        </w:trPr>
        <w:tc>
          <w:tcPr>
            <w:tcW w:w="1581" w:type="dxa"/>
            <w:vAlign w:val="top"/>
          </w:tcPr>
          <w:p>
            <w:pPr>
              <w:pStyle w:val="8"/>
              <w:spacing w:before="215" w:line="221" w:lineRule="auto"/>
              <w:ind w:left="366"/>
              <w:rPr>
                <w:rFonts w:hint="eastAsia"/>
                <w:b/>
                <w:bCs/>
                <w:spacing w:val="-3"/>
              </w:rPr>
            </w:pPr>
          </w:p>
          <w:p>
            <w:pPr>
              <w:pStyle w:val="8"/>
              <w:spacing w:before="215" w:line="221" w:lineRule="auto"/>
              <w:ind w:left="366"/>
              <w:rPr>
                <w:rFonts w:hint="eastAsia"/>
                <w:b/>
                <w:bCs/>
                <w:spacing w:val="-3"/>
              </w:rPr>
            </w:pPr>
          </w:p>
          <w:p>
            <w:pPr>
              <w:pStyle w:val="8"/>
              <w:spacing w:before="215" w:line="221" w:lineRule="auto"/>
              <w:ind w:left="366"/>
              <w:rPr>
                <w:rFonts w:hint="eastAsia"/>
                <w:b/>
                <w:bCs/>
                <w:spacing w:val="-3"/>
              </w:rPr>
            </w:pPr>
          </w:p>
          <w:p>
            <w:pPr>
              <w:pStyle w:val="8"/>
              <w:spacing w:before="215" w:line="221" w:lineRule="auto"/>
              <w:ind w:left="366"/>
              <w:rPr>
                <w:rFonts w:hint="eastAsia"/>
                <w:b/>
                <w:bCs/>
                <w:spacing w:val="-3"/>
              </w:rPr>
            </w:pPr>
          </w:p>
          <w:p>
            <w:pPr>
              <w:pStyle w:val="8"/>
              <w:spacing w:before="215" w:line="221" w:lineRule="auto"/>
              <w:ind w:left="366"/>
              <w:rPr>
                <w:rFonts w:hint="eastAsia"/>
                <w:b/>
                <w:bCs/>
                <w:spacing w:val="-3"/>
              </w:rPr>
            </w:pPr>
          </w:p>
          <w:p>
            <w:pPr>
              <w:pStyle w:val="8"/>
              <w:spacing w:before="215" w:line="221" w:lineRule="auto"/>
              <w:ind w:left="366"/>
            </w:pPr>
            <w:r>
              <w:rPr>
                <w:rFonts w:hint="eastAsia"/>
                <w:b/>
                <w:bCs/>
                <w:spacing w:val="-3"/>
              </w:rPr>
              <w:t>学习评价</w:t>
            </w:r>
          </w:p>
        </w:tc>
        <w:tc>
          <w:tcPr>
            <w:tcW w:w="7393" w:type="dxa"/>
            <w:vAlign w:val="top"/>
          </w:tcPr>
          <w:p>
            <w:pPr>
              <w:pStyle w:val="8"/>
              <w:spacing w:before="214" w:line="220" w:lineRule="auto"/>
              <w:ind w:left="103" w:firstLine="420" w:firstLineChars="200"/>
              <w:rPr>
                <w:rFonts w:hint="eastAsia"/>
              </w:rPr>
            </w:pPr>
            <w:r>
              <w:rPr>
                <w:rFonts w:hint="eastAsia"/>
              </w:rPr>
              <w:t>线上与线下考核相结合，过程性评价与结果性评价相结合。</w:t>
            </w:r>
          </w:p>
          <w:p>
            <w:pPr>
              <w:pStyle w:val="8"/>
              <w:spacing w:before="214" w:line="220" w:lineRule="auto"/>
              <w:ind w:left="103" w:firstLine="420" w:firstLineChars="200"/>
              <w:rPr>
                <w:rFonts w:hint="eastAsia"/>
              </w:rPr>
            </w:pPr>
            <w:r>
              <w:rPr>
                <w:rFonts w:hint="eastAsia"/>
              </w:rPr>
              <w:t xml:space="preserve">过程性评价是一种在课程学习过程中对学生学习效果进行评价的方式。过程性评价重视目标与价值并重的价值取向，对学习的动机、效果、过程，以及与学习相关的非智力因素进行全面的考核与评价。过程性评价是一个对学习过程的价值进行建构、考核的过程，它不可能通过一次评价完成，它应该是在学习过程中发生的、学习者参与的、渐近的价值建构过程，其中包含了两重含义：一是评价本身就是一个价值认知进而建构的过程，二是学习活动过程中的评价。学生课程成绩由平时成绩、案例分析成绩两部分组成，计算方法如下：课程成绩=平时成绩×30%+案例分析成绩×70%。 </w:t>
            </w:r>
          </w:p>
          <w:p>
            <w:pPr>
              <w:pStyle w:val="8"/>
              <w:spacing w:before="214" w:line="220" w:lineRule="auto"/>
              <w:ind w:left="103" w:firstLine="420" w:firstLineChars="200"/>
              <w:rPr>
                <w:rFonts w:hint="eastAsia"/>
              </w:rPr>
            </w:pPr>
            <w:r>
              <w:rPr>
                <w:rFonts w:hint="eastAsia"/>
              </w:rPr>
              <w:t>（1）平时成绩</w:t>
            </w:r>
          </w:p>
          <w:p>
            <w:pPr>
              <w:pStyle w:val="8"/>
              <w:spacing w:before="214" w:line="220" w:lineRule="auto"/>
              <w:ind w:left="103" w:firstLine="420" w:firstLineChars="200"/>
              <w:rPr>
                <w:rFonts w:hint="eastAsia"/>
              </w:rPr>
            </w:pPr>
            <w:r>
              <w:rPr>
                <w:rFonts w:hint="eastAsia"/>
              </w:rPr>
              <w:t xml:space="preserve">以百分制进行考核，内容主要包括考勤和作业。利用“微助教”、“超星”等教学软件对学生的到课情况进行考勤。以课堂教学内容和教学重点为依据，布置相关课后作业。考勤和作业占平时成绩的 30%。 </w:t>
            </w:r>
          </w:p>
          <w:p>
            <w:pPr>
              <w:pStyle w:val="8"/>
              <w:spacing w:before="214" w:line="220" w:lineRule="auto"/>
              <w:ind w:left="103" w:firstLine="420" w:firstLineChars="200"/>
              <w:rPr>
                <w:rFonts w:hint="eastAsia"/>
              </w:rPr>
            </w:pPr>
            <w:r>
              <w:rPr>
                <w:rFonts w:hint="eastAsia"/>
              </w:rPr>
              <w:t>（2）案例分析成绩</w:t>
            </w:r>
          </w:p>
          <w:p>
            <w:pPr>
              <w:pStyle w:val="8"/>
              <w:spacing w:before="214" w:line="220" w:lineRule="auto"/>
              <w:ind w:left="103" w:firstLine="420" w:firstLineChars="200"/>
            </w:pPr>
            <w:r>
              <w:rPr>
                <w:rFonts w:hint="eastAsia"/>
              </w:rPr>
              <w:t>在课后作业的基础上增加案例分析，综合考察学生在这一段时间内的学习情况。这既是对学生所学知识的一次检查，同时也是对学生的一个督促和提醒，让学生能更清楚的看到其中存在的问题和不足。同时，也可以让教师更好的了解学生对所学知识的掌握情况，及时调整教学思路、方法，更好的开展教学工作。</w:t>
            </w:r>
          </w:p>
        </w:tc>
      </w:tr>
    </w:tbl>
    <w:p>
      <w:pPr>
        <w:spacing w:line="72" w:lineRule="exact"/>
        <w:rPr>
          <w:rFonts w:ascii="Arial"/>
          <w:sz w:val="6"/>
        </w:rPr>
      </w:pPr>
    </w:p>
    <w:tbl>
      <w:tblPr>
        <w:tblStyle w:val="7"/>
        <w:tblW w:w="8974" w:type="dxa"/>
        <w:tblInd w:w="7"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1270"/>
        <w:gridCol w:w="770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745" w:hRule="atLeast"/>
        </w:trPr>
        <w:tc>
          <w:tcPr>
            <w:tcW w:w="8974" w:type="dxa"/>
            <w:gridSpan w:val="2"/>
            <w:vAlign w:val="top"/>
          </w:tcPr>
          <w:p>
            <w:pPr>
              <w:pStyle w:val="8"/>
              <w:spacing w:before="267" w:line="221" w:lineRule="auto"/>
              <w:ind w:left="113"/>
            </w:pPr>
            <w:r>
              <w:rPr>
                <w:b/>
                <w:bCs/>
                <w:spacing w:val="-8"/>
              </w:rPr>
              <w:t>教学重点、难点：</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185" w:hRule="atLeast"/>
        </w:trPr>
        <w:tc>
          <w:tcPr>
            <w:tcW w:w="8974" w:type="dxa"/>
            <w:gridSpan w:val="2"/>
            <w:vAlign w:val="top"/>
          </w:tcPr>
          <w:p>
            <w:pPr>
              <w:pStyle w:val="8"/>
              <w:spacing w:before="54" w:line="225" w:lineRule="auto"/>
              <w:ind w:left="111"/>
            </w:pPr>
            <w:r>
              <w:rPr>
                <w:b/>
                <w:bCs/>
                <w:spacing w:val="-15"/>
              </w:rPr>
              <w:t>重点：</w:t>
            </w:r>
          </w:p>
          <w:p>
            <w:pPr>
              <w:pStyle w:val="8"/>
              <w:spacing w:before="59" w:line="221" w:lineRule="auto"/>
              <w:ind w:left="126" w:firstLine="420" w:firstLineChars="200"/>
              <w:rPr>
                <w:rFonts w:hint="eastAsia"/>
              </w:rPr>
            </w:pPr>
            <w:r>
              <w:rPr>
                <w:rFonts w:hint="eastAsia"/>
                <w:lang w:val="en-US" w:eastAsia="zh-CN"/>
              </w:rPr>
              <w:t>1.</w:t>
            </w:r>
            <w:r>
              <w:rPr>
                <w:rFonts w:hint="eastAsia"/>
              </w:rPr>
              <w:t>CRIME理论的理解与应用</w:t>
            </w:r>
          </w:p>
          <w:p>
            <w:pPr>
              <w:pStyle w:val="8"/>
              <w:spacing w:before="59" w:line="221" w:lineRule="auto"/>
              <w:ind w:left="126" w:firstLine="420" w:firstLineChars="200"/>
              <w:rPr>
                <w:rFonts w:hint="eastAsia"/>
              </w:rPr>
            </w:pPr>
            <w:r>
              <w:rPr>
                <w:rFonts w:hint="eastAsia"/>
                <w:lang w:eastAsia="zh-CN"/>
              </w:rPr>
              <w:t>（</w:t>
            </w:r>
            <w:r>
              <w:rPr>
                <w:rFonts w:hint="eastAsia"/>
                <w:lang w:val="en-US" w:eastAsia="zh-CN"/>
              </w:rPr>
              <w:t>1</w:t>
            </w:r>
            <w:r>
              <w:rPr>
                <w:rFonts w:hint="eastAsia"/>
                <w:lang w:eastAsia="zh-CN"/>
              </w:rPr>
              <w:t>）</w:t>
            </w:r>
            <w:r>
              <w:rPr>
                <w:rFonts w:hint="eastAsia"/>
              </w:rPr>
              <w:t>深入解释CRIME理论的五个核心要素（Crime动机、Rationalization借口、Ignorance无知、Money动机、Exposure机会），并阐明其在财务舞弊分析中的具体应用。</w:t>
            </w:r>
          </w:p>
          <w:p>
            <w:pPr>
              <w:pStyle w:val="8"/>
              <w:spacing w:before="59" w:line="221" w:lineRule="auto"/>
              <w:ind w:left="126" w:firstLine="420" w:firstLineChars="200"/>
              <w:rPr>
                <w:rFonts w:hint="eastAsia"/>
              </w:rPr>
            </w:pPr>
            <w:r>
              <w:rPr>
                <w:rFonts w:hint="eastAsia"/>
                <w:lang w:eastAsia="zh-CN"/>
              </w:rPr>
              <w:t>（</w:t>
            </w:r>
            <w:r>
              <w:rPr>
                <w:rFonts w:hint="eastAsia"/>
                <w:lang w:val="en-US" w:eastAsia="zh-CN"/>
              </w:rPr>
              <w:t>2</w:t>
            </w:r>
            <w:r>
              <w:rPr>
                <w:rFonts w:hint="eastAsia"/>
                <w:lang w:eastAsia="zh-CN"/>
              </w:rPr>
              <w:t>）</w:t>
            </w:r>
            <w:r>
              <w:rPr>
                <w:rFonts w:hint="eastAsia"/>
              </w:rPr>
              <w:t>结合*ST宜生案例，详细分析这些要素是如何在案例中体现的，以及它们如何相互关联和影响。</w:t>
            </w:r>
          </w:p>
          <w:p>
            <w:pPr>
              <w:pStyle w:val="8"/>
              <w:spacing w:before="59" w:line="221" w:lineRule="auto"/>
              <w:ind w:left="126" w:firstLine="420" w:firstLineChars="200"/>
              <w:rPr>
                <w:rFonts w:hint="eastAsia"/>
              </w:rPr>
            </w:pPr>
          </w:p>
          <w:p>
            <w:pPr>
              <w:pStyle w:val="8"/>
              <w:spacing w:before="59" w:line="221" w:lineRule="auto"/>
              <w:ind w:left="126" w:firstLine="420" w:firstLineChars="200"/>
              <w:rPr>
                <w:rFonts w:hint="eastAsia"/>
              </w:rPr>
            </w:pPr>
            <w:r>
              <w:rPr>
                <w:rFonts w:hint="eastAsia"/>
                <w:lang w:val="en-US" w:eastAsia="zh-CN"/>
              </w:rPr>
              <w:t>2.</w:t>
            </w:r>
            <w:r>
              <w:rPr>
                <w:rFonts w:hint="eastAsia"/>
              </w:rPr>
              <w:t>*ST宜生财务舞弊案例的深入分析</w:t>
            </w:r>
          </w:p>
          <w:p>
            <w:pPr>
              <w:pStyle w:val="8"/>
              <w:spacing w:before="59" w:line="221" w:lineRule="auto"/>
              <w:ind w:left="126" w:firstLine="420" w:firstLineChars="200"/>
              <w:rPr>
                <w:rFonts w:hint="eastAsia"/>
              </w:rPr>
            </w:pPr>
            <w:r>
              <w:rPr>
                <w:rFonts w:hint="eastAsia"/>
                <w:lang w:eastAsia="zh-CN"/>
              </w:rPr>
              <w:t>（</w:t>
            </w:r>
            <w:r>
              <w:rPr>
                <w:rFonts w:hint="eastAsia"/>
                <w:lang w:val="en-US" w:eastAsia="zh-CN"/>
              </w:rPr>
              <w:t>1</w:t>
            </w:r>
            <w:r>
              <w:rPr>
                <w:rFonts w:hint="eastAsia"/>
                <w:lang w:eastAsia="zh-CN"/>
              </w:rPr>
              <w:t>）</w:t>
            </w:r>
            <w:r>
              <w:rPr>
                <w:rFonts w:hint="eastAsia"/>
              </w:rPr>
              <w:t>详细介绍*ST宜生财务舞弊的具体手段、金额、时间线等关键信息，使学生能够全面了解案例背景。</w:t>
            </w:r>
          </w:p>
          <w:p>
            <w:pPr>
              <w:pStyle w:val="8"/>
              <w:spacing w:before="59" w:line="221" w:lineRule="auto"/>
              <w:ind w:left="126" w:firstLine="420" w:firstLineChars="200"/>
              <w:rPr>
                <w:rFonts w:hint="eastAsia"/>
              </w:rPr>
            </w:pPr>
            <w:r>
              <w:rPr>
                <w:rFonts w:hint="eastAsia"/>
                <w:lang w:eastAsia="zh-CN"/>
              </w:rPr>
              <w:t>（</w:t>
            </w:r>
            <w:r>
              <w:rPr>
                <w:rFonts w:hint="eastAsia"/>
                <w:lang w:val="en-US" w:eastAsia="zh-CN"/>
              </w:rPr>
              <w:t>2</w:t>
            </w:r>
            <w:r>
              <w:rPr>
                <w:rFonts w:hint="eastAsia"/>
                <w:lang w:eastAsia="zh-CN"/>
              </w:rPr>
              <w:t>）</w:t>
            </w:r>
            <w:r>
              <w:rPr>
                <w:rFonts w:hint="eastAsia"/>
              </w:rPr>
              <w:t>引导学生运用CRIME理论框架，对*ST宜生案例进行深入剖析，识别其中的舞弊手段、动机和机会。</w:t>
            </w:r>
          </w:p>
          <w:p>
            <w:pPr>
              <w:pStyle w:val="8"/>
              <w:spacing w:before="59" w:line="221" w:lineRule="auto"/>
              <w:ind w:left="126" w:firstLine="420" w:firstLineChars="200"/>
              <w:rPr>
                <w:rFonts w:hint="eastAsia"/>
              </w:rPr>
            </w:pPr>
          </w:p>
          <w:p>
            <w:pPr>
              <w:pStyle w:val="8"/>
              <w:spacing w:before="59" w:line="221" w:lineRule="auto"/>
              <w:ind w:left="126" w:firstLine="420" w:firstLineChars="200"/>
              <w:rPr>
                <w:rFonts w:hint="eastAsia"/>
              </w:rPr>
            </w:pPr>
            <w:r>
              <w:rPr>
                <w:rFonts w:hint="eastAsia"/>
                <w:lang w:val="en-US" w:eastAsia="zh-CN"/>
              </w:rPr>
              <w:t>3.</w:t>
            </w:r>
            <w:r>
              <w:rPr>
                <w:rFonts w:hint="eastAsia"/>
              </w:rPr>
              <w:t>职业道德与法规教育</w:t>
            </w:r>
          </w:p>
          <w:p>
            <w:pPr>
              <w:pStyle w:val="8"/>
              <w:spacing w:before="59" w:line="221" w:lineRule="auto"/>
              <w:ind w:left="126" w:firstLine="420" w:firstLineChars="200"/>
              <w:rPr>
                <w:rFonts w:hint="eastAsia"/>
              </w:rPr>
            </w:pPr>
            <w:r>
              <w:rPr>
                <w:rFonts w:hint="eastAsia"/>
                <w:lang w:eastAsia="zh-CN"/>
              </w:rPr>
              <w:t>（</w:t>
            </w:r>
            <w:r>
              <w:rPr>
                <w:rFonts w:hint="eastAsia"/>
                <w:lang w:val="en-US" w:eastAsia="zh-CN"/>
              </w:rPr>
              <w:t>1</w:t>
            </w:r>
            <w:r>
              <w:rPr>
                <w:rFonts w:hint="eastAsia"/>
                <w:lang w:eastAsia="zh-CN"/>
              </w:rPr>
              <w:t>）</w:t>
            </w:r>
            <w:r>
              <w:rPr>
                <w:rFonts w:hint="eastAsia"/>
              </w:rPr>
              <w:t>强调财务舞弊的严重性和危害性，以及遵守职业道德和法律法规的重要性。</w:t>
            </w:r>
          </w:p>
          <w:p>
            <w:pPr>
              <w:pStyle w:val="8"/>
              <w:spacing w:before="59" w:line="221" w:lineRule="auto"/>
              <w:ind w:left="126" w:firstLine="420" w:firstLineChars="200"/>
              <w:rPr>
                <w:rFonts w:hint="eastAsia"/>
              </w:rPr>
            </w:pPr>
            <w:r>
              <w:rPr>
                <w:rFonts w:hint="eastAsia"/>
                <w:lang w:eastAsia="zh-CN"/>
              </w:rPr>
              <w:t>（</w:t>
            </w:r>
            <w:r>
              <w:rPr>
                <w:rFonts w:hint="eastAsia"/>
                <w:lang w:val="en-US" w:eastAsia="zh-CN"/>
              </w:rPr>
              <w:t>2</w:t>
            </w:r>
            <w:r>
              <w:rPr>
                <w:rFonts w:hint="eastAsia"/>
                <w:lang w:eastAsia="zh-CN"/>
              </w:rPr>
              <w:t>）</w:t>
            </w:r>
            <w:r>
              <w:rPr>
                <w:rFonts w:hint="eastAsia"/>
              </w:rPr>
              <w:t>结合*ST宜生案例，讨论财务舞弊对企业、投资者和社会的影响，以及财务人员应承担的责任。</w:t>
            </w:r>
          </w:p>
          <w:p>
            <w:pPr>
              <w:pStyle w:val="8"/>
              <w:spacing w:before="59" w:line="221" w:lineRule="auto"/>
              <w:ind w:left="126" w:firstLine="420" w:firstLineChars="200"/>
              <w:rPr>
                <w:rFonts w:hint="eastAsia"/>
              </w:rPr>
            </w:pPr>
          </w:p>
          <w:p>
            <w:pPr>
              <w:pStyle w:val="8"/>
              <w:spacing w:before="59" w:line="221" w:lineRule="auto"/>
              <w:ind w:firstLine="420" w:firstLineChars="200"/>
              <w:rPr>
                <w:rFonts w:hint="eastAsia"/>
              </w:rPr>
            </w:pPr>
            <w:r>
              <w:rPr>
                <w:rFonts w:hint="eastAsia"/>
                <w:lang w:val="en-US" w:eastAsia="zh-CN"/>
              </w:rPr>
              <w:t>4.</w:t>
            </w:r>
            <w:r>
              <w:rPr>
                <w:rFonts w:hint="eastAsia"/>
              </w:rPr>
              <w:t>财务数据分析与解读能力的培养</w:t>
            </w:r>
          </w:p>
          <w:p>
            <w:pPr>
              <w:pStyle w:val="8"/>
              <w:spacing w:before="59" w:line="221" w:lineRule="auto"/>
              <w:ind w:left="126" w:firstLine="420" w:firstLineChars="200"/>
              <w:rPr>
                <w:rFonts w:hint="eastAsia"/>
              </w:rPr>
            </w:pPr>
            <w:r>
              <w:rPr>
                <w:rFonts w:hint="eastAsia"/>
                <w:lang w:eastAsia="zh-CN"/>
              </w:rPr>
              <w:t>（</w:t>
            </w:r>
            <w:r>
              <w:rPr>
                <w:rFonts w:hint="eastAsia"/>
                <w:lang w:val="en-US" w:eastAsia="zh-CN"/>
              </w:rPr>
              <w:t>1</w:t>
            </w:r>
            <w:r>
              <w:rPr>
                <w:rFonts w:hint="eastAsia"/>
                <w:lang w:eastAsia="zh-CN"/>
              </w:rPr>
              <w:t>）</w:t>
            </w:r>
            <w:r>
              <w:rPr>
                <w:rFonts w:hint="eastAsia"/>
              </w:rPr>
              <w:t>教授学生如何解读财务报表和财务数据，识别潜在的财务舞弊迹象。</w:t>
            </w:r>
          </w:p>
          <w:p>
            <w:pPr>
              <w:pStyle w:val="8"/>
              <w:spacing w:before="59" w:line="221" w:lineRule="auto"/>
              <w:ind w:left="126" w:firstLine="420" w:firstLineChars="200"/>
            </w:pPr>
            <w:r>
              <w:rPr>
                <w:rFonts w:hint="eastAsia"/>
                <w:lang w:eastAsia="zh-CN"/>
              </w:rPr>
              <w:t>（</w:t>
            </w:r>
            <w:r>
              <w:rPr>
                <w:rFonts w:hint="eastAsia"/>
                <w:lang w:val="en-US" w:eastAsia="zh-CN"/>
              </w:rPr>
              <w:t>2</w:t>
            </w:r>
            <w:r>
              <w:rPr>
                <w:rFonts w:hint="eastAsia"/>
                <w:lang w:eastAsia="zh-CN"/>
              </w:rPr>
              <w:t>）</w:t>
            </w:r>
            <w:r>
              <w:rPr>
                <w:rFonts w:hint="eastAsia"/>
              </w:rPr>
              <w:t>以*ST宜生案例中的财务数据为例，指导学生进行财务分析，提高其实践能力。</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543" w:hRule="atLeast"/>
        </w:trPr>
        <w:tc>
          <w:tcPr>
            <w:tcW w:w="8974" w:type="dxa"/>
            <w:gridSpan w:val="2"/>
            <w:vAlign w:val="top"/>
          </w:tcPr>
          <w:p>
            <w:pPr>
              <w:pStyle w:val="8"/>
              <w:spacing w:before="55" w:line="222" w:lineRule="auto"/>
              <w:ind w:left="109"/>
            </w:pPr>
            <w:r>
              <w:rPr>
                <w:b/>
                <w:bCs/>
                <w:spacing w:val="-14"/>
              </w:rPr>
              <w:t>难点：</w:t>
            </w:r>
          </w:p>
          <w:p>
            <w:pPr>
              <w:pStyle w:val="8"/>
              <w:spacing w:before="60" w:line="217" w:lineRule="auto"/>
              <w:ind w:left="126" w:firstLine="420" w:firstLineChars="200"/>
              <w:rPr>
                <w:rFonts w:hint="eastAsia"/>
                <w:lang w:val="en-US" w:eastAsia="zh-CN"/>
              </w:rPr>
            </w:pPr>
            <w:r>
              <w:rPr>
                <w:rFonts w:hint="eastAsia"/>
                <w:lang w:val="en-US" w:eastAsia="zh-CN"/>
              </w:rPr>
              <w:t>1.CRIME理论的灵活运用</w:t>
            </w:r>
          </w:p>
          <w:p>
            <w:pPr>
              <w:pStyle w:val="8"/>
              <w:spacing w:before="60" w:line="217" w:lineRule="auto"/>
              <w:ind w:firstLine="420" w:firstLineChars="200"/>
              <w:rPr>
                <w:rFonts w:hint="eastAsia"/>
                <w:lang w:val="en-US" w:eastAsia="zh-CN"/>
              </w:rPr>
            </w:pPr>
            <w:r>
              <w:rPr>
                <w:rFonts w:hint="eastAsia"/>
                <w:lang w:val="en-US" w:eastAsia="zh-CN"/>
              </w:rPr>
              <w:t>（1）学生在初次接触CRIME理论时，可能难以将其与具体的财务舞弊案例相结合，进行灵活运用。</w:t>
            </w:r>
          </w:p>
          <w:p>
            <w:pPr>
              <w:pStyle w:val="8"/>
              <w:spacing w:before="60" w:line="217" w:lineRule="auto"/>
              <w:ind w:firstLine="420" w:firstLineChars="200"/>
              <w:rPr>
                <w:rFonts w:hint="eastAsia"/>
                <w:lang w:val="en-US" w:eastAsia="zh-CN"/>
              </w:rPr>
            </w:pPr>
            <w:r>
              <w:rPr>
                <w:rFonts w:hint="eastAsia"/>
                <w:lang w:val="en-US" w:eastAsia="zh-CN"/>
              </w:rPr>
              <w:t>（2）教师需要通过案例分析和讨论，引导学生逐步掌握CRIME理论的应用方法。</w:t>
            </w:r>
          </w:p>
          <w:p>
            <w:pPr>
              <w:pStyle w:val="8"/>
              <w:spacing w:before="60" w:line="217" w:lineRule="auto"/>
              <w:ind w:firstLine="420" w:firstLineChars="200"/>
              <w:rPr>
                <w:rFonts w:hint="eastAsia"/>
                <w:lang w:val="en-US" w:eastAsia="zh-CN"/>
              </w:rPr>
            </w:pPr>
          </w:p>
          <w:p>
            <w:pPr>
              <w:pStyle w:val="8"/>
              <w:spacing w:before="60" w:line="217" w:lineRule="auto"/>
              <w:ind w:left="126" w:firstLine="210" w:firstLineChars="100"/>
              <w:rPr>
                <w:rFonts w:hint="eastAsia"/>
                <w:lang w:val="en-US" w:eastAsia="zh-CN"/>
              </w:rPr>
            </w:pPr>
            <w:r>
              <w:rPr>
                <w:rFonts w:hint="eastAsia"/>
                <w:lang w:val="en-US" w:eastAsia="zh-CN"/>
              </w:rPr>
              <w:t xml:space="preserve"> 2.财务舞弊手段的识别</w:t>
            </w:r>
          </w:p>
          <w:p>
            <w:pPr>
              <w:pStyle w:val="8"/>
              <w:spacing w:before="60" w:line="217" w:lineRule="auto"/>
              <w:ind w:firstLine="420" w:firstLineChars="200"/>
              <w:rPr>
                <w:rFonts w:hint="eastAsia"/>
                <w:lang w:val="en-US" w:eastAsia="zh-CN"/>
              </w:rPr>
            </w:pPr>
            <w:r>
              <w:rPr>
                <w:rFonts w:hint="eastAsia"/>
                <w:lang w:val="en-US" w:eastAsia="zh-CN"/>
              </w:rPr>
              <w:t>（1）财务舞弊手段多样且隐蔽，学生可能难以全面识别和理解。</w:t>
            </w:r>
          </w:p>
          <w:p>
            <w:pPr>
              <w:pStyle w:val="8"/>
              <w:spacing w:before="60" w:line="217" w:lineRule="auto"/>
              <w:ind w:firstLine="420" w:firstLineChars="200"/>
              <w:rPr>
                <w:rFonts w:hint="eastAsia"/>
                <w:lang w:val="en-US" w:eastAsia="zh-CN"/>
              </w:rPr>
            </w:pPr>
            <w:r>
              <w:rPr>
                <w:rFonts w:hint="eastAsia"/>
                <w:lang w:val="en-US" w:eastAsia="zh-CN"/>
              </w:rPr>
              <w:t>（2）教师需要详细解释各种舞弊手段的特点和识别方法，并结合案例进行说明。</w:t>
            </w:r>
          </w:p>
          <w:p>
            <w:pPr>
              <w:pStyle w:val="8"/>
              <w:spacing w:before="60" w:line="217" w:lineRule="auto"/>
              <w:ind w:firstLine="420" w:firstLineChars="200"/>
              <w:rPr>
                <w:rFonts w:hint="eastAsia"/>
                <w:lang w:val="en-US" w:eastAsia="zh-CN"/>
              </w:rPr>
            </w:pPr>
          </w:p>
          <w:p>
            <w:pPr>
              <w:pStyle w:val="8"/>
              <w:spacing w:before="60" w:line="217" w:lineRule="auto"/>
              <w:ind w:firstLine="420" w:firstLineChars="200"/>
              <w:rPr>
                <w:rFonts w:hint="eastAsia"/>
                <w:lang w:val="en-US" w:eastAsia="zh-CN"/>
              </w:rPr>
            </w:pPr>
            <w:r>
              <w:rPr>
                <w:rFonts w:hint="eastAsia"/>
                <w:lang w:val="en-US" w:eastAsia="zh-CN"/>
              </w:rPr>
              <w:t>3.职业道德与法规意识的强化：</w:t>
            </w:r>
          </w:p>
          <w:p>
            <w:pPr>
              <w:pStyle w:val="8"/>
              <w:spacing w:before="60" w:line="217" w:lineRule="auto"/>
              <w:ind w:firstLine="420" w:firstLineChars="200"/>
              <w:rPr>
                <w:rFonts w:hint="eastAsia"/>
                <w:lang w:val="en-US" w:eastAsia="zh-CN"/>
              </w:rPr>
            </w:pPr>
            <w:r>
              <w:rPr>
                <w:rFonts w:hint="eastAsia"/>
                <w:lang w:val="en-US" w:eastAsia="zh-CN"/>
              </w:rPr>
              <w:t>（1）培养和强化学生的职业道德与法规意识是一个长期的过程，需要教师在教学过程中不断渗透和强调。</w:t>
            </w:r>
          </w:p>
          <w:p>
            <w:pPr>
              <w:pStyle w:val="8"/>
              <w:spacing w:before="60" w:line="217" w:lineRule="auto"/>
              <w:ind w:firstLine="420" w:firstLineChars="200"/>
              <w:rPr>
                <w:rFonts w:hint="eastAsia"/>
                <w:lang w:val="en-US" w:eastAsia="zh-CN"/>
              </w:rPr>
            </w:pPr>
            <w:r>
              <w:rPr>
                <w:rFonts w:hint="eastAsia"/>
                <w:lang w:val="en-US" w:eastAsia="zh-CN"/>
              </w:rPr>
              <w:t>（2）教师可以通过案例分析、角色扮演等方式，让学生在实践中体验和理解职业道德与法规的重要性。</w:t>
            </w:r>
          </w:p>
          <w:p>
            <w:pPr>
              <w:pStyle w:val="8"/>
              <w:spacing w:before="60" w:line="217" w:lineRule="auto"/>
              <w:ind w:firstLine="420" w:firstLineChars="200"/>
              <w:rPr>
                <w:rFonts w:hint="eastAsia"/>
                <w:lang w:val="en-US" w:eastAsia="zh-CN"/>
              </w:rPr>
            </w:pPr>
          </w:p>
          <w:p>
            <w:pPr>
              <w:pStyle w:val="8"/>
              <w:spacing w:before="60" w:line="217" w:lineRule="auto"/>
              <w:ind w:firstLine="420" w:firstLineChars="200"/>
              <w:rPr>
                <w:rFonts w:hint="eastAsia"/>
                <w:lang w:val="en-US" w:eastAsia="zh-CN"/>
              </w:rPr>
            </w:pPr>
            <w:r>
              <w:rPr>
                <w:rFonts w:hint="eastAsia"/>
                <w:lang w:val="en-US" w:eastAsia="zh-CN"/>
              </w:rPr>
              <w:t>4.财务数据分析的深入性</w:t>
            </w:r>
          </w:p>
          <w:p>
            <w:pPr>
              <w:pStyle w:val="8"/>
              <w:spacing w:before="60" w:line="217" w:lineRule="auto"/>
              <w:ind w:firstLine="420" w:firstLineChars="200"/>
              <w:rPr>
                <w:rFonts w:hint="eastAsia"/>
                <w:lang w:val="en-US" w:eastAsia="zh-CN"/>
              </w:rPr>
            </w:pPr>
            <w:r>
              <w:rPr>
                <w:rFonts w:hint="eastAsia"/>
                <w:lang w:val="en-US" w:eastAsia="zh-CN"/>
              </w:rPr>
              <w:t>（1）财务分析需要一定的专业知识和实践经验，对于初学者来说可能存在一定的难度。</w:t>
            </w:r>
          </w:p>
          <w:p>
            <w:pPr>
              <w:pStyle w:val="8"/>
              <w:spacing w:before="60" w:line="217" w:lineRule="auto"/>
              <w:ind w:firstLine="420" w:firstLineChars="200"/>
            </w:pPr>
            <w:r>
              <w:rPr>
                <w:rFonts w:hint="eastAsia"/>
                <w:lang w:val="en-US" w:eastAsia="zh-CN"/>
              </w:rPr>
              <w:t>（2）教师需要逐步引导学生掌握财务分析的基本方法和技巧，并通过实际案例进行演练和巩固。</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439" w:hRule="atLeast"/>
        </w:trPr>
        <w:tc>
          <w:tcPr>
            <w:tcW w:w="1270" w:type="dxa"/>
            <w:vAlign w:val="top"/>
          </w:tcPr>
          <w:p>
            <w:pPr>
              <w:pStyle w:val="8"/>
              <w:spacing w:before="60" w:line="217" w:lineRule="auto"/>
              <w:ind w:left="126"/>
              <w:rPr>
                <w:rFonts w:hint="eastAsia"/>
                <w:b/>
                <w:bCs/>
                <w:spacing w:val="-3"/>
                <w:lang w:val="en-US" w:eastAsia="zh-CN"/>
              </w:rPr>
            </w:pPr>
          </w:p>
          <w:p>
            <w:pPr>
              <w:pStyle w:val="8"/>
              <w:spacing w:before="60" w:line="217" w:lineRule="auto"/>
              <w:ind w:left="126"/>
              <w:rPr>
                <w:rFonts w:hint="eastAsia"/>
                <w:b/>
                <w:bCs/>
                <w:spacing w:val="-3"/>
                <w:lang w:val="en-US" w:eastAsia="zh-CN"/>
              </w:rPr>
            </w:pPr>
          </w:p>
          <w:p>
            <w:pPr>
              <w:pStyle w:val="8"/>
              <w:spacing w:before="60" w:line="217" w:lineRule="auto"/>
              <w:ind w:left="126"/>
              <w:rPr>
                <w:rFonts w:hint="eastAsia"/>
                <w:b/>
                <w:bCs/>
                <w:spacing w:val="-3"/>
                <w:lang w:val="en-US" w:eastAsia="zh-CN"/>
              </w:rPr>
            </w:pPr>
          </w:p>
          <w:p>
            <w:pPr>
              <w:pStyle w:val="8"/>
              <w:spacing w:before="60" w:line="217" w:lineRule="auto"/>
              <w:ind w:left="126"/>
              <w:rPr>
                <w:rFonts w:hint="eastAsia"/>
                <w:b/>
                <w:bCs/>
                <w:spacing w:val="-3"/>
                <w:lang w:val="en-US" w:eastAsia="zh-CN"/>
              </w:rPr>
            </w:pPr>
          </w:p>
          <w:p>
            <w:pPr>
              <w:pStyle w:val="8"/>
              <w:spacing w:before="60" w:line="217" w:lineRule="auto"/>
              <w:ind w:left="126"/>
              <w:rPr>
                <w:rFonts w:hint="eastAsia"/>
                <w:b/>
                <w:bCs/>
                <w:spacing w:val="-3"/>
                <w:lang w:val="en-US" w:eastAsia="zh-CN"/>
              </w:rPr>
            </w:pPr>
          </w:p>
          <w:p>
            <w:pPr>
              <w:pStyle w:val="8"/>
              <w:spacing w:before="60" w:line="217" w:lineRule="auto"/>
              <w:ind w:left="126"/>
              <w:rPr>
                <w:rFonts w:hint="eastAsia"/>
                <w:b/>
                <w:bCs/>
                <w:spacing w:val="-3"/>
                <w:lang w:val="en-US" w:eastAsia="zh-CN"/>
              </w:rPr>
            </w:pPr>
          </w:p>
          <w:p>
            <w:pPr>
              <w:pStyle w:val="8"/>
              <w:spacing w:before="60" w:line="217" w:lineRule="auto"/>
              <w:ind w:left="126"/>
              <w:rPr>
                <w:rFonts w:hint="eastAsia"/>
                <w:b/>
                <w:bCs/>
                <w:spacing w:val="-3"/>
                <w:lang w:val="en-US" w:eastAsia="zh-CN"/>
              </w:rPr>
            </w:pPr>
          </w:p>
          <w:p>
            <w:pPr>
              <w:pStyle w:val="8"/>
              <w:spacing w:before="60" w:line="217" w:lineRule="auto"/>
              <w:ind w:left="126"/>
              <w:rPr>
                <w:rFonts w:hint="eastAsia"/>
                <w:b/>
                <w:bCs/>
                <w:spacing w:val="-3"/>
                <w:lang w:val="en-US" w:eastAsia="zh-CN"/>
              </w:rPr>
            </w:pPr>
          </w:p>
          <w:p>
            <w:pPr>
              <w:pStyle w:val="8"/>
              <w:spacing w:before="60" w:line="217" w:lineRule="auto"/>
              <w:ind w:left="126"/>
              <w:rPr>
                <w:rFonts w:hint="eastAsia"/>
                <w:b/>
                <w:bCs/>
                <w:spacing w:val="-3"/>
                <w:lang w:val="en-US" w:eastAsia="zh-CN"/>
              </w:rPr>
            </w:pPr>
          </w:p>
          <w:p>
            <w:pPr>
              <w:pStyle w:val="8"/>
              <w:spacing w:before="60" w:line="217" w:lineRule="auto"/>
              <w:ind w:left="126"/>
              <w:rPr>
                <w:rFonts w:hint="eastAsia"/>
                <w:b/>
                <w:bCs/>
                <w:spacing w:val="-3"/>
                <w:lang w:val="en-US" w:eastAsia="zh-CN"/>
              </w:rPr>
            </w:pPr>
          </w:p>
          <w:p>
            <w:pPr>
              <w:pStyle w:val="8"/>
              <w:spacing w:before="60" w:line="217" w:lineRule="auto"/>
              <w:ind w:firstLine="205" w:firstLineChars="100"/>
              <w:rPr>
                <w:rFonts w:hint="eastAsia"/>
                <w:b/>
                <w:bCs/>
                <w:spacing w:val="-3"/>
                <w:lang w:val="en-US" w:eastAsia="zh-CN"/>
              </w:rPr>
            </w:pPr>
            <w:r>
              <w:rPr>
                <w:rFonts w:hint="eastAsia"/>
                <w:b/>
                <w:bCs/>
                <w:spacing w:val="-3"/>
                <w:lang w:val="en-US" w:eastAsia="zh-CN"/>
              </w:rPr>
              <w:t>教学内容</w:t>
            </w:r>
          </w:p>
          <w:p>
            <w:pPr>
              <w:pStyle w:val="8"/>
              <w:spacing w:before="60" w:line="217" w:lineRule="auto"/>
              <w:ind w:left="126"/>
              <w:rPr>
                <w:rFonts w:hint="eastAsia"/>
                <w:b/>
                <w:bCs/>
                <w:spacing w:val="-3"/>
                <w:lang w:val="en-US" w:eastAsia="zh-CN"/>
              </w:rPr>
            </w:pPr>
          </w:p>
          <w:p>
            <w:pPr>
              <w:pStyle w:val="8"/>
              <w:spacing w:before="60" w:line="217" w:lineRule="auto"/>
              <w:ind w:left="126"/>
              <w:rPr>
                <w:rFonts w:hint="eastAsia"/>
                <w:b/>
                <w:bCs/>
                <w:spacing w:val="-3"/>
                <w:lang w:val="en-US" w:eastAsia="zh-CN"/>
              </w:rPr>
            </w:pPr>
          </w:p>
          <w:p>
            <w:pPr>
              <w:pStyle w:val="8"/>
              <w:spacing w:before="60" w:line="217" w:lineRule="auto"/>
              <w:ind w:left="126"/>
              <w:rPr>
                <w:rFonts w:hint="eastAsia"/>
                <w:b/>
                <w:bCs/>
                <w:spacing w:val="-3"/>
                <w:lang w:val="en-US" w:eastAsia="zh-CN"/>
              </w:rPr>
            </w:pPr>
          </w:p>
          <w:p>
            <w:pPr>
              <w:pStyle w:val="8"/>
              <w:spacing w:before="60" w:line="217" w:lineRule="auto"/>
              <w:ind w:left="126"/>
              <w:rPr>
                <w:rFonts w:hint="eastAsia"/>
                <w:b/>
                <w:bCs/>
                <w:spacing w:val="-3"/>
                <w:lang w:val="en-US" w:eastAsia="zh-CN"/>
              </w:rPr>
            </w:pPr>
          </w:p>
          <w:p>
            <w:pPr>
              <w:pStyle w:val="8"/>
              <w:spacing w:before="60" w:line="217" w:lineRule="auto"/>
              <w:ind w:left="126"/>
              <w:rPr>
                <w:rFonts w:hint="eastAsia"/>
                <w:b/>
                <w:bCs/>
                <w:spacing w:val="-3"/>
                <w:lang w:val="en-US" w:eastAsia="zh-CN"/>
              </w:rPr>
            </w:pPr>
          </w:p>
          <w:p>
            <w:pPr>
              <w:pStyle w:val="8"/>
              <w:spacing w:before="60" w:line="217" w:lineRule="auto"/>
              <w:ind w:left="126"/>
              <w:rPr>
                <w:rFonts w:hint="eastAsia"/>
                <w:b/>
                <w:bCs/>
                <w:spacing w:val="-3"/>
                <w:lang w:val="en-US" w:eastAsia="zh-CN"/>
              </w:rPr>
            </w:pPr>
          </w:p>
          <w:p>
            <w:pPr>
              <w:pStyle w:val="8"/>
              <w:spacing w:before="60" w:line="217" w:lineRule="auto"/>
              <w:ind w:left="126"/>
              <w:rPr>
                <w:rFonts w:hint="eastAsia"/>
                <w:lang w:eastAsia="zh-CN"/>
              </w:rPr>
            </w:pPr>
          </w:p>
        </w:tc>
        <w:tc>
          <w:tcPr>
            <w:tcW w:w="7704" w:type="dxa"/>
            <w:vAlign w:val="top"/>
          </w:tcPr>
          <w:p>
            <w:pPr>
              <w:pStyle w:val="8"/>
              <w:spacing w:before="60" w:line="217" w:lineRule="auto"/>
              <w:ind w:left="126"/>
              <w:rPr>
                <w:rFonts w:hint="eastAsia" w:ascii="宋体" w:hAnsi="宋体" w:eastAsia="宋体" w:cs="宋体"/>
                <w:snapToGrid w:val="0"/>
                <w:color w:val="000000"/>
                <w:kern w:val="0"/>
                <w:sz w:val="21"/>
                <w:szCs w:val="21"/>
                <w:lang w:val="en-US" w:eastAsia="zh-CN" w:bidi="ar-SA"/>
              </w:rPr>
            </w:pPr>
            <w:r>
              <w:rPr>
                <w:rFonts w:hint="eastAsia" w:ascii="宋体" w:hAnsi="宋体" w:eastAsia="宋体" w:cs="宋体"/>
                <w:snapToGrid w:val="0"/>
                <w:color w:val="000000"/>
                <w:kern w:val="0"/>
                <w:sz w:val="21"/>
                <w:szCs w:val="21"/>
                <w:lang w:val="en-US" w:eastAsia="zh-CN" w:bidi="ar-SA"/>
              </w:rPr>
              <w:t>一、课程导入</w:t>
            </w:r>
          </w:p>
          <w:p>
            <w:pPr>
              <w:pStyle w:val="8"/>
              <w:spacing w:before="60" w:line="217" w:lineRule="auto"/>
              <w:ind w:left="126"/>
              <w:rPr>
                <w:rFonts w:hint="eastAsia" w:ascii="宋体" w:hAnsi="宋体" w:eastAsia="宋体" w:cs="宋体"/>
                <w:snapToGrid w:val="0"/>
                <w:color w:val="000000"/>
                <w:kern w:val="0"/>
                <w:sz w:val="21"/>
                <w:szCs w:val="21"/>
                <w:lang w:val="en-US" w:eastAsia="zh-CN" w:bidi="ar-SA"/>
              </w:rPr>
            </w:pPr>
            <w:r>
              <w:rPr>
                <w:rFonts w:hint="eastAsia" w:cs="宋体"/>
                <w:snapToGrid w:val="0"/>
                <w:color w:val="000000"/>
                <w:kern w:val="0"/>
                <w:sz w:val="21"/>
                <w:szCs w:val="21"/>
                <w:lang w:val="en-US" w:eastAsia="zh-CN" w:bidi="ar-SA"/>
              </w:rPr>
              <w:t>1.</w:t>
            </w:r>
            <w:r>
              <w:rPr>
                <w:rFonts w:hint="eastAsia" w:ascii="宋体" w:hAnsi="宋体" w:eastAsia="宋体" w:cs="宋体"/>
                <w:snapToGrid w:val="0"/>
                <w:color w:val="000000"/>
                <w:kern w:val="0"/>
                <w:sz w:val="21"/>
                <w:szCs w:val="21"/>
                <w:lang w:val="en-US" w:eastAsia="zh-CN" w:bidi="ar-SA"/>
              </w:rPr>
              <w:t>CRIME理论简介</w:t>
            </w:r>
          </w:p>
          <w:p>
            <w:pPr>
              <w:pStyle w:val="8"/>
              <w:spacing w:before="60" w:line="217" w:lineRule="auto"/>
              <w:ind w:left="126"/>
              <w:rPr>
                <w:rFonts w:hint="eastAsia" w:ascii="宋体" w:hAnsi="宋体" w:eastAsia="宋体" w:cs="宋体"/>
                <w:snapToGrid w:val="0"/>
                <w:color w:val="000000"/>
                <w:kern w:val="0"/>
                <w:sz w:val="21"/>
                <w:szCs w:val="21"/>
                <w:lang w:val="en-US" w:eastAsia="zh-CN" w:bidi="ar-SA"/>
              </w:rPr>
            </w:pPr>
            <w:r>
              <w:rPr>
                <w:rFonts w:hint="eastAsia" w:cs="宋体"/>
                <w:snapToGrid w:val="0"/>
                <w:color w:val="000000"/>
                <w:kern w:val="0"/>
                <w:sz w:val="21"/>
                <w:szCs w:val="21"/>
                <w:lang w:val="en-US" w:eastAsia="zh-CN" w:bidi="ar-SA"/>
              </w:rPr>
              <w:t>（1）</w:t>
            </w:r>
            <w:r>
              <w:rPr>
                <w:rFonts w:hint="eastAsia" w:ascii="宋体" w:hAnsi="宋体" w:eastAsia="宋体" w:cs="宋体"/>
                <w:snapToGrid w:val="0"/>
                <w:color w:val="000000"/>
                <w:kern w:val="0"/>
                <w:sz w:val="21"/>
                <w:szCs w:val="21"/>
                <w:lang w:val="en-US" w:eastAsia="zh-CN" w:bidi="ar-SA"/>
              </w:rPr>
              <w:t>介绍CRIME理论的五个核心要素：Crime动机、Rationalization借口、Ignorance无知、Money动机、Exposure机会。</w:t>
            </w:r>
          </w:p>
          <w:p>
            <w:pPr>
              <w:pStyle w:val="8"/>
              <w:spacing w:before="60" w:line="217" w:lineRule="auto"/>
              <w:ind w:left="126"/>
              <w:rPr>
                <w:rFonts w:hint="eastAsia" w:ascii="宋体" w:hAnsi="宋体" w:eastAsia="宋体" w:cs="宋体"/>
                <w:snapToGrid w:val="0"/>
                <w:color w:val="000000"/>
                <w:kern w:val="0"/>
                <w:sz w:val="21"/>
                <w:szCs w:val="21"/>
                <w:lang w:val="en-US" w:eastAsia="zh-CN" w:bidi="ar-SA"/>
              </w:rPr>
            </w:pPr>
            <w:r>
              <w:rPr>
                <w:rFonts w:hint="eastAsia" w:cs="宋体"/>
                <w:snapToGrid w:val="0"/>
                <w:color w:val="000000"/>
                <w:kern w:val="0"/>
                <w:sz w:val="21"/>
                <w:szCs w:val="21"/>
                <w:lang w:val="en-US" w:eastAsia="zh-CN" w:bidi="ar-SA"/>
              </w:rPr>
              <w:t>（2）</w:t>
            </w:r>
            <w:r>
              <w:rPr>
                <w:rFonts w:hint="eastAsia" w:ascii="宋体" w:hAnsi="宋体" w:eastAsia="宋体" w:cs="宋体"/>
                <w:snapToGrid w:val="0"/>
                <w:color w:val="000000"/>
                <w:kern w:val="0"/>
                <w:sz w:val="21"/>
                <w:szCs w:val="21"/>
                <w:lang w:val="en-US" w:eastAsia="zh-CN" w:bidi="ar-SA"/>
              </w:rPr>
              <w:t>强调该理论在分析和识别财务舞弊中的应用价值。</w:t>
            </w:r>
          </w:p>
          <w:p>
            <w:pPr>
              <w:pStyle w:val="8"/>
              <w:spacing w:before="60" w:line="217" w:lineRule="auto"/>
              <w:ind w:left="126"/>
              <w:rPr>
                <w:rFonts w:hint="eastAsia" w:ascii="宋体" w:hAnsi="宋体" w:eastAsia="宋体" w:cs="宋体"/>
                <w:snapToGrid w:val="0"/>
                <w:color w:val="000000"/>
                <w:kern w:val="0"/>
                <w:sz w:val="21"/>
                <w:szCs w:val="21"/>
                <w:lang w:val="en-US" w:eastAsia="zh-CN" w:bidi="ar-SA"/>
              </w:rPr>
            </w:pPr>
            <w:r>
              <w:rPr>
                <w:rFonts w:hint="eastAsia" w:cs="宋体"/>
                <w:snapToGrid w:val="0"/>
                <w:color w:val="000000"/>
                <w:kern w:val="0"/>
                <w:sz w:val="21"/>
                <w:szCs w:val="21"/>
                <w:lang w:val="en-US" w:eastAsia="zh-CN" w:bidi="ar-SA"/>
              </w:rPr>
              <w:t>2.</w:t>
            </w:r>
            <w:r>
              <w:rPr>
                <w:rFonts w:hint="eastAsia" w:ascii="宋体" w:hAnsi="宋体" w:eastAsia="宋体" w:cs="宋体"/>
                <w:snapToGrid w:val="0"/>
                <w:color w:val="000000"/>
                <w:kern w:val="0"/>
                <w:sz w:val="21"/>
                <w:szCs w:val="21"/>
                <w:lang w:val="en-US" w:eastAsia="zh-CN" w:bidi="ar-SA"/>
              </w:rPr>
              <w:t>*ST宜生案例背景</w:t>
            </w:r>
          </w:p>
          <w:p>
            <w:pPr>
              <w:pStyle w:val="8"/>
              <w:spacing w:before="60" w:line="217" w:lineRule="auto"/>
              <w:ind w:left="126"/>
              <w:rPr>
                <w:rFonts w:hint="eastAsia" w:ascii="宋体" w:hAnsi="宋体" w:eastAsia="宋体" w:cs="宋体"/>
                <w:snapToGrid w:val="0"/>
                <w:color w:val="000000"/>
                <w:kern w:val="0"/>
                <w:sz w:val="21"/>
                <w:szCs w:val="21"/>
                <w:lang w:val="en-US" w:eastAsia="zh-CN" w:bidi="ar-SA"/>
              </w:rPr>
            </w:pPr>
            <w:r>
              <w:rPr>
                <w:rFonts w:hint="eastAsia" w:cs="宋体"/>
                <w:snapToGrid w:val="0"/>
                <w:color w:val="000000"/>
                <w:kern w:val="0"/>
                <w:sz w:val="21"/>
                <w:szCs w:val="21"/>
                <w:lang w:val="en-US" w:eastAsia="zh-CN" w:bidi="ar-SA"/>
              </w:rPr>
              <w:t>（1）</w:t>
            </w:r>
            <w:r>
              <w:rPr>
                <w:rFonts w:hint="eastAsia" w:ascii="宋体" w:hAnsi="宋体" w:eastAsia="宋体" w:cs="宋体"/>
                <w:snapToGrid w:val="0"/>
                <w:color w:val="000000"/>
                <w:kern w:val="0"/>
                <w:sz w:val="21"/>
                <w:szCs w:val="21"/>
                <w:lang w:val="en-US" w:eastAsia="zh-CN" w:bidi="ar-SA"/>
              </w:rPr>
              <w:t>简要介绍*ST宜生公司的基本情况，包括其主营业务、市场地位等。</w:t>
            </w:r>
          </w:p>
          <w:p>
            <w:pPr>
              <w:pStyle w:val="8"/>
              <w:spacing w:before="60" w:line="217" w:lineRule="auto"/>
              <w:ind w:left="126"/>
              <w:rPr>
                <w:rFonts w:hint="eastAsia" w:ascii="宋体" w:hAnsi="宋体" w:eastAsia="宋体" w:cs="宋体"/>
                <w:snapToGrid w:val="0"/>
                <w:color w:val="000000"/>
                <w:kern w:val="0"/>
                <w:sz w:val="21"/>
                <w:szCs w:val="21"/>
                <w:lang w:val="en-US" w:eastAsia="zh-CN" w:bidi="ar-SA"/>
              </w:rPr>
            </w:pPr>
            <w:r>
              <w:rPr>
                <w:rFonts w:hint="eastAsia" w:cs="宋体"/>
                <w:snapToGrid w:val="0"/>
                <w:color w:val="000000"/>
                <w:kern w:val="0"/>
                <w:sz w:val="21"/>
                <w:szCs w:val="21"/>
                <w:lang w:val="en-US" w:eastAsia="zh-CN" w:bidi="ar-SA"/>
              </w:rPr>
              <w:t>（2）</w:t>
            </w:r>
            <w:r>
              <w:rPr>
                <w:rFonts w:hint="eastAsia" w:ascii="宋体" w:hAnsi="宋体" w:eastAsia="宋体" w:cs="宋体"/>
                <w:snapToGrid w:val="0"/>
                <w:color w:val="000000"/>
                <w:kern w:val="0"/>
                <w:sz w:val="21"/>
                <w:szCs w:val="21"/>
                <w:lang w:val="en-US" w:eastAsia="zh-CN" w:bidi="ar-SA"/>
              </w:rPr>
              <w:t>阐述*ST宜生财务舞弊案的发现、调查和处理过程。</w:t>
            </w:r>
          </w:p>
          <w:p>
            <w:pPr>
              <w:pStyle w:val="8"/>
              <w:spacing w:before="60" w:line="217" w:lineRule="auto"/>
              <w:ind w:left="126"/>
              <w:rPr>
                <w:rFonts w:hint="eastAsia" w:ascii="宋体" w:hAnsi="宋体" w:eastAsia="宋体" w:cs="宋体"/>
                <w:snapToGrid w:val="0"/>
                <w:color w:val="000000"/>
                <w:kern w:val="0"/>
                <w:sz w:val="21"/>
                <w:szCs w:val="21"/>
                <w:lang w:val="en-US" w:eastAsia="zh-CN" w:bidi="ar-SA"/>
              </w:rPr>
            </w:pPr>
          </w:p>
          <w:p>
            <w:pPr>
              <w:pStyle w:val="8"/>
              <w:spacing w:before="60" w:line="217" w:lineRule="auto"/>
              <w:ind w:left="126"/>
              <w:rPr>
                <w:rFonts w:hint="eastAsia" w:ascii="宋体" w:hAnsi="宋体" w:eastAsia="宋体" w:cs="宋体"/>
                <w:snapToGrid w:val="0"/>
                <w:color w:val="000000"/>
                <w:kern w:val="0"/>
                <w:sz w:val="21"/>
                <w:szCs w:val="21"/>
                <w:lang w:val="en-US" w:eastAsia="zh-CN" w:bidi="ar-SA"/>
              </w:rPr>
            </w:pPr>
            <w:r>
              <w:rPr>
                <w:rFonts w:hint="eastAsia" w:ascii="宋体" w:hAnsi="宋体" w:eastAsia="宋体" w:cs="宋体"/>
                <w:snapToGrid w:val="0"/>
                <w:color w:val="000000"/>
                <w:kern w:val="0"/>
                <w:sz w:val="21"/>
                <w:szCs w:val="21"/>
                <w:lang w:val="en-US" w:eastAsia="zh-CN" w:bidi="ar-SA"/>
              </w:rPr>
              <w:t>二、CRIME理论在*ST宜生案例中的应用</w:t>
            </w:r>
          </w:p>
          <w:p>
            <w:pPr>
              <w:pStyle w:val="8"/>
              <w:spacing w:before="60" w:line="217" w:lineRule="auto"/>
              <w:ind w:left="126"/>
              <w:rPr>
                <w:rFonts w:hint="eastAsia" w:ascii="宋体" w:hAnsi="宋体" w:eastAsia="宋体" w:cs="宋体"/>
                <w:snapToGrid w:val="0"/>
                <w:color w:val="000000"/>
                <w:kern w:val="0"/>
                <w:sz w:val="21"/>
                <w:szCs w:val="21"/>
                <w:lang w:val="en-US" w:eastAsia="zh-CN" w:bidi="ar-SA"/>
              </w:rPr>
            </w:pPr>
            <w:r>
              <w:rPr>
                <w:rFonts w:hint="eastAsia" w:cs="宋体"/>
                <w:snapToGrid w:val="0"/>
                <w:color w:val="000000"/>
                <w:kern w:val="0"/>
                <w:sz w:val="21"/>
                <w:szCs w:val="21"/>
                <w:lang w:val="en-US" w:eastAsia="zh-CN" w:bidi="ar-SA"/>
              </w:rPr>
              <w:t>1.</w:t>
            </w:r>
            <w:r>
              <w:rPr>
                <w:rFonts w:hint="eastAsia" w:ascii="宋体" w:hAnsi="宋体" w:eastAsia="宋体" w:cs="宋体"/>
                <w:snapToGrid w:val="0"/>
                <w:color w:val="000000"/>
                <w:kern w:val="0"/>
                <w:sz w:val="21"/>
                <w:szCs w:val="21"/>
                <w:lang w:val="en-US" w:eastAsia="zh-CN" w:bidi="ar-SA"/>
              </w:rPr>
              <w:t>Crime动机分析</w:t>
            </w:r>
          </w:p>
          <w:p>
            <w:pPr>
              <w:pStyle w:val="8"/>
              <w:spacing w:before="60" w:line="217" w:lineRule="auto"/>
              <w:ind w:left="126"/>
              <w:rPr>
                <w:rFonts w:hint="eastAsia" w:ascii="宋体" w:hAnsi="宋体" w:eastAsia="宋体" w:cs="宋体"/>
                <w:snapToGrid w:val="0"/>
                <w:color w:val="000000"/>
                <w:kern w:val="0"/>
                <w:sz w:val="21"/>
                <w:szCs w:val="21"/>
                <w:lang w:val="en-US" w:eastAsia="zh-CN" w:bidi="ar-SA"/>
              </w:rPr>
            </w:pPr>
            <w:r>
              <w:rPr>
                <w:rFonts w:hint="eastAsia" w:cs="宋体"/>
                <w:snapToGrid w:val="0"/>
                <w:color w:val="000000"/>
                <w:kern w:val="0"/>
                <w:sz w:val="21"/>
                <w:szCs w:val="21"/>
                <w:lang w:val="en-US" w:eastAsia="zh-CN" w:bidi="ar-SA"/>
              </w:rPr>
              <w:t>（1）</w:t>
            </w:r>
            <w:r>
              <w:rPr>
                <w:rFonts w:hint="eastAsia" w:ascii="宋体" w:hAnsi="宋体" w:eastAsia="宋体" w:cs="宋体"/>
                <w:snapToGrid w:val="0"/>
                <w:color w:val="000000"/>
                <w:kern w:val="0"/>
                <w:sz w:val="21"/>
                <w:szCs w:val="21"/>
                <w:lang w:val="en-US" w:eastAsia="zh-CN" w:bidi="ar-SA"/>
              </w:rPr>
              <w:t>分析*ST宜生进行财务舞弊的动机，如避免退市、维持股价等。</w:t>
            </w:r>
          </w:p>
          <w:p>
            <w:pPr>
              <w:pStyle w:val="8"/>
              <w:spacing w:before="60" w:line="217" w:lineRule="auto"/>
              <w:ind w:left="126"/>
              <w:rPr>
                <w:rFonts w:hint="eastAsia" w:ascii="宋体" w:hAnsi="宋体" w:eastAsia="宋体" w:cs="宋体"/>
                <w:snapToGrid w:val="0"/>
                <w:color w:val="000000"/>
                <w:kern w:val="0"/>
                <w:sz w:val="21"/>
                <w:szCs w:val="21"/>
                <w:lang w:val="en-US" w:eastAsia="zh-CN" w:bidi="ar-SA"/>
              </w:rPr>
            </w:pPr>
            <w:r>
              <w:rPr>
                <w:rFonts w:hint="eastAsia" w:cs="宋体"/>
                <w:snapToGrid w:val="0"/>
                <w:color w:val="000000"/>
                <w:kern w:val="0"/>
                <w:sz w:val="21"/>
                <w:szCs w:val="21"/>
                <w:lang w:val="en-US" w:eastAsia="zh-CN" w:bidi="ar-SA"/>
              </w:rPr>
              <w:t>（2）</w:t>
            </w:r>
            <w:r>
              <w:rPr>
                <w:rFonts w:hint="eastAsia" w:ascii="宋体" w:hAnsi="宋体" w:eastAsia="宋体" w:cs="宋体"/>
                <w:snapToGrid w:val="0"/>
                <w:color w:val="000000"/>
                <w:kern w:val="0"/>
                <w:sz w:val="21"/>
                <w:szCs w:val="21"/>
                <w:lang w:val="en-US" w:eastAsia="zh-CN" w:bidi="ar-SA"/>
              </w:rPr>
              <w:t>结合具体数据和事件，揭示舞弊动机的实质。</w:t>
            </w:r>
          </w:p>
          <w:p>
            <w:pPr>
              <w:pStyle w:val="8"/>
              <w:spacing w:before="60" w:line="217" w:lineRule="auto"/>
              <w:ind w:left="126"/>
              <w:rPr>
                <w:rFonts w:hint="eastAsia" w:ascii="宋体" w:hAnsi="宋体" w:eastAsia="宋体" w:cs="宋体"/>
                <w:snapToGrid w:val="0"/>
                <w:color w:val="000000"/>
                <w:kern w:val="0"/>
                <w:sz w:val="21"/>
                <w:szCs w:val="21"/>
                <w:lang w:val="en-US" w:eastAsia="zh-CN" w:bidi="ar-SA"/>
              </w:rPr>
            </w:pPr>
            <w:r>
              <w:rPr>
                <w:rFonts w:hint="eastAsia" w:cs="宋体"/>
                <w:snapToGrid w:val="0"/>
                <w:color w:val="000000"/>
                <w:kern w:val="0"/>
                <w:sz w:val="21"/>
                <w:szCs w:val="21"/>
                <w:lang w:val="en-US" w:eastAsia="zh-CN" w:bidi="ar-SA"/>
              </w:rPr>
              <w:t>2.</w:t>
            </w:r>
            <w:r>
              <w:rPr>
                <w:rFonts w:hint="eastAsia" w:ascii="宋体" w:hAnsi="宋体" w:eastAsia="宋体" w:cs="宋体"/>
                <w:snapToGrid w:val="0"/>
                <w:color w:val="000000"/>
                <w:kern w:val="0"/>
                <w:sz w:val="21"/>
                <w:szCs w:val="21"/>
                <w:lang w:val="en-US" w:eastAsia="zh-CN" w:bidi="ar-SA"/>
              </w:rPr>
              <w:t>Rationalization借口分析</w:t>
            </w:r>
          </w:p>
          <w:p>
            <w:pPr>
              <w:pStyle w:val="8"/>
              <w:spacing w:before="60" w:line="217" w:lineRule="auto"/>
              <w:ind w:left="126"/>
              <w:rPr>
                <w:rFonts w:hint="eastAsia" w:ascii="宋体" w:hAnsi="宋体" w:eastAsia="宋体" w:cs="宋体"/>
                <w:snapToGrid w:val="0"/>
                <w:color w:val="000000"/>
                <w:kern w:val="0"/>
                <w:sz w:val="21"/>
                <w:szCs w:val="21"/>
                <w:lang w:val="en-US" w:eastAsia="zh-CN" w:bidi="ar-SA"/>
              </w:rPr>
            </w:pPr>
            <w:r>
              <w:rPr>
                <w:rFonts w:hint="eastAsia" w:cs="宋体"/>
                <w:snapToGrid w:val="0"/>
                <w:color w:val="000000"/>
                <w:kern w:val="0"/>
                <w:sz w:val="21"/>
                <w:szCs w:val="21"/>
                <w:lang w:val="en-US" w:eastAsia="zh-CN" w:bidi="ar-SA"/>
              </w:rPr>
              <w:t>（1）</w:t>
            </w:r>
            <w:r>
              <w:rPr>
                <w:rFonts w:hint="eastAsia" w:ascii="宋体" w:hAnsi="宋体" w:eastAsia="宋体" w:cs="宋体"/>
                <w:snapToGrid w:val="0"/>
                <w:color w:val="000000"/>
                <w:kern w:val="0"/>
                <w:sz w:val="21"/>
                <w:szCs w:val="21"/>
                <w:lang w:val="en-US" w:eastAsia="zh-CN" w:bidi="ar-SA"/>
              </w:rPr>
              <w:t>探讨*ST宜生如何为其财务舞弊行为找借口，如市场环境不好、经营困难等。</w:t>
            </w:r>
          </w:p>
          <w:p>
            <w:pPr>
              <w:pStyle w:val="8"/>
              <w:spacing w:before="60" w:line="217" w:lineRule="auto"/>
              <w:ind w:left="126"/>
              <w:rPr>
                <w:rFonts w:hint="eastAsia" w:ascii="宋体" w:hAnsi="宋体" w:eastAsia="宋体" w:cs="宋体"/>
                <w:snapToGrid w:val="0"/>
                <w:color w:val="000000"/>
                <w:kern w:val="0"/>
                <w:sz w:val="21"/>
                <w:szCs w:val="21"/>
                <w:lang w:val="en-US" w:eastAsia="zh-CN" w:bidi="ar-SA"/>
              </w:rPr>
            </w:pPr>
            <w:r>
              <w:rPr>
                <w:rFonts w:hint="eastAsia" w:cs="宋体"/>
                <w:snapToGrid w:val="0"/>
                <w:color w:val="000000"/>
                <w:kern w:val="0"/>
                <w:sz w:val="21"/>
                <w:szCs w:val="21"/>
                <w:lang w:val="en-US" w:eastAsia="zh-CN" w:bidi="ar-SA"/>
              </w:rPr>
              <w:t>（2）</w:t>
            </w:r>
            <w:r>
              <w:rPr>
                <w:rFonts w:hint="eastAsia" w:ascii="宋体" w:hAnsi="宋体" w:eastAsia="宋体" w:cs="宋体"/>
                <w:snapToGrid w:val="0"/>
                <w:color w:val="000000"/>
                <w:kern w:val="0"/>
                <w:sz w:val="21"/>
                <w:szCs w:val="21"/>
                <w:lang w:val="en-US" w:eastAsia="zh-CN" w:bidi="ar-SA"/>
              </w:rPr>
              <w:t>分析这些借口的合理性和真实性。</w:t>
            </w:r>
          </w:p>
          <w:p>
            <w:pPr>
              <w:pStyle w:val="8"/>
              <w:spacing w:before="60" w:line="217" w:lineRule="auto"/>
              <w:ind w:left="126"/>
              <w:rPr>
                <w:rFonts w:hint="eastAsia" w:ascii="宋体" w:hAnsi="宋体" w:eastAsia="宋体" w:cs="宋体"/>
                <w:snapToGrid w:val="0"/>
                <w:color w:val="000000"/>
                <w:kern w:val="0"/>
                <w:sz w:val="21"/>
                <w:szCs w:val="21"/>
                <w:lang w:val="en-US" w:eastAsia="zh-CN" w:bidi="ar-SA"/>
              </w:rPr>
            </w:pPr>
            <w:r>
              <w:rPr>
                <w:rFonts w:hint="eastAsia" w:cs="宋体"/>
                <w:snapToGrid w:val="0"/>
                <w:color w:val="000000"/>
                <w:kern w:val="0"/>
                <w:sz w:val="21"/>
                <w:szCs w:val="21"/>
                <w:lang w:val="en-US" w:eastAsia="zh-CN" w:bidi="ar-SA"/>
              </w:rPr>
              <w:t>3.</w:t>
            </w:r>
            <w:r>
              <w:rPr>
                <w:rFonts w:hint="eastAsia" w:ascii="宋体" w:hAnsi="宋体" w:eastAsia="宋体" w:cs="宋体"/>
                <w:snapToGrid w:val="0"/>
                <w:color w:val="000000"/>
                <w:kern w:val="0"/>
                <w:sz w:val="21"/>
                <w:szCs w:val="21"/>
                <w:lang w:val="en-US" w:eastAsia="zh-CN" w:bidi="ar-SA"/>
              </w:rPr>
              <w:t>Ignorance无知分析</w:t>
            </w:r>
          </w:p>
          <w:p>
            <w:pPr>
              <w:pStyle w:val="8"/>
              <w:spacing w:before="60" w:line="217" w:lineRule="auto"/>
              <w:ind w:left="126"/>
              <w:rPr>
                <w:rFonts w:hint="eastAsia" w:ascii="宋体" w:hAnsi="宋体" w:eastAsia="宋体" w:cs="宋体"/>
                <w:snapToGrid w:val="0"/>
                <w:color w:val="000000"/>
                <w:kern w:val="0"/>
                <w:sz w:val="21"/>
                <w:szCs w:val="21"/>
                <w:lang w:val="en-US" w:eastAsia="zh-CN" w:bidi="ar-SA"/>
              </w:rPr>
            </w:pPr>
            <w:r>
              <w:rPr>
                <w:rFonts w:hint="eastAsia" w:cs="宋体"/>
                <w:snapToGrid w:val="0"/>
                <w:color w:val="000000"/>
                <w:kern w:val="0"/>
                <w:sz w:val="21"/>
                <w:szCs w:val="21"/>
                <w:lang w:val="en-US" w:eastAsia="zh-CN" w:bidi="ar-SA"/>
              </w:rPr>
              <w:t>（1）</w:t>
            </w:r>
            <w:r>
              <w:rPr>
                <w:rFonts w:hint="eastAsia" w:ascii="宋体" w:hAnsi="宋体" w:eastAsia="宋体" w:cs="宋体"/>
                <w:snapToGrid w:val="0"/>
                <w:color w:val="000000"/>
                <w:kern w:val="0"/>
                <w:sz w:val="21"/>
                <w:szCs w:val="21"/>
                <w:lang w:val="en-US" w:eastAsia="zh-CN" w:bidi="ar-SA"/>
              </w:rPr>
              <w:t>评估*ST宜生在财务舞弊过程中是否表现出对法律法规的无知或忽视。</w:t>
            </w:r>
          </w:p>
          <w:p>
            <w:pPr>
              <w:pStyle w:val="8"/>
              <w:spacing w:before="60" w:line="217" w:lineRule="auto"/>
              <w:ind w:left="126"/>
              <w:rPr>
                <w:rFonts w:hint="eastAsia" w:ascii="宋体" w:hAnsi="宋体" w:eastAsia="宋体" w:cs="宋体"/>
                <w:snapToGrid w:val="0"/>
                <w:color w:val="000000"/>
                <w:kern w:val="0"/>
                <w:sz w:val="21"/>
                <w:szCs w:val="21"/>
                <w:lang w:val="en-US" w:eastAsia="zh-CN" w:bidi="ar-SA"/>
              </w:rPr>
            </w:pPr>
            <w:r>
              <w:rPr>
                <w:rFonts w:hint="eastAsia" w:cs="宋体"/>
                <w:snapToGrid w:val="0"/>
                <w:color w:val="000000"/>
                <w:kern w:val="0"/>
                <w:sz w:val="21"/>
                <w:szCs w:val="21"/>
                <w:lang w:val="en-US" w:eastAsia="zh-CN" w:bidi="ar-SA"/>
              </w:rPr>
              <w:t>（2）</w:t>
            </w:r>
            <w:r>
              <w:rPr>
                <w:rFonts w:hint="eastAsia" w:ascii="宋体" w:hAnsi="宋体" w:eastAsia="宋体" w:cs="宋体"/>
                <w:snapToGrid w:val="0"/>
                <w:color w:val="000000"/>
                <w:kern w:val="0"/>
                <w:sz w:val="21"/>
                <w:szCs w:val="21"/>
                <w:lang w:val="en-US" w:eastAsia="zh-CN" w:bidi="ar-SA"/>
              </w:rPr>
              <w:t>分析这种无知或忽视对舞弊行为的影响。</w:t>
            </w:r>
          </w:p>
          <w:p>
            <w:pPr>
              <w:pStyle w:val="8"/>
              <w:spacing w:before="60" w:line="217" w:lineRule="auto"/>
              <w:ind w:left="126"/>
              <w:rPr>
                <w:rFonts w:hint="eastAsia" w:ascii="宋体" w:hAnsi="宋体" w:eastAsia="宋体" w:cs="宋体"/>
                <w:snapToGrid w:val="0"/>
                <w:color w:val="000000"/>
                <w:kern w:val="0"/>
                <w:sz w:val="21"/>
                <w:szCs w:val="21"/>
                <w:lang w:val="en-US" w:eastAsia="zh-CN" w:bidi="ar-SA"/>
              </w:rPr>
            </w:pPr>
            <w:r>
              <w:rPr>
                <w:rFonts w:hint="eastAsia" w:cs="宋体"/>
                <w:snapToGrid w:val="0"/>
                <w:color w:val="000000"/>
                <w:kern w:val="0"/>
                <w:sz w:val="21"/>
                <w:szCs w:val="21"/>
                <w:lang w:val="en-US" w:eastAsia="zh-CN" w:bidi="ar-SA"/>
              </w:rPr>
              <w:t>4.</w:t>
            </w:r>
            <w:r>
              <w:rPr>
                <w:rFonts w:hint="eastAsia" w:ascii="宋体" w:hAnsi="宋体" w:eastAsia="宋体" w:cs="宋体"/>
                <w:snapToGrid w:val="0"/>
                <w:color w:val="000000"/>
                <w:kern w:val="0"/>
                <w:sz w:val="21"/>
                <w:szCs w:val="21"/>
                <w:lang w:val="en-US" w:eastAsia="zh-CN" w:bidi="ar-SA"/>
              </w:rPr>
              <w:t>Money动机分析</w:t>
            </w:r>
          </w:p>
          <w:p>
            <w:pPr>
              <w:pStyle w:val="8"/>
              <w:spacing w:before="60" w:line="217" w:lineRule="auto"/>
              <w:ind w:left="126"/>
              <w:rPr>
                <w:rFonts w:hint="eastAsia" w:ascii="宋体" w:hAnsi="宋体" w:eastAsia="宋体" w:cs="宋体"/>
                <w:snapToGrid w:val="0"/>
                <w:color w:val="000000"/>
                <w:kern w:val="0"/>
                <w:sz w:val="21"/>
                <w:szCs w:val="21"/>
                <w:lang w:val="en-US" w:eastAsia="zh-CN" w:bidi="ar-SA"/>
              </w:rPr>
            </w:pPr>
            <w:r>
              <w:rPr>
                <w:rFonts w:hint="eastAsia" w:cs="宋体"/>
                <w:snapToGrid w:val="0"/>
                <w:color w:val="000000"/>
                <w:kern w:val="0"/>
                <w:sz w:val="21"/>
                <w:szCs w:val="21"/>
                <w:lang w:val="en-US" w:eastAsia="zh-CN" w:bidi="ar-SA"/>
              </w:rPr>
              <w:t>（1）</w:t>
            </w:r>
            <w:r>
              <w:rPr>
                <w:rFonts w:hint="eastAsia" w:ascii="宋体" w:hAnsi="宋体" w:eastAsia="宋体" w:cs="宋体"/>
                <w:snapToGrid w:val="0"/>
                <w:color w:val="000000"/>
                <w:kern w:val="0"/>
                <w:sz w:val="21"/>
                <w:szCs w:val="21"/>
                <w:lang w:val="en-US" w:eastAsia="zh-CN" w:bidi="ar-SA"/>
              </w:rPr>
              <w:t>揭示*ST宜生财务舞弊背后的经济利益驱动，如虚增利润、掩盖亏损等。</w:t>
            </w:r>
          </w:p>
          <w:p>
            <w:pPr>
              <w:pStyle w:val="8"/>
              <w:spacing w:before="60" w:line="217" w:lineRule="auto"/>
              <w:ind w:left="126"/>
              <w:rPr>
                <w:rFonts w:hint="eastAsia" w:ascii="宋体" w:hAnsi="宋体" w:eastAsia="宋体" w:cs="宋体"/>
                <w:snapToGrid w:val="0"/>
                <w:color w:val="000000"/>
                <w:kern w:val="0"/>
                <w:sz w:val="21"/>
                <w:szCs w:val="21"/>
                <w:lang w:val="en-US" w:eastAsia="zh-CN" w:bidi="ar-SA"/>
              </w:rPr>
            </w:pPr>
            <w:r>
              <w:rPr>
                <w:rFonts w:hint="eastAsia" w:cs="宋体"/>
                <w:snapToGrid w:val="0"/>
                <w:color w:val="000000"/>
                <w:kern w:val="0"/>
                <w:sz w:val="21"/>
                <w:szCs w:val="21"/>
                <w:lang w:val="en-US" w:eastAsia="zh-CN" w:bidi="ar-SA"/>
              </w:rPr>
              <w:t>（2）</w:t>
            </w:r>
            <w:r>
              <w:rPr>
                <w:rFonts w:hint="eastAsia" w:ascii="宋体" w:hAnsi="宋体" w:eastAsia="宋体" w:cs="宋体"/>
                <w:snapToGrid w:val="0"/>
                <w:color w:val="000000"/>
                <w:kern w:val="0"/>
                <w:sz w:val="21"/>
                <w:szCs w:val="21"/>
                <w:lang w:val="en-US" w:eastAsia="zh-CN" w:bidi="ar-SA"/>
              </w:rPr>
              <w:t>结合具体数据和事件，量化分析舞弊行为带来的经济利益。</w:t>
            </w:r>
          </w:p>
          <w:p>
            <w:pPr>
              <w:pStyle w:val="8"/>
              <w:spacing w:before="60" w:line="217" w:lineRule="auto"/>
              <w:ind w:left="126"/>
              <w:rPr>
                <w:rFonts w:hint="eastAsia" w:ascii="宋体" w:hAnsi="宋体" w:eastAsia="宋体" w:cs="宋体"/>
                <w:snapToGrid w:val="0"/>
                <w:color w:val="000000"/>
                <w:kern w:val="0"/>
                <w:sz w:val="21"/>
                <w:szCs w:val="21"/>
                <w:lang w:val="en-US" w:eastAsia="zh-CN" w:bidi="ar-SA"/>
              </w:rPr>
            </w:pPr>
            <w:r>
              <w:rPr>
                <w:rFonts w:hint="eastAsia" w:cs="宋体"/>
                <w:snapToGrid w:val="0"/>
                <w:color w:val="000000"/>
                <w:kern w:val="0"/>
                <w:sz w:val="21"/>
                <w:szCs w:val="21"/>
                <w:lang w:val="en-US" w:eastAsia="zh-CN" w:bidi="ar-SA"/>
              </w:rPr>
              <w:t>5.</w:t>
            </w:r>
            <w:r>
              <w:rPr>
                <w:rFonts w:hint="eastAsia" w:ascii="宋体" w:hAnsi="宋体" w:eastAsia="宋体" w:cs="宋体"/>
                <w:snapToGrid w:val="0"/>
                <w:color w:val="000000"/>
                <w:kern w:val="0"/>
                <w:sz w:val="21"/>
                <w:szCs w:val="21"/>
                <w:lang w:val="en-US" w:eastAsia="zh-CN" w:bidi="ar-SA"/>
              </w:rPr>
              <w:t>Exposure机会分析</w:t>
            </w:r>
          </w:p>
          <w:p>
            <w:pPr>
              <w:pStyle w:val="8"/>
              <w:spacing w:before="60" w:line="217" w:lineRule="auto"/>
              <w:ind w:left="126"/>
              <w:rPr>
                <w:rFonts w:hint="eastAsia" w:ascii="宋体" w:hAnsi="宋体" w:eastAsia="宋体" w:cs="宋体"/>
                <w:snapToGrid w:val="0"/>
                <w:color w:val="000000"/>
                <w:kern w:val="0"/>
                <w:sz w:val="21"/>
                <w:szCs w:val="21"/>
                <w:lang w:val="en-US" w:eastAsia="zh-CN" w:bidi="ar-SA"/>
              </w:rPr>
            </w:pPr>
            <w:r>
              <w:rPr>
                <w:rFonts w:hint="eastAsia" w:cs="宋体"/>
                <w:snapToGrid w:val="0"/>
                <w:color w:val="000000"/>
                <w:kern w:val="0"/>
                <w:sz w:val="21"/>
                <w:szCs w:val="21"/>
                <w:lang w:val="en-US" w:eastAsia="zh-CN" w:bidi="ar-SA"/>
              </w:rPr>
              <w:t>（1）</w:t>
            </w:r>
            <w:r>
              <w:rPr>
                <w:rFonts w:hint="eastAsia" w:ascii="宋体" w:hAnsi="宋体" w:eastAsia="宋体" w:cs="宋体"/>
                <w:snapToGrid w:val="0"/>
                <w:color w:val="000000"/>
                <w:kern w:val="0"/>
                <w:sz w:val="21"/>
                <w:szCs w:val="21"/>
                <w:lang w:val="en-US" w:eastAsia="zh-CN" w:bidi="ar-SA"/>
              </w:rPr>
              <w:t>分析*ST宜生进行财务舞弊的机会，如内部控制薄弱、外部监管不力等。</w:t>
            </w:r>
          </w:p>
          <w:p>
            <w:pPr>
              <w:pStyle w:val="8"/>
              <w:spacing w:before="60" w:line="217" w:lineRule="auto"/>
              <w:ind w:left="126"/>
              <w:rPr>
                <w:rFonts w:hint="eastAsia" w:ascii="宋体" w:hAnsi="宋体" w:eastAsia="宋体" w:cs="宋体"/>
                <w:snapToGrid w:val="0"/>
                <w:color w:val="000000"/>
                <w:kern w:val="0"/>
                <w:sz w:val="21"/>
                <w:szCs w:val="21"/>
                <w:lang w:val="en-US" w:eastAsia="zh-CN" w:bidi="ar-SA"/>
              </w:rPr>
            </w:pPr>
            <w:r>
              <w:rPr>
                <w:rFonts w:hint="eastAsia" w:cs="宋体"/>
                <w:snapToGrid w:val="0"/>
                <w:color w:val="000000"/>
                <w:kern w:val="0"/>
                <w:sz w:val="21"/>
                <w:szCs w:val="21"/>
                <w:lang w:val="en-US" w:eastAsia="zh-CN" w:bidi="ar-SA"/>
              </w:rPr>
              <w:t>（2）</w:t>
            </w:r>
            <w:r>
              <w:rPr>
                <w:rFonts w:hint="eastAsia" w:ascii="宋体" w:hAnsi="宋体" w:eastAsia="宋体" w:cs="宋体"/>
                <w:snapToGrid w:val="0"/>
                <w:color w:val="000000"/>
                <w:kern w:val="0"/>
                <w:sz w:val="21"/>
                <w:szCs w:val="21"/>
                <w:lang w:val="en-US" w:eastAsia="zh-CN" w:bidi="ar-SA"/>
              </w:rPr>
              <w:t>探讨这些机会如何被利用于舞弊行为。</w:t>
            </w:r>
          </w:p>
          <w:p>
            <w:pPr>
              <w:pStyle w:val="8"/>
              <w:spacing w:before="60" w:line="217" w:lineRule="auto"/>
              <w:ind w:left="126"/>
              <w:rPr>
                <w:rFonts w:hint="eastAsia" w:ascii="宋体" w:hAnsi="宋体" w:eastAsia="宋体" w:cs="宋体"/>
                <w:snapToGrid w:val="0"/>
                <w:color w:val="000000"/>
                <w:kern w:val="0"/>
                <w:sz w:val="21"/>
                <w:szCs w:val="21"/>
                <w:lang w:val="en-US" w:eastAsia="zh-CN" w:bidi="ar-SA"/>
              </w:rPr>
            </w:pPr>
          </w:p>
          <w:p>
            <w:pPr>
              <w:pStyle w:val="8"/>
              <w:spacing w:before="60" w:line="217" w:lineRule="auto"/>
              <w:ind w:left="126"/>
              <w:rPr>
                <w:rFonts w:hint="eastAsia" w:ascii="宋体" w:hAnsi="宋体" w:eastAsia="宋体" w:cs="宋体"/>
                <w:snapToGrid w:val="0"/>
                <w:color w:val="000000"/>
                <w:kern w:val="0"/>
                <w:sz w:val="21"/>
                <w:szCs w:val="21"/>
                <w:lang w:val="en-US" w:eastAsia="zh-CN" w:bidi="ar-SA"/>
              </w:rPr>
            </w:pPr>
            <w:r>
              <w:rPr>
                <w:rFonts w:hint="eastAsia" w:ascii="宋体" w:hAnsi="宋体" w:eastAsia="宋体" w:cs="宋体"/>
                <w:snapToGrid w:val="0"/>
                <w:color w:val="000000"/>
                <w:kern w:val="0"/>
                <w:sz w:val="21"/>
                <w:szCs w:val="21"/>
                <w:lang w:val="en-US" w:eastAsia="zh-CN" w:bidi="ar-SA"/>
              </w:rPr>
              <w:t>三、案例分析讨论</w:t>
            </w:r>
          </w:p>
          <w:p>
            <w:pPr>
              <w:pStyle w:val="8"/>
              <w:spacing w:before="60" w:line="217" w:lineRule="auto"/>
              <w:ind w:left="126"/>
              <w:rPr>
                <w:rFonts w:hint="eastAsia" w:ascii="宋体" w:hAnsi="宋体" w:eastAsia="宋体" w:cs="宋体"/>
                <w:snapToGrid w:val="0"/>
                <w:color w:val="000000"/>
                <w:kern w:val="0"/>
                <w:sz w:val="21"/>
                <w:szCs w:val="21"/>
                <w:lang w:val="en-US" w:eastAsia="zh-CN" w:bidi="ar-SA"/>
              </w:rPr>
            </w:pPr>
            <w:r>
              <w:rPr>
                <w:rFonts w:hint="eastAsia" w:cs="宋体"/>
                <w:snapToGrid w:val="0"/>
                <w:color w:val="000000"/>
                <w:kern w:val="0"/>
                <w:sz w:val="21"/>
                <w:szCs w:val="21"/>
                <w:lang w:val="en-US" w:eastAsia="zh-CN" w:bidi="ar-SA"/>
              </w:rPr>
              <w:t>1.</w:t>
            </w:r>
            <w:r>
              <w:rPr>
                <w:rFonts w:hint="eastAsia" w:ascii="宋体" w:hAnsi="宋体" w:eastAsia="宋体" w:cs="宋体"/>
                <w:snapToGrid w:val="0"/>
                <w:color w:val="000000"/>
                <w:kern w:val="0"/>
                <w:sz w:val="21"/>
                <w:szCs w:val="21"/>
                <w:lang w:val="en-US" w:eastAsia="zh-CN" w:bidi="ar-SA"/>
              </w:rPr>
              <w:t>案例细节探讨</w:t>
            </w:r>
          </w:p>
          <w:p>
            <w:pPr>
              <w:pStyle w:val="8"/>
              <w:spacing w:before="60" w:line="217" w:lineRule="auto"/>
              <w:ind w:left="126"/>
              <w:rPr>
                <w:rFonts w:hint="eastAsia" w:ascii="宋体" w:hAnsi="宋体" w:eastAsia="宋体" w:cs="宋体"/>
                <w:snapToGrid w:val="0"/>
                <w:color w:val="000000"/>
                <w:kern w:val="0"/>
                <w:sz w:val="21"/>
                <w:szCs w:val="21"/>
                <w:lang w:val="en-US" w:eastAsia="zh-CN" w:bidi="ar-SA"/>
              </w:rPr>
            </w:pPr>
            <w:r>
              <w:rPr>
                <w:rFonts w:hint="eastAsia" w:cs="宋体"/>
                <w:snapToGrid w:val="0"/>
                <w:color w:val="000000"/>
                <w:kern w:val="0"/>
                <w:sz w:val="21"/>
                <w:szCs w:val="21"/>
                <w:lang w:val="en-US" w:eastAsia="zh-CN" w:bidi="ar-SA"/>
              </w:rPr>
              <w:t>（1）</w:t>
            </w:r>
            <w:r>
              <w:rPr>
                <w:rFonts w:hint="eastAsia" w:ascii="宋体" w:hAnsi="宋体" w:eastAsia="宋体" w:cs="宋体"/>
                <w:snapToGrid w:val="0"/>
                <w:color w:val="000000"/>
                <w:kern w:val="0"/>
                <w:sz w:val="21"/>
                <w:szCs w:val="21"/>
                <w:lang w:val="en-US" w:eastAsia="zh-CN" w:bidi="ar-SA"/>
              </w:rPr>
              <w:t>深入讨论*ST宜生财务舞弊案的具体细节，如虚构销售业务、伪造银行单据等。</w:t>
            </w:r>
          </w:p>
          <w:p>
            <w:pPr>
              <w:pStyle w:val="8"/>
              <w:spacing w:before="60" w:line="217" w:lineRule="auto"/>
              <w:ind w:left="126"/>
              <w:rPr>
                <w:rFonts w:hint="eastAsia" w:ascii="宋体" w:hAnsi="宋体" w:eastAsia="宋体" w:cs="宋体"/>
                <w:snapToGrid w:val="0"/>
                <w:color w:val="000000"/>
                <w:kern w:val="0"/>
                <w:sz w:val="21"/>
                <w:szCs w:val="21"/>
                <w:lang w:val="en-US" w:eastAsia="zh-CN" w:bidi="ar-SA"/>
              </w:rPr>
            </w:pPr>
            <w:r>
              <w:rPr>
                <w:rFonts w:hint="eastAsia" w:cs="宋体"/>
                <w:snapToGrid w:val="0"/>
                <w:color w:val="000000"/>
                <w:kern w:val="0"/>
                <w:sz w:val="21"/>
                <w:szCs w:val="21"/>
                <w:lang w:val="en-US" w:eastAsia="zh-CN" w:bidi="ar-SA"/>
              </w:rPr>
              <w:t>（2）</w:t>
            </w:r>
            <w:r>
              <w:rPr>
                <w:rFonts w:hint="eastAsia" w:ascii="宋体" w:hAnsi="宋体" w:eastAsia="宋体" w:cs="宋体"/>
                <w:snapToGrid w:val="0"/>
                <w:color w:val="000000"/>
                <w:kern w:val="0"/>
                <w:sz w:val="21"/>
                <w:szCs w:val="21"/>
                <w:lang w:val="en-US" w:eastAsia="zh-CN" w:bidi="ar-SA"/>
              </w:rPr>
              <w:t>结合CRIME理论，分析这些舞弊手段如何与理论要素相对应。</w:t>
            </w:r>
          </w:p>
          <w:p>
            <w:pPr>
              <w:pStyle w:val="8"/>
              <w:spacing w:before="60" w:line="217" w:lineRule="auto"/>
              <w:ind w:left="126"/>
              <w:rPr>
                <w:rFonts w:hint="eastAsia" w:ascii="宋体" w:hAnsi="宋体" w:eastAsia="宋体" w:cs="宋体"/>
                <w:snapToGrid w:val="0"/>
                <w:color w:val="000000"/>
                <w:kern w:val="0"/>
                <w:sz w:val="21"/>
                <w:szCs w:val="21"/>
                <w:lang w:val="en-US" w:eastAsia="zh-CN" w:bidi="ar-SA"/>
              </w:rPr>
            </w:pPr>
            <w:r>
              <w:rPr>
                <w:rFonts w:hint="eastAsia" w:cs="宋体"/>
                <w:snapToGrid w:val="0"/>
                <w:color w:val="000000"/>
                <w:kern w:val="0"/>
                <w:sz w:val="21"/>
                <w:szCs w:val="21"/>
                <w:lang w:val="en-US" w:eastAsia="zh-CN" w:bidi="ar-SA"/>
              </w:rPr>
              <w:t>2.</w:t>
            </w:r>
            <w:r>
              <w:rPr>
                <w:rFonts w:hint="eastAsia" w:ascii="宋体" w:hAnsi="宋体" w:eastAsia="宋体" w:cs="宋体"/>
                <w:snapToGrid w:val="0"/>
                <w:color w:val="000000"/>
                <w:kern w:val="0"/>
                <w:sz w:val="21"/>
                <w:szCs w:val="21"/>
                <w:lang w:val="en-US" w:eastAsia="zh-CN" w:bidi="ar-SA"/>
              </w:rPr>
              <w:t>影响与后果分析</w:t>
            </w:r>
          </w:p>
          <w:p>
            <w:pPr>
              <w:pStyle w:val="8"/>
              <w:spacing w:before="60" w:line="217" w:lineRule="auto"/>
              <w:ind w:left="126"/>
              <w:rPr>
                <w:rFonts w:hint="eastAsia" w:ascii="宋体" w:hAnsi="宋体" w:eastAsia="宋体" w:cs="宋体"/>
                <w:snapToGrid w:val="0"/>
                <w:color w:val="000000"/>
                <w:kern w:val="0"/>
                <w:sz w:val="21"/>
                <w:szCs w:val="21"/>
                <w:lang w:val="en-US" w:eastAsia="zh-CN" w:bidi="ar-SA"/>
              </w:rPr>
            </w:pPr>
            <w:r>
              <w:rPr>
                <w:rFonts w:hint="eastAsia" w:cs="宋体"/>
                <w:snapToGrid w:val="0"/>
                <w:color w:val="000000"/>
                <w:kern w:val="0"/>
                <w:sz w:val="21"/>
                <w:szCs w:val="21"/>
                <w:lang w:val="en-US" w:eastAsia="zh-CN" w:bidi="ar-SA"/>
              </w:rPr>
              <w:t>（1）</w:t>
            </w:r>
            <w:r>
              <w:rPr>
                <w:rFonts w:hint="eastAsia" w:ascii="宋体" w:hAnsi="宋体" w:eastAsia="宋体" w:cs="宋体"/>
                <w:snapToGrid w:val="0"/>
                <w:color w:val="000000"/>
                <w:kern w:val="0"/>
                <w:sz w:val="21"/>
                <w:szCs w:val="21"/>
                <w:lang w:val="en-US" w:eastAsia="zh-CN" w:bidi="ar-SA"/>
              </w:rPr>
              <w:t>分析*ST宜生财务舞弊案对企业、投资者、社会等各方的影响和后果。</w:t>
            </w:r>
          </w:p>
          <w:p>
            <w:pPr>
              <w:pStyle w:val="8"/>
              <w:spacing w:before="60" w:line="217" w:lineRule="auto"/>
              <w:ind w:left="126"/>
              <w:rPr>
                <w:rFonts w:hint="eastAsia" w:ascii="宋体" w:hAnsi="宋体" w:eastAsia="宋体" w:cs="宋体"/>
                <w:snapToGrid w:val="0"/>
                <w:color w:val="000000"/>
                <w:kern w:val="0"/>
                <w:sz w:val="21"/>
                <w:szCs w:val="21"/>
                <w:lang w:val="en-US" w:eastAsia="zh-CN" w:bidi="ar-SA"/>
              </w:rPr>
            </w:pPr>
            <w:r>
              <w:rPr>
                <w:rFonts w:hint="eastAsia" w:cs="宋体"/>
                <w:snapToGrid w:val="0"/>
                <w:color w:val="000000"/>
                <w:kern w:val="0"/>
                <w:sz w:val="21"/>
                <w:szCs w:val="21"/>
                <w:lang w:val="en-US" w:eastAsia="zh-CN" w:bidi="ar-SA"/>
              </w:rPr>
              <w:t>（2）</w:t>
            </w:r>
            <w:r>
              <w:rPr>
                <w:rFonts w:hint="eastAsia" w:ascii="宋体" w:hAnsi="宋体" w:eastAsia="宋体" w:cs="宋体"/>
                <w:snapToGrid w:val="0"/>
                <w:color w:val="000000"/>
                <w:kern w:val="0"/>
                <w:sz w:val="21"/>
                <w:szCs w:val="21"/>
                <w:lang w:val="en-US" w:eastAsia="zh-CN" w:bidi="ar-SA"/>
              </w:rPr>
              <w:t>强调财务舞弊的严重性和危害性。</w:t>
            </w:r>
          </w:p>
          <w:p>
            <w:pPr>
              <w:pStyle w:val="8"/>
              <w:spacing w:before="60" w:line="217" w:lineRule="auto"/>
              <w:ind w:left="126"/>
              <w:rPr>
                <w:rFonts w:hint="eastAsia" w:ascii="宋体" w:hAnsi="宋体" w:eastAsia="宋体" w:cs="宋体"/>
                <w:snapToGrid w:val="0"/>
                <w:color w:val="000000"/>
                <w:kern w:val="0"/>
                <w:sz w:val="21"/>
                <w:szCs w:val="21"/>
                <w:lang w:val="en-US" w:eastAsia="zh-CN" w:bidi="ar-SA"/>
              </w:rPr>
            </w:pPr>
            <w:r>
              <w:rPr>
                <w:rFonts w:hint="eastAsia" w:cs="宋体"/>
                <w:snapToGrid w:val="0"/>
                <w:color w:val="000000"/>
                <w:kern w:val="0"/>
                <w:sz w:val="21"/>
                <w:szCs w:val="21"/>
                <w:lang w:val="en-US" w:eastAsia="zh-CN" w:bidi="ar-SA"/>
              </w:rPr>
              <w:t>3.</w:t>
            </w:r>
            <w:r>
              <w:rPr>
                <w:rFonts w:hint="eastAsia" w:ascii="宋体" w:hAnsi="宋体" w:eastAsia="宋体" w:cs="宋体"/>
                <w:snapToGrid w:val="0"/>
                <w:color w:val="000000"/>
                <w:kern w:val="0"/>
                <w:sz w:val="21"/>
                <w:szCs w:val="21"/>
                <w:lang w:val="en-US" w:eastAsia="zh-CN" w:bidi="ar-SA"/>
              </w:rPr>
              <w:t>反思与启示</w:t>
            </w:r>
          </w:p>
          <w:p>
            <w:pPr>
              <w:pStyle w:val="8"/>
              <w:spacing w:before="60" w:line="217" w:lineRule="auto"/>
              <w:ind w:left="126"/>
              <w:rPr>
                <w:rFonts w:hint="eastAsia" w:ascii="宋体" w:hAnsi="宋体" w:eastAsia="宋体" w:cs="宋体"/>
                <w:snapToGrid w:val="0"/>
                <w:color w:val="000000"/>
                <w:kern w:val="0"/>
                <w:sz w:val="21"/>
                <w:szCs w:val="21"/>
                <w:lang w:val="en-US" w:eastAsia="zh-CN" w:bidi="ar-SA"/>
              </w:rPr>
            </w:pPr>
            <w:r>
              <w:rPr>
                <w:rFonts w:hint="eastAsia" w:cs="宋体"/>
                <w:snapToGrid w:val="0"/>
                <w:color w:val="000000"/>
                <w:kern w:val="0"/>
                <w:sz w:val="21"/>
                <w:szCs w:val="21"/>
                <w:lang w:val="en-US" w:eastAsia="zh-CN" w:bidi="ar-SA"/>
              </w:rPr>
              <w:t>（1）</w:t>
            </w:r>
            <w:r>
              <w:rPr>
                <w:rFonts w:hint="eastAsia" w:ascii="宋体" w:hAnsi="宋体" w:eastAsia="宋体" w:cs="宋体"/>
                <w:snapToGrid w:val="0"/>
                <w:color w:val="000000"/>
                <w:kern w:val="0"/>
                <w:sz w:val="21"/>
                <w:szCs w:val="21"/>
                <w:lang w:val="en-US" w:eastAsia="zh-CN" w:bidi="ar-SA"/>
              </w:rPr>
              <w:t>引导学生反思*ST宜生财务舞弊案的原因和教训。</w:t>
            </w:r>
          </w:p>
          <w:p>
            <w:pPr>
              <w:pStyle w:val="8"/>
              <w:spacing w:before="60" w:line="217" w:lineRule="auto"/>
              <w:ind w:left="126"/>
              <w:rPr>
                <w:rFonts w:hint="eastAsia" w:ascii="宋体" w:hAnsi="宋体" w:eastAsia="宋体" w:cs="宋体"/>
                <w:snapToGrid w:val="0"/>
                <w:color w:val="000000"/>
                <w:kern w:val="0"/>
                <w:sz w:val="21"/>
                <w:szCs w:val="21"/>
                <w:lang w:val="en-US" w:eastAsia="zh-CN" w:bidi="ar-SA"/>
              </w:rPr>
            </w:pPr>
            <w:r>
              <w:rPr>
                <w:rFonts w:hint="eastAsia" w:cs="宋体"/>
                <w:snapToGrid w:val="0"/>
                <w:color w:val="000000"/>
                <w:kern w:val="0"/>
                <w:sz w:val="21"/>
                <w:szCs w:val="21"/>
                <w:lang w:val="en-US" w:eastAsia="zh-CN" w:bidi="ar-SA"/>
              </w:rPr>
              <w:t>（2）</w:t>
            </w:r>
            <w:r>
              <w:rPr>
                <w:rFonts w:hint="eastAsia" w:ascii="宋体" w:hAnsi="宋体" w:eastAsia="宋体" w:cs="宋体"/>
                <w:snapToGrid w:val="0"/>
                <w:color w:val="000000"/>
                <w:kern w:val="0"/>
                <w:sz w:val="21"/>
                <w:szCs w:val="21"/>
                <w:lang w:val="en-US" w:eastAsia="zh-CN" w:bidi="ar-SA"/>
              </w:rPr>
              <w:t>提出加强内部控制、提高职业道德水平等预防措施。</w:t>
            </w:r>
          </w:p>
          <w:p>
            <w:pPr>
              <w:pStyle w:val="8"/>
              <w:spacing w:before="60" w:line="217" w:lineRule="auto"/>
              <w:ind w:left="126"/>
              <w:rPr>
                <w:rFonts w:hint="eastAsia" w:ascii="宋体" w:hAnsi="宋体" w:eastAsia="宋体" w:cs="宋体"/>
                <w:snapToGrid w:val="0"/>
                <w:color w:val="000000"/>
                <w:kern w:val="0"/>
                <w:sz w:val="21"/>
                <w:szCs w:val="21"/>
                <w:lang w:val="en-US" w:eastAsia="zh-CN" w:bidi="ar-SA"/>
              </w:rPr>
            </w:pPr>
          </w:p>
          <w:p>
            <w:pPr>
              <w:pStyle w:val="8"/>
              <w:spacing w:before="60" w:line="217" w:lineRule="auto"/>
              <w:ind w:left="126"/>
              <w:rPr>
                <w:rFonts w:hint="eastAsia" w:ascii="宋体" w:hAnsi="宋体" w:eastAsia="宋体" w:cs="宋体"/>
                <w:snapToGrid w:val="0"/>
                <w:color w:val="000000"/>
                <w:kern w:val="0"/>
                <w:sz w:val="21"/>
                <w:szCs w:val="21"/>
                <w:lang w:val="en-US" w:eastAsia="zh-CN" w:bidi="ar-SA"/>
              </w:rPr>
            </w:pPr>
            <w:r>
              <w:rPr>
                <w:rFonts w:hint="eastAsia" w:ascii="宋体" w:hAnsi="宋体" w:eastAsia="宋体" w:cs="宋体"/>
                <w:snapToGrid w:val="0"/>
                <w:color w:val="000000"/>
                <w:kern w:val="0"/>
                <w:sz w:val="21"/>
                <w:szCs w:val="21"/>
                <w:lang w:val="en-US" w:eastAsia="zh-CN" w:bidi="ar-SA"/>
              </w:rPr>
              <w:t>四、职业道德与法规教育</w:t>
            </w:r>
          </w:p>
          <w:p>
            <w:pPr>
              <w:pStyle w:val="8"/>
              <w:spacing w:before="60" w:line="217" w:lineRule="auto"/>
              <w:ind w:left="126"/>
              <w:rPr>
                <w:rFonts w:hint="eastAsia" w:ascii="宋体" w:hAnsi="宋体" w:eastAsia="宋体" w:cs="宋体"/>
                <w:snapToGrid w:val="0"/>
                <w:color w:val="000000"/>
                <w:kern w:val="0"/>
                <w:sz w:val="21"/>
                <w:szCs w:val="21"/>
                <w:lang w:val="en-US" w:eastAsia="zh-CN" w:bidi="ar-SA"/>
              </w:rPr>
            </w:pPr>
            <w:r>
              <w:rPr>
                <w:rFonts w:hint="eastAsia" w:cs="宋体"/>
                <w:snapToGrid w:val="0"/>
                <w:color w:val="000000"/>
                <w:kern w:val="0"/>
                <w:sz w:val="21"/>
                <w:szCs w:val="21"/>
                <w:lang w:val="en-US" w:eastAsia="zh-CN" w:bidi="ar-SA"/>
              </w:rPr>
              <w:t>1.</w:t>
            </w:r>
            <w:r>
              <w:rPr>
                <w:rFonts w:hint="eastAsia" w:ascii="宋体" w:hAnsi="宋体" w:eastAsia="宋体" w:cs="宋体"/>
                <w:snapToGrid w:val="0"/>
                <w:color w:val="000000"/>
                <w:kern w:val="0"/>
                <w:sz w:val="21"/>
                <w:szCs w:val="21"/>
                <w:lang w:val="en-US" w:eastAsia="zh-CN" w:bidi="ar-SA"/>
              </w:rPr>
              <w:t>职业道德重要性</w:t>
            </w:r>
          </w:p>
          <w:p>
            <w:pPr>
              <w:pStyle w:val="8"/>
              <w:spacing w:before="60" w:line="217" w:lineRule="auto"/>
              <w:ind w:left="126"/>
              <w:rPr>
                <w:rFonts w:hint="eastAsia" w:ascii="宋体" w:hAnsi="宋体" w:eastAsia="宋体" w:cs="宋体"/>
                <w:snapToGrid w:val="0"/>
                <w:color w:val="000000"/>
                <w:kern w:val="0"/>
                <w:sz w:val="21"/>
                <w:szCs w:val="21"/>
                <w:lang w:val="en-US" w:eastAsia="zh-CN" w:bidi="ar-SA"/>
              </w:rPr>
            </w:pPr>
            <w:r>
              <w:rPr>
                <w:rFonts w:hint="eastAsia" w:cs="宋体"/>
                <w:snapToGrid w:val="0"/>
                <w:color w:val="000000"/>
                <w:kern w:val="0"/>
                <w:sz w:val="21"/>
                <w:szCs w:val="21"/>
                <w:lang w:val="en-US" w:eastAsia="zh-CN" w:bidi="ar-SA"/>
              </w:rPr>
              <w:t>（1）</w:t>
            </w:r>
            <w:r>
              <w:rPr>
                <w:rFonts w:hint="eastAsia" w:ascii="宋体" w:hAnsi="宋体" w:eastAsia="宋体" w:cs="宋体"/>
                <w:snapToGrid w:val="0"/>
                <w:color w:val="000000"/>
                <w:kern w:val="0"/>
                <w:sz w:val="21"/>
                <w:szCs w:val="21"/>
                <w:lang w:val="en-US" w:eastAsia="zh-CN" w:bidi="ar-SA"/>
              </w:rPr>
              <w:t>强调会计人员在职业活动中应遵循的职业道德原则和规范。</w:t>
            </w:r>
          </w:p>
          <w:p>
            <w:pPr>
              <w:pStyle w:val="8"/>
              <w:spacing w:before="60" w:line="217" w:lineRule="auto"/>
              <w:ind w:left="126"/>
              <w:rPr>
                <w:rFonts w:hint="eastAsia" w:ascii="宋体" w:hAnsi="宋体" w:eastAsia="宋体" w:cs="宋体"/>
                <w:snapToGrid w:val="0"/>
                <w:color w:val="000000"/>
                <w:kern w:val="0"/>
                <w:sz w:val="21"/>
                <w:szCs w:val="21"/>
                <w:lang w:val="en-US" w:eastAsia="zh-CN" w:bidi="ar-SA"/>
              </w:rPr>
            </w:pPr>
            <w:r>
              <w:rPr>
                <w:rFonts w:hint="eastAsia" w:cs="宋体"/>
                <w:snapToGrid w:val="0"/>
                <w:color w:val="000000"/>
                <w:kern w:val="0"/>
                <w:sz w:val="21"/>
                <w:szCs w:val="21"/>
                <w:lang w:val="en-US" w:eastAsia="zh-CN" w:bidi="ar-SA"/>
              </w:rPr>
              <w:t>（2）</w:t>
            </w:r>
            <w:r>
              <w:rPr>
                <w:rFonts w:hint="eastAsia" w:ascii="宋体" w:hAnsi="宋体" w:eastAsia="宋体" w:cs="宋体"/>
                <w:snapToGrid w:val="0"/>
                <w:color w:val="000000"/>
                <w:kern w:val="0"/>
                <w:sz w:val="21"/>
                <w:szCs w:val="21"/>
                <w:lang w:val="en-US" w:eastAsia="zh-CN" w:bidi="ar-SA"/>
              </w:rPr>
              <w:t>分析违反职业道德的行为对个人、企业和社会的危害。</w:t>
            </w:r>
          </w:p>
          <w:p>
            <w:pPr>
              <w:pStyle w:val="8"/>
              <w:spacing w:before="60" w:line="217" w:lineRule="auto"/>
              <w:ind w:left="126"/>
              <w:rPr>
                <w:rFonts w:hint="eastAsia" w:ascii="宋体" w:hAnsi="宋体" w:eastAsia="宋体" w:cs="宋体"/>
                <w:snapToGrid w:val="0"/>
                <w:color w:val="000000"/>
                <w:kern w:val="0"/>
                <w:sz w:val="21"/>
                <w:szCs w:val="21"/>
                <w:lang w:val="en-US" w:eastAsia="zh-CN" w:bidi="ar-SA"/>
              </w:rPr>
            </w:pPr>
            <w:r>
              <w:rPr>
                <w:rFonts w:hint="eastAsia" w:cs="宋体"/>
                <w:snapToGrid w:val="0"/>
                <w:color w:val="000000"/>
                <w:kern w:val="0"/>
                <w:sz w:val="21"/>
                <w:szCs w:val="21"/>
                <w:lang w:val="en-US" w:eastAsia="zh-CN" w:bidi="ar-SA"/>
              </w:rPr>
              <w:t>2.</w:t>
            </w:r>
            <w:r>
              <w:rPr>
                <w:rFonts w:hint="eastAsia" w:ascii="宋体" w:hAnsi="宋体" w:eastAsia="宋体" w:cs="宋体"/>
                <w:snapToGrid w:val="0"/>
                <w:color w:val="000000"/>
                <w:kern w:val="0"/>
                <w:sz w:val="21"/>
                <w:szCs w:val="21"/>
                <w:lang w:val="en-US" w:eastAsia="zh-CN" w:bidi="ar-SA"/>
              </w:rPr>
              <w:t>法律法规教育</w:t>
            </w:r>
          </w:p>
          <w:p>
            <w:pPr>
              <w:pStyle w:val="8"/>
              <w:spacing w:before="60" w:line="217" w:lineRule="auto"/>
              <w:ind w:left="126"/>
              <w:rPr>
                <w:rFonts w:hint="eastAsia" w:ascii="宋体" w:hAnsi="宋体" w:eastAsia="宋体" w:cs="宋体"/>
                <w:snapToGrid w:val="0"/>
                <w:color w:val="000000"/>
                <w:kern w:val="0"/>
                <w:sz w:val="21"/>
                <w:szCs w:val="21"/>
                <w:lang w:val="en-US" w:eastAsia="zh-CN" w:bidi="ar-SA"/>
              </w:rPr>
            </w:pPr>
            <w:r>
              <w:rPr>
                <w:rFonts w:hint="eastAsia" w:cs="宋体"/>
                <w:snapToGrid w:val="0"/>
                <w:color w:val="000000"/>
                <w:kern w:val="0"/>
                <w:sz w:val="21"/>
                <w:szCs w:val="21"/>
                <w:lang w:val="en-US" w:eastAsia="zh-CN" w:bidi="ar-SA"/>
              </w:rPr>
              <w:t>（1）</w:t>
            </w:r>
            <w:r>
              <w:rPr>
                <w:rFonts w:hint="eastAsia" w:ascii="宋体" w:hAnsi="宋体" w:eastAsia="宋体" w:cs="宋体"/>
                <w:snapToGrid w:val="0"/>
                <w:color w:val="000000"/>
                <w:kern w:val="0"/>
                <w:sz w:val="21"/>
                <w:szCs w:val="21"/>
                <w:lang w:val="en-US" w:eastAsia="zh-CN" w:bidi="ar-SA"/>
              </w:rPr>
              <w:t>介绍与财务舞弊相关的法律法规和规章制度。</w:t>
            </w:r>
          </w:p>
          <w:p>
            <w:pPr>
              <w:pStyle w:val="8"/>
              <w:spacing w:before="60" w:line="217" w:lineRule="auto"/>
              <w:ind w:left="126"/>
              <w:rPr>
                <w:rFonts w:hint="eastAsia" w:ascii="宋体" w:hAnsi="宋体" w:eastAsia="宋体" w:cs="宋体"/>
                <w:snapToGrid w:val="0"/>
                <w:color w:val="000000"/>
                <w:kern w:val="0"/>
                <w:sz w:val="21"/>
                <w:szCs w:val="21"/>
                <w:lang w:val="en-US" w:eastAsia="zh-CN" w:bidi="ar-SA"/>
              </w:rPr>
            </w:pPr>
            <w:r>
              <w:rPr>
                <w:rFonts w:hint="eastAsia" w:cs="宋体"/>
                <w:snapToGrid w:val="0"/>
                <w:color w:val="000000"/>
                <w:kern w:val="0"/>
                <w:sz w:val="21"/>
                <w:szCs w:val="21"/>
                <w:lang w:val="en-US" w:eastAsia="zh-CN" w:bidi="ar-SA"/>
              </w:rPr>
              <w:t>（2）</w:t>
            </w:r>
            <w:r>
              <w:rPr>
                <w:rFonts w:hint="eastAsia" w:ascii="宋体" w:hAnsi="宋体" w:eastAsia="宋体" w:cs="宋体"/>
                <w:snapToGrid w:val="0"/>
                <w:color w:val="000000"/>
                <w:kern w:val="0"/>
                <w:sz w:val="21"/>
                <w:szCs w:val="21"/>
                <w:lang w:val="en-US" w:eastAsia="zh-CN" w:bidi="ar-SA"/>
              </w:rPr>
              <w:t>阐述违法违规行为的法律后果和法律责任。</w:t>
            </w:r>
          </w:p>
          <w:p>
            <w:pPr>
              <w:pStyle w:val="8"/>
              <w:spacing w:before="60" w:line="217" w:lineRule="auto"/>
              <w:ind w:left="126"/>
              <w:rPr>
                <w:rFonts w:hint="eastAsia" w:ascii="宋体" w:hAnsi="宋体" w:eastAsia="宋体" w:cs="宋体"/>
                <w:snapToGrid w:val="0"/>
                <w:color w:val="000000"/>
                <w:kern w:val="0"/>
                <w:sz w:val="21"/>
                <w:szCs w:val="21"/>
                <w:lang w:val="en-US" w:eastAsia="zh-CN" w:bidi="ar-SA"/>
              </w:rPr>
            </w:pPr>
          </w:p>
          <w:p>
            <w:pPr>
              <w:pStyle w:val="8"/>
              <w:spacing w:before="60" w:line="217" w:lineRule="auto"/>
              <w:ind w:left="126"/>
              <w:rPr>
                <w:rFonts w:hint="eastAsia" w:ascii="宋体" w:hAnsi="宋体" w:eastAsia="宋体" w:cs="宋体"/>
                <w:snapToGrid w:val="0"/>
                <w:color w:val="000000"/>
                <w:kern w:val="0"/>
                <w:sz w:val="21"/>
                <w:szCs w:val="21"/>
                <w:lang w:val="en-US" w:eastAsia="zh-CN" w:bidi="ar-SA"/>
              </w:rPr>
            </w:pPr>
            <w:r>
              <w:rPr>
                <w:rFonts w:hint="eastAsia" w:ascii="宋体" w:hAnsi="宋体" w:eastAsia="宋体" w:cs="宋体"/>
                <w:snapToGrid w:val="0"/>
                <w:color w:val="000000"/>
                <w:kern w:val="0"/>
                <w:sz w:val="21"/>
                <w:szCs w:val="21"/>
                <w:lang w:val="en-US" w:eastAsia="zh-CN" w:bidi="ar-SA"/>
              </w:rPr>
              <w:t>五、课程总结与展望</w:t>
            </w:r>
          </w:p>
          <w:p>
            <w:pPr>
              <w:pStyle w:val="8"/>
              <w:spacing w:before="60" w:line="217" w:lineRule="auto"/>
              <w:ind w:left="126"/>
              <w:rPr>
                <w:rFonts w:hint="eastAsia" w:ascii="宋体" w:hAnsi="宋体" w:eastAsia="宋体" w:cs="宋体"/>
                <w:snapToGrid w:val="0"/>
                <w:color w:val="000000"/>
                <w:kern w:val="0"/>
                <w:sz w:val="21"/>
                <w:szCs w:val="21"/>
                <w:lang w:val="en-US" w:eastAsia="zh-CN" w:bidi="ar-SA"/>
              </w:rPr>
            </w:pPr>
            <w:r>
              <w:rPr>
                <w:rFonts w:hint="eastAsia" w:cs="宋体"/>
                <w:snapToGrid w:val="0"/>
                <w:color w:val="000000"/>
                <w:kern w:val="0"/>
                <w:sz w:val="21"/>
                <w:szCs w:val="21"/>
                <w:lang w:val="en-US" w:eastAsia="zh-CN" w:bidi="ar-SA"/>
              </w:rPr>
              <w:t>1.</w:t>
            </w:r>
            <w:r>
              <w:rPr>
                <w:rFonts w:hint="eastAsia" w:ascii="宋体" w:hAnsi="宋体" w:eastAsia="宋体" w:cs="宋体"/>
                <w:snapToGrid w:val="0"/>
                <w:color w:val="000000"/>
                <w:kern w:val="0"/>
                <w:sz w:val="21"/>
                <w:szCs w:val="21"/>
                <w:lang w:val="en-US" w:eastAsia="zh-CN" w:bidi="ar-SA"/>
              </w:rPr>
              <w:t>总结课程要点</w:t>
            </w:r>
          </w:p>
          <w:p>
            <w:pPr>
              <w:pStyle w:val="8"/>
              <w:spacing w:before="60" w:line="217" w:lineRule="auto"/>
              <w:ind w:left="126"/>
              <w:rPr>
                <w:rFonts w:hint="eastAsia" w:ascii="宋体" w:hAnsi="宋体" w:eastAsia="宋体" w:cs="宋体"/>
                <w:snapToGrid w:val="0"/>
                <w:color w:val="000000"/>
                <w:kern w:val="0"/>
                <w:sz w:val="21"/>
                <w:szCs w:val="21"/>
                <w:lang w:val="en-US" w:eastAsia="zh-CN" w:bidi="ar-SA"/>
              </w:rPr>
            </w:pPr>
            <w:r>
              <w:rPr>
                <w:rFonts w:hint="eastAsia" w:cs="宋体"/>
                <w:snapToGrid w:val="0"/>
                <w:color w:val="000000"/>
                <w:kern w:val="0"/>
                <w:sz w:val="21"/>
                <w:szCs w:val="21"/>
                <w:lang w:val="en-US" w:eastAsia="zh-CN" w:bidi="ar-SA"/>
              </w:rPr>
              <w:t>（1）</w:t>
            </w:r>
            <w:r>
              <w:rPr>
                <w:rFonts w:hint="eastAsia" w:ascii="宋体" w:hAnsi="宋体" w:eastAsia="宋体" w:cs="宋体"/>
                <w:snapToGrid w:val="0"/>
                <w:color w:val="000000"/>
                <w:kern w:val="0"/>
                <w:sz w:val="21"/>
                <w:szCs w:val="21"/>
                <w:lang w:val="en-US" w:eastAsia="zh-CN" w:bidi="ar-SA"/>
              </w:rPr>
              <w:t>回顾CRIME理论在*ST宜生财务舞弊案中的应用。</w:t>
            </w:r>
          </w:p>
          <w:p>
            <w:pPr>
              <w:pStyle w:val="8"/>
              <w:spacing w:before="60" w:line="217" w:lineRule="auto"/>
              <w:ind w:left="126"/>
              <w:rPr>
                <w:rFonts w:hint="eastAsia" w:ascii="宋体" w:hAnsi="宋体" w:eastAsia="宋体" w:cs="宋体"/>
                <w:snapToGrid w:val="0"/>
                <w:color w:val="000000"/>
                <w:kern w:val="0"/>
                <w:sz w:val="21"/>
                <w:szCs w:val="21"/>
                <w:lang w:val="en-US" w:eastAsia="zh-CN" w:bidi="ar-SA"/>
              </w:rPr>
            </w:pPr>
            <w:r>
              <w:rPr>
                <w:rFonts w:hint="eastAsia" w:cs="宋体"/>
                <w:snapToGrid w:val="0"/>
                <w:color w:val="000000"/>
                <w:kern w:val="0"/>
                <w:sz w:val="21"/>
                <w:szCs w:val="21"/>
                <w:lang w:val="en-US" w:eastAsia="zh-CN" w:bidi="ar-SA"/>
              </w:rPr>
              <w:t>（2）</w:t>
            </w:r>
            <w:r>
              <w:rPr>
                <w:rFonts w:hint="eastAsia" w:ascii="宋体" w:hAnsi="宋体" w:eastAsia="宋体" w:cs="宋体"/>
                <w:snapToGrid w:val="0"/>
                <w:color w:val="000000"/>
                <w:kern w:val="0"/>
                <w:sz w:val="21"/>
                <w:szCs w:val="21"/>
                <w:lang w:val="en-US" w:eastAsia="zh-CN" w:bidi="ar-SA"/>
              </w:rPr>
              <w:t>总结案例分析讨论和职业道德与法规教育的主要内容。</w:t>
            </w:r>
          </w:p>
          <w:p>
            <w:pPr>
              <w:pStyle w:val="8"/>
              <w:spacing w:before="60" w:line="217" w:lineRule="auto"/>
              <w:ind w:left="126"/>
              <w:rPr>
                <w:rFonts w:hint="eastAsia" w:ascii="宋体" w:hAnsi="宋体" w:eastAsia="宋体" w:cs="宋体"/>
                <w:snapToGrid w:val="0"/>
                <w:color w:val="000000"/>
                <w:kern w:val="0"/>
                <w:sz w:val="21"/>
                <w:szCs w:val="21"/>
                <w:lang w:val="en-US" w:eastAsia="zh-CN" w:bidi="ar-SA"/>
              </w:rPr>
            </w:pPr>
            <w:r>
              <w:rPr>
                <w:rFonts w:hint="eastAsia" w:cs="宋体"/>
                <w:snapToGrid w:val="0"/>
                <w:color w:val="000000"/>
                <w:kern w:val="0"/>
                <w:sz w:val="21"/>
                <w:szCs w:val="21"/>
                <w:lang w:val="en-US" w:eastAsia="zh-CN" w:bidi="ar-SA"/>
              </w:rPr>
              <w:t>2.</w:t>
            </w:r>
            <w:r>
              <w:rPr>
                <w:rFonts w:hint="eastAsia" w:ascii="宋体" w:hAnsi="宋体" w:eastAsia="宋体" w:cs="宋体"/>
                <w:snapToGrid w:val="0"/>
                <w:color w:val="000000"/>
                <w:kern w:val="0"/>
                <w:sz w:val="21"/>
                <w:szCs w:val="21"/>
                <w:lang w:val="en-US" w:eastAsia="zh-CN" w:bidi="ar-SA"/>
              </w:rPr>
              <w:t>展望未来方向</w:t>
            </w:r>
          </w:p>
          <w:p>
            <w:pPr>
              <w:pStyle w:val="8"/>
              <w:spacing w:before="60" w:line="217" w:lineRule="auto"/>
              <w:ind w:left="126"/>
              <w:rPr>
                <w:rFonts w:hint="eastAsia" w:ascii="宋体" w:hAnsi="宋体" w:eastAsia="宋体" w:cs="宋体"/>
                <w:snapToGrid w:val="0"/>
                <w:color w:val="000000"/>
                <w:kern w:val="0"/>
                <w:sz w:val="21"/>
                <w:szCs w:val="21"/>
                <w:lang w:val="en-US" w:eastAsia="zh-CN" w:bidi="ar-SA"/>
              </w:rPr>
            </w:pPr>
            <w:r>
              <w:rPr>
                <w:rFonts w:hint="eastAsia" w:cs="宋体"/>
                <w:snapToGrid w:val="0"/>
                <w:color w:val="000000"/>
                <w:kern w:val="0"/>
                <w:sz w:val="21"/>
                <w:szCs w:val="21"/>
                <w:lang w:val="en-US" w:eastAsia="zh-CN" w:bidi="ar-SA"/>
              </w:rPr>
              <w:t>（1）</w:t>
            </w:r>
            <w:r>
              <w:rPr>
                <w:rFonts w:hint="eastAsia" w:ascii="宋体" w:hAnsi="宋体" w:eastAsia="宋体" w:cs="宋体"/>
                <w:snapToGrid w:val="0"/>
                <w:color w:val="000000"/>
                <w:kern w:val="0"/>
                <w:sz w:val="21"/>
                <w:szCs w:val="21"/>
                <w:lang w:val="en-US" w:eastAsia="zh-CN" w:bidi="ar-SA"/>
              </w:rPr>
              <w:t>探讨如何进一步加强内部控制和职业道德建设，预防财务舞弊行为的发生。</w:t>
            </w:r>
          </w:p>
          <w:p>
            <w:pPr>
              <w:pStyle w:val="8"/>
              <w:spacing w:before="60" w:line="217" w:lineRule="auto"/>
              <w:ind w:left="126"/>
              <w:rPr>
                <w:rFonts w:hint="eastAsia"/>
                <w:lang w:eastAsia="zh-CN"/>
              </w:rPr>
            </w:pPr>
            <w:r>
              <w:rPr>
                <w:rFonts w:hint="eastAsia" w:cs="宋体"/>
                <w:snapToGrid w:val="0"/>
                <w:color w:val="000000"/>
                <w:kern w:val="0"/>
                <w:sz w:val="21"/>
                <w:szCs w:val="21"/>
                <w:lang w:val="en-US" w:eastAsia="zh-CN" w:bidi="ar-SA"/>
              </w:rPr>
              <w:t>（2）</w:t>
            </w:r>
            <w:r>
              <w:rPr>
                <w:rFonts w:hint="eastAsia" w:ascii="宋体" w:hAnsi="宋体" w:eastAsia="宋体" w:cs="宋体"/>
                <w:snapToGrid w:val="0"/>
                <w:color w:val="000000"/>
                <w:kern w:val="0"/>
                <w:sz w:val="21"/>
                <w:szCs w:val="21"/>
                <w:lang w:val="en-US" w:eastAsia="zh-CN" w:bidi="ar-SA"/>
              </w:rPr>
              <w:t>鼓励学生将所学知识应用于实践，提高解决实际问题的能力。</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543" w:hRule="atLeast"/>
        </w:trPr>
        <w:tc>
          <w:tcPr>
            <w:tcW w:w="1270" w:type="dxa"/>
            <w:vAlign w:val="top"/>
          </w:tcPr>
          <w:p>
            <w:pPr>
              <w:pStyle w:val="8"/>
              <w:spacing w:before="60" w:line="217" w:lineRule="auto"/>
              <w:ind w:left="126"/>
              <w:rPr>
                <w:rFonts w:hint="eastAsia" w:ascii="宋体" w:hAnsi="宋体" w:eastAsia="宋体" w:cs="宋体"/>
                <w:snapToGrid w:val="0"/>
                <w:color w:val="000000"/>
                <w:kern w:val="0"/>
                <w:sz w:val="21"/>
                <w:szCs w:val="21"/>
                <w:lang w:val="en-US" w:eastAsia="zh-CN" w:bidi="ar-SA"/>
              </w:rPr>
            </w:pPr>
          </w:p>
          <w:p>
            <w:pPr>
              <w:pStyle w:val="8"/>
              <w:spacing w:before="60" w:line="217" w:lineRule="auto"/>
              <w:ind w:left="126"/>
              <w:rPr>
                <w:rFonts w:hint="eastAsia" w:ascii="宋体" w:hAnsi="宋体" w:eastAsia="宋体" w:cs="宋体"/>
                <w:snapToGrid w:val="0"/>
                <w:color w:val="000000"/>
                <w:kern w:val="0"/>
                <w:sz w:val="21"/>
                <w:szCs w:val="21"/>
                <w:lang w:val="en-US" w:eastAsia="zh-CN" w:bidi="ar-SA"/>
              </w:rPr>
            </w:pPr>
          </w:p>
          <w:p>
            <w:pPr>
              <w:pStyle w:val="8"/>
              <w:spacing w:before="60" w:line="217" w:lineRule="auto"/>
              <w:ind w:left="126"/>
              <w:rPr>
                <w:rFonts w:hint="eastAsia" w:ascii="宋体" w:hAnsi="宋体" w:eastAsia="宋体" w:cs="宋体"/>
                <w:snapToGrid w:val="0"/>
                <w:color w:val="000000"/>
                <w:kern w:val="0"/>
                <w:sz w:val="21"/>
                <w:szCs w:val="21"/>
                <w:lang w:val="en-US" w:eastAsia="zh-CN" w:bidi="ar-SA"/>
              </w:rPr>
            </w:pPr>
          </w:p>
          <w:p>
            <w:pPr>
              <w:pStyle w:val="8"/>
              <w:spacing w:before="60" w:line="217" w:lineRule="auto"/>
              <w:ind w:left="126"/>
              <w:rPr>
                <w:rFonts w:hint="eastAsia" w:ascii="宋体" w:hAnsi="宋体" w:eastAsia="宋体" w:cs="宋体"/>
                <w:snapToGrid w:val="0"/>
                <w:color w:val="000000"/>
                <w:kern w:val="0"/>
                <w:sz w:val="21"/>
                <w:szCs w:val="21"/>
                <w:lang w:val="en-US" w:eastAsia="zh-CN" w:bidi="ar-SA"/>
              </w:rPr>
            </w:pPr>
          </w:p>
          <w:p>
            <w:pPr>
              <w:pStyle w:val="8"/>
              <w:spacing w:before="60" w:line="217" w:lineRule="auto"/>
              <w:rPr>
                <w:rFonts w:hint="eastAsia" w:ascii="宋体" w:hAnsi="宋体" w:eastAsia="宋体" w:cs="宋体"/>
                <w:snapToGrid w:val="0"/>
                <w:color w:val="000000"/>
                <w:kern w:val="0"/>
                <w:sz w:val="21"/>
                <w:szCs w:val="21"/>
                <w:lang w:val="en-US" w:eastAsia="zh-CN" w:bidi="ar-SA"/>
              </w:rPr>
            </w:pPr>
          </w:p>
          <w:p>
            <w:pPr>
              <w:pStyle w:val="8"/>
              <w:spacing w:before="60" w:line="217" w:lineRule="auto"/>
              <w:ind w:left="126"/>
              <w:rPr>
                <w:rFonts w:hint="eastAsia"/>
                <w:b/>
                <w:bCs/>
                <w:spacing w:val="-3"/>
                <w:lang w:val="en-US" w:eastAsia="zh-CN"/>
              </w:rPr>
            </w:pPr>
            <w:r>
              <w:rPr>
                <w:rFonts w:hint="eastAsia" w:ascii="宋体" w:hAnsi="宋体" w:eastAsia="宋体" w:cs="宋体"/>
                <w:b/>
                <w:bCs/>
                <w:snapToGrid w:val="0"/>
                <w:color w:val="000000"/>
                <w:kern w:val="0"/>
                <w:sz w:val="21"/>
                <w:szCs w:val="21"/>
                <w:lang w:val="en-US" w:eastAsia="zh-CN" w:bidi="ar-SA"/>
              </w:rPr>
              <w:t>教学要求</w:t>
            </w:r>
          </w:p>
        </w:tc>
        <w:tc>
          <w:tcPr>
            <w:tcW w:w="7704" w:type="dxa"/>
            <w:vAlign w:val="top"/>
          </w:tcPr>
          <w:p>
            <w:pPr>
              <w:spacing w:before="133" w:line="232" w:lineRule="auto"/>
              <w:outlineLvl w:val="0"/>
              <w:rPr>
                <w:rFonts w:hint="eastAsia" w:ascii="宋体" w:hAnsi="宋体" w:eastAsia="宋体" w:cs="宋体"/>
                <w:snapToGrid w:val="0"/>
                <w:color w:val="000000"/>
                <w:kern w:val="0"/>
                <w:sz w:val="21"/>
                <w:szCs w:val="21"/>
                <w:lang w:val="en-US" w:eastAsia="zh-CN" w:bidi="ar-SA"/>
              </w:rPr>
            </w:pPr>
            <w:r>
              <w:rPr>
                <w:rFonts w:hint="eastAsia" w:ascii="宋体" w:hAnsi="宋体" w:eastAsia="宋体" w:cs="宋体"/>
                <w:snapToGrid w:val="0"/>
                <w:color w:val="000000"/>
                <w:kern w:val="0"/>
                <w:sz w:val="21"/>
                <w:szCs w:val="21"/>
                <w:lang w:val="en-US" w:eastAsia="zh-CN" w:bidi="ar-SA"/>
              </w:rPr>
              <w:t>1.案例分析深入透彻</w:t>
            </w:r>
          </w:p>
          <w:p>
            <w:pPr>
              <w:spacing w:before="133" w:line="232" w:lineRule="auto"/>
              <w:outlineLvl w:val="0"/>
              <w:rPr>
                <w:rFonts w:hint="eastAsia" w:ascii="宋体" w:hAnsi="宋体" w:eastAsia="宋体" w:cs="宋体"/>
                <w:snapToGrid w:val="0"/>
                <w:color w:val="000000"/>
                <w:kern w:val="0"/>
                <w:sz w:val="21"/>
                <w:szCs w:val="21"/>
                <w:lang w:val="en-US" w:eastAsia="zh-CN" w:bidi="ar-SA"/>
              </w:rPr>
            </w:pPr>
            <w:r>
              <w:rPr>
                <w:rFonts w:hint="eastAsia" w:ascii="宋体" w:hAnsi="宋体" w:eastAsia="宋体" w:cs="宋体"/>
                <w:snapToGrid w:val="0"/>
                <w:color w:val="000000"/>
                <w:kern w:val="0"/>
                <w:sz w:val="21"/>
                <w:szCs w:val="21"/>
                <w:lang w:val="en-US" w:eastAsia="zh-CN" w:bidi="ar-SA"/>
              </w:rPr>
              <w:t>（1）要求学生能够深入了解ST宜生财务舞弊案例的始末，分析舞弊动机、手段和影响。</w:t>
            </w:r>
          </w:p>
          <w:p>
            <w:pPr>
              <w:spacing w:before="133" w:line="232" w:lineRule="auto"/>
              <w:outlineLvl w:val="0"/>
              <w:rPr>
                <w:rFonts w:hint="eastAsia" w:ascii="宋体" w:hAnsi="宋体" w:eastAsia="宋体" w:cs="宋体"/>
                <w:snapToGrid w:val="0"/>
                <w:color w:val="000000"/>
                <w:kern w:val="0"/>
                <w:sz w:val="21"/>
                <w:szCs w:val="21"/>
                <w:lang w:val="en-US" w:eastAsia="zh-CN" w:bidi="ar-SA"/>
              </w:rPr>
            </w:pPr>
            <w:r>
              <w:rPr>
                <w:rFonts w:hint="eastAsia" w:ascii="宋体" w:hAnsi="宋体" w:eastAsia="宋体" w:cs="宋体"/>
                <w:snapToGrid w:val="0"/>
                <w:color w:val="000000"/>
                <w:kern w:val="0"/>
                <w:sz w:val="21"/>
                <w:szCs w:val="21"/>
                <w:lang w:val="en-US" w:eastAsia="zh-CN" w:bidi="ar-SA"/>
              </w:rPr>
              <w:t>（2）引导学生从案例中提炼出普遍性的规律和启示，加深对财务舞弊的认识。</w:t>
            </w:r>
          </w:p>
          <w:p>
            <w:pPr>
              <w:spacing w:before="133" w:line="232" w:lineRule="auto"/>
              <w:outlineLvl w:val="0"/>
              <w:rPr>
                <w:rFonts w:hint="eastAsia" w:ascii="宋体" w:hAnsi="宋体" w:eastAsia="宋体" w:cs="宋体"/>
                <w:snapToGrid w:val="0"/>
                <w:color w:val="000000"/>
                <w:kern w:val="0"/>
                <w:sz w:val="21"/>
                <w:szCs w:val="21"/>
                <w:lang w:val="en-US" w:eastAsia="zh-CN" w:bidi="ar-SA"/>
              </w:rPr>
            </w:pPr>
          </w:p>
          <w:p>
            <w:pPr>
              <w:spacing w:before="133" w:line="232" w:lineRule="auto"/>
              <w:outlineLvl w:val="0"/>
              <w:rPr>
                <w:rFonts w:hint="eastAsia" w:ascii="宋体" w:hAnsi="宋体" w:eastAsia="宋体" w:cs="宋体"/>
                <w:snapToGrid w:val="0"/>
                <w:color w:val="000000"/>
                <w:kern w:val="0"/>
                <w:sz w:val="21"/>
                <w:szCs w:val="21"/>
                <w:lang w:val="en-US" w:eastAsia="zh-CN" w:bidi="ar-SA"/>
              </w:rPr>
            </w:pPr>
            <w:r>
              <w:rPr>
                <w:rFonts w:hint="eastAsia" w:ascii="宋体" w:hAnsi="宋体" w:eastAsia="宋体" w:cs="宋体"/>
                <w:snapToGrid w:val="0"/>
                <w:color w:val="000000"/>
                <w:kern w:val="0"/>
                <w:sz w:val="21"/>
                <w:szCs w:val="21"/>
                <w:lang w:val="en-US" w:eastAsia="zh-CN" w:bidi="ar-SA"/>
              </w:rPr>
              <w:t>2.理论与实践相结合</w:t>
            </w:r>
          </w:p>
          <w:p>
            <w:pPr>
              <w:spacing w:before="133" w:line="232" w:lineRule="auto"/>
              <w:outlineLvl w:val="0"/>
              <w:rPr>
                <w:rFonts w:hint="eastAsia" w:ascii="宋体" w:hAnsi="宋体" w:eastAsia="宋体" w:cs="宋体"/>
                <w:snapToGrid w:val="0"/>
                <w:color w:val="000000"/>
                <w:kern w:val="0"/>
                <w:sz w:val="21"/>
                <w:szCs w:val="21"/>
                <w:lang w:val="en-US" w:eastAsia="zh-CN" w:bidi="ar-SA"/>
              </w:rPr>
            </w:pPr>
            <w:r>
              <w:rPr>
                <w:rFonts w:hint="eastAsia" w:ascii="宋体" w:hAnsi="宋体" w:eastAsia="宋体" w:cs="宋体"/>
                <w:snapToGrid w:val="0"/>
                <w:color w:val="000000"/>
                <w:kern w:val="0"/>
                <w:sz w:val="21"/>
                <w:szCs w:val="21"/>
                <w:lang w:val="en-US" w:eastAsia="zh-CN" w:bidi="ar-SA"/>
              </w:rPr>
              <w:t>（1）在讲解财务舞弊的识别与防范时，要注重理论与实践相结合，让学生能够通过案例分析掌握实际操作技能。</w:t>
            </w:r>
          </w:p>
          <w:p>
            <w:pPr>
              <w:spacing w:before="133" w:line="232" w:lineRule="auto"/>
              <w:outlineLvl w:val="0"/>
              <w:rPr>
                <w:rFonts w:hint="eastAsia" w:ascii="宋体" w:hAnsi="宋体" w:eastAsia="宋体" w:cs="宋体"/>
                <w:snapToGrid w:val="0"/>
                <w:color w:val="000000"/>
                <w:kern w:val="0"/>
                <w:sz w:val="21"/>
                <w:szCs w:val="21"/>
                <w:lang w:val="en-US" w:eastAsia="zh-CN" w:bidi="ar-SA"/>
              </w:rPr>
            </w:pPr>
            <w:r>
              <w:rPr>
                <w:rFonts w:hint="eastAsia" w:ascii="宋体" w:hAnsi="宋体" w:eastAsia="宋体" w:cs="宋体"/>
                <w:snapToGrid w:val="0"/>
                <w:color w:val="000000"/>
                <w:kern w:val="0"/>
                <w:sz w:val="21"/>
                <w:szCs w:val="21"/>
                <w:lang w:val="en-US" w:eastAsia="zh-CN" w:bidi="ar-SA"/>
              </w:rPr>
              <w:t>（2）鼓励学生结合所学知识，分析其他企业的财务报表，提高识别财务舞弊的能力。</w:t>
            </w:r>
          </w:p>
          <w:p>
            <w:pPr>
              <w:spacing w:before="133" w:line="232" w:lineRule="auto"/>
              <w:outlineLvl w:val="0"/>
              <w:rPr>
                <w:rFonts w:hint="eastAsia" w:ascii="宋体" w:hAnsi="宋体" w:eastAsia="宋体" w:cs="宋体"/>
                <w:snapToGrid w:val="0"/>
                <w:color w:val="000000"/>
                <w:kern w:val="0"/>
                <w:sz w:val="21"/>
                <w:szCs w:val="21"/>
                <w:lang w:val="en-US" w:eastAsia="zh-CN" w:bidi="ar-SA"/>
              </w:rPr>
            </w:pPr>
          </w:p>
          <w:p>
            <w:pPr>
              <w:spacing w:before="133" w:line="232" w:lineRule="auto"/>
              <w:outlineLvl w:val="0"/>
              <w:rPr>
                <w:rFonts w:hint="eastAsia" w:ascii="宋体" w:hAnsi="宋体" w:eastAsia="宋体" w:cs="宋体"/>
                <w:snapToGrid w:val="0"/>
                <w:color w:val="000000"/>
                <w:kern w:val="0"/>
                <w:sz w:val="21"/>
                <w:szCs w:val="21"/>
                <w:lang w:val="en-US" w:eastAsia="zh-CN" w:bidi="ar-SA"/>
              </w:rPr>
            </w:pPr>
            <w:r>
              <w:rPr>
                <w:rFonts w:hint="eastAsia" w:ascii="宋体" w:hAnsi="宋体" w:eastAsia="宋体" w:cs="宋体"/>
                <w:snapToGrid w:val="0"/>
                <w:color w:val="000000"/>
                <w:kern w:val="0"/>
                <w:sz w:val="21"/>
                <w:szCs w:val="21"/>
                <w:lang w:val="en-US" w:eastAsia="zh-CN" w:bidi="ar-SA"/>
              </w:rPr>
              <w:t>3.培养批判性思维</w:t>
            </w:r>
          </w:p>
          <w:p>
            <w:pPr>
              <w:spacing w:before="133" w:line="232" w:lineRule="auto"/>
              <w:outlineLvl w:val="0"/>
              <w:rPr>
                <w:rFonts w:hint="eastAsia" w:ascii="宋体" w:hAnsi="宋体" w:eastAsia="宋体" w:cs="宋体"/>
                <w:snapToGrid w:val="0"/>
                <w:color w:val="000000"/>
                <w:kern w:val="0"/>
                <w:sz w:val="21"/>
                <w:szCs w:val="21"/>
                <w:lang w:val="en-US" w:eastAsia="zh-CN" w:bidi="ar-SA"/>
              </w:rPr>
            </w:pPr>
            <w:r>
              <w:rPr>
                <w:rFonts w:hint="eastAsia" w:ascii="宋体" w:hAnsi="宋体" w:eastAsia="宋体" w:cs="宋体"/>
                <w:snapToGrid w:val="0"/>
                <w:color w:val="000000"/>
                <w:kern w:val="0"/>
                <w:sz w:val="21"/>
                <w:szCs w:val="21"/>
                <w:lang w:val="en-US" w:eastAsia="zh-CN" w:bidi="ar-SA"/>
              </w:rPr>
              <w:t>（1）要求学生具备独立思考和批判性思维的能力，能够对企业财务报表进行客观、全面的分析和评价。</w:t>
            </w:r>
          </w:p>
          <w:p>
            <w:pPr>
              <w:spacing w:before="133" w:line="232" w:lineRule="auto"/>
              <w:outlineLvl w:val="0"/>
              <w:rPr>
                <w:rFonts w:hint="eastAsia" w:ascii="宋体" w:hAnsi="宋体" w:eastAsia="宋体" w:cs="宋体"/>
                <w:snapToGrid w:val="0"/>
                <w:color w:val="000000"/>
                <w:kern w:val="0"/>
                <w:sz w:val="21"/>
                <w:szCs w:val="21"/>
                <w:lang w:val="en-US" w:eastAsia="zh-CN" w:bidi="ar-SA"/>
              </w:rPr>
            </w:pPr>
            <w:r>
              <w:rPr>
                <w:rFonts w:hint="eastAsia" w:ascii="宋体" w:hAnsi="宋体" w:eastAsia="宋体" w:cs="宋体"/>
                <w:snapToGrid w:val="0"/>
                <w:color w:val="000000"/>
                <w:kern w:val="0"/>
                <w:sz w:val="21"/>
                <w:szCs w:val="21"/>
                <w:lang w:val="en-US" w:eastAsia="zh-CN" w:bidi="ar-SA"/>
              </w:rPr>
              <w:t>（2）鼓励学生提出自己的观点和看法，与同学进行交流和讨论，促进思想碰撞和知识共享。</w:t>
            </w:r>
          </w:p>
          <w:p>
            <w:pPr>
              <w:spacing w:before="133" w:line="232" w:lineRule="auto"/>
              <w:outlineLvl w:val="0"/>
              <w:rPr>
                <w:rFonts w:hint="eastAsia" w:ascii="宋体" w:hAnsi="宋体" w:eastAsia="宋体" w:cs="宋体"/>
                <w:snapToGrid w:val="0"/>
                <w:color w:val="000000"/>
                <w:kern w:val="0"/>
                <w:sz w:val="21"/>
                <w:szCs w:val="21"/>
                <w:lang w:val="en-US" w:eastAsia="zh-CN" w:bidi="ar-SA"/>
              </w:rPr>
            </w:pPr>
          </w:p>
          <w:p>
            <w:pPr>
              <w:spacing w:before="133" w:line="232" w:lineRule="auto"/>
              <w:outlineLvl w:val="0"/>
              <w:rPr>
                <w:rFonts w:hint="eastAsia" w:ascii="宋体" w:hAnsi="宋体" w:eastAsia="宋体" w:cs="宋体"/>
                <w:snapToGrid w:val="0"/>
                <w:color w:val="000000"/>
                <w:kern w:val="0"/>
                <w:sz w:val="21"/>
                <w:szCs w:val="21"/>
                <w:lang w:val="en-US" w:eastAsia="zh-CN" w:bidi="ar-SA"/>
              </w:rPr>
            </w:pPr>
            <w:r>
              <w:rPr>
                <w:rFonts w:hint="eastAsia" w:ascii="宋体" w:hAnsi="宋体" w:eastAsia="宋体" w:cs="宋体"/>
                <w:snapToGrid w:val="0"/>
                <w:color w:val="000000"/>
                <w:kern w:val="0"/>
                <w:sz w:val="21"/>
                <w:szCs w:val="21"/>
                <w:lang w:val="en-US" w:eastAsia="zh-CN" w:bidi="ar-SA"/>
              </w:rPr>
              <w:t>4.强化法律意识</w:t>
            </w:r>
          </w:p>
          <w:p>
            <w:pPr>
              <w:spacing w:before="133" w:line="232" w:lineRule="auto"/>
              <w:outlineLvl w:val="0"/>
              <w:rPr>
                <w:rFonts w:hint="eastAsia" w:ascii="宋体" w:hAnsi="宋体" w:eastAsia="宋体" w:cs="宋体"/>
                <w:snapToGrid w:val="0"/>
                <w:color w:val="000000"/>
                <w:kern w:val="0"/>
                <w:sz w:val="21"/>
                <w:szCs w:val="21"/>
                <w:lang w:val="en-US" w:eastAsia="zh-CN" w:bidi="ar-SA"/>
              </w:rPr>
            </w:pPr>
            <w:r>
              <w:rPr>
                <w:rFonts w:hint="eastAsia" w:ascii="宋体" w:hAnsi="宋体" w:eastAsia="宋体" w:cs="宋体"/>
                <w:snapToGrid w:val="0"/>
                <w:color w:val="000000"/>
                <w:kern w:val="0"/>
                <w:sz w:val="21"/>
                <w:szCs w:val="21"/>
                <w:lang w:val="en-US" w:eastAsia="zh-CN" w:bidi="ar-SA"/>
              </w:rPr>
              <w:t>（1）强调企业财务舞弊的法律责任和监管措施，培养学生的法律意识和合规意识。</w:t>
            </w:r>
          </w:p>
          <w:p>
            <w:pPr>
              <w:spacing w:before="133" w:line="232" w:lineRule="auto"/>
              <w:outlineLvl w:val="0"/>
              <w:rPr>
                <w:rFonts w:hint="eastAsia" w:ascii="宋体" w:hAnsi="宋体" w:eastAsia="宋体" w:cs="宋体"/>
                <w:snapToGrid w:val="0"/>
                <w:color w:val="000000"/>
                <w:kern w:val="0"/>
                <w:sz w:val="21"/>
                <w:szCs w:val="21"/>
                <w:lang w:val="en-US" w:eastAsia="zh-CN" w:bidi="ar-SA"/>
              </w:rPr>
            </w:pPr>
            <w:r>
              <w:rPr>
                <w:rFonts w:hint="eastAsia" w:ascii="宋体" w:hAnsi="宋体" w:eastAsia="宋体" w:cs="宋体"/>
                <w:snapToGrid w:val="0"/>
                <w:color w:val="000000"/>
                <w:kern w:val="0"/>
                <w:sz w:val="21"/>
                <w:szCs w:val="21"/>
                <w:lang w:val="en-US" w:eastAsia="zh-CN" w:bidi="ar-SA"/>
              </w:rPr>
              <w:t>（2）引导学生树立正确的价值观和职业道德观，遵守法律法规和职业道德规范。</w:t>
            </w:r>
          </w:p>
          <w:p>
            <w:pPr>
              <w:pStyle w:val="8"/>
              <w:spacing w:before="60" w:line="217" w:lineRule="auto"/>
              <w:ind w:left="126"/>
              <w:rPr>
                <w:rFonts w:hint="eastAsia"/>
                <w:lang w:eastAsia="zh-CN"/>
              </w:rPr>
            </w:pPr>
          </w:p>
        </w:tc>
      </w:tr>
    </w:tbl>
    <w:p>
      <w:pPr>
        <w:spacing w:before="133" w:line="232" w:lineRule="auto"/>
        <w:outlineLvl w:val="0"/>
        <w:rPr>
          <w:rFonts w:hint="default" w:ascii="宋体" w:hAnsi="宋体" w:eastAsia="宋体" w:cs="宋体"/>
          <w:snapToGrid w:val="0"/>
          <w:color w:val="000000"/>
          <w:kern w:val="0"/>
          <w:sz w:val="21"/>
          <w:szCs w:val="21"/>
          <w:lang w:val="en-US" w:eastAsia="zh-CN" w:bidi="ar-SA"/>
        </w:rPr>
      </w:pPr>
    </w:p>
    <w:sectPr>
      <w:footerReference r:id="rId5" w:type="default"/>
      <w:pgSz w:w="11907" w:h="16839"/>
      <w:pgMar w:top="1431" w:right="1521" w:bottom="1358" w:left="1394" w:header="0" w:footer="1197" w:gutter="0"/>
      <w:pgNumType w:fmt="numberInDash"/>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华文行楷">
    <w:panose1 w:val="02010800040101010101"/>
    <w:charset w:val="86"/>
    <w:family w:val="auto"/>
    <w:pitch w:val="default"/>
    <w:sig w:usb0="00000001" w:usb1="080F0000" w:usb2="00000000" w:usb3="00000000" w:csb0="00040000"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4" w:lineRule="auto"/>
      <w:ind w:left="4515"/>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fyKa93AIAACQGAAAOAAAAAAAAAAEAIAAAAB8BAABkcnMvZTJvRG9jLnhtbFBLBQYA&#10;AAAABgAGAFkBAABtBg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- 1 -</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doNotUseIndentAsNumberingTabStop/>
    <w:compatSetting w:name="compatibilityMode" w:uri="http://schemas.microsoft.com/office/word" w:val="14"/>
  </w:compat>
  <w:docVars>
    <w:docVar w:name="commondata" w:val="eyJoZGlkIjoiYzZiNGI3M2U2MGNhNWZhNTgxN2RiZmYwNTY5ODdhNDUifQ=="/>
  </w:docVars>
  <w:rsids>
    <w:rsidRoot w:val="00000000"/>
    <w:rsid w:val="00FC206D"/>
    <w:rsid w:val="01995B0E"/>
    <w:rsid w:val="06FB0143"/>
    <w:rsid w:val="077E1A2E"/>
    <w:rsid w:val="0A31265E"/>
    <w:rsid w:val="0E466BCB"/>
    <w:rsid w:val="0EFA3E31"/>
    <w:rsid w:val="0F694D72"/>
    <w:rsid w:val="17F11DA8"/>
    <w:rsid w:val="19DB061A"/>
    <w:rsid w:val="1C1D316C"/>
    <w:rsid w:val="1DBC4C07"/>
    <w:rsid w:val="22160D89"/>
    <w:rsid w:val="2D320A41"/>
    <w:rsid w:val="2F05422D"/>
    <w:rsid w:val="311346E6"/>
    <w:rsid w:val="3166688D"/>
    <w:rsid w:val="342C61EA"/>
    <w:rsid w:val="35DA1C76"/>
    <w:rsid w:val="3B9052B1"/>
    <w:rsid w:val="40D75730"/>
    <w:rsid w:val="41432DC5"/>
    <w:rsid w:val="45C50599"/>
    <w:rsid w:val="46130FB8"/>
    <w:rsid w:val="4B5005B9"/>
    <w:rsid w:val="4C650094"/>
    <w:rsid w:val="4E2E44B5"/>
    <w:rsid w:val="4E7B594C"/>
    <w:rsid w:val="4FB77732"/>
    <w:rsid w:val="51CE66DB"/>
    <w:rsid w:val="55143C15"/>
    <w:rsid w:val="5CAE3391"/>
    <w:rsid w:val="5E292C62"/>
    <w:rsid w:val="61665FE8"/>
    <w:rsid w:val="634E4F86"/>
    <w:rsid w:val="639A466F"/>
    <w:rsid w:val="69B84493"/>
    <w:rsid w:val="6F55769C"/>
    <w:rsid w:val="6F6D487B"/>
    <w:rsid w:val="70DC62C7"/>
    <w:rsid w:val="71372DCB"/>
    <w:rsid w:val="72A60862"/>
    <w:rsid w:val="7513602F"/>
    <w:rsid w:val="754D7793"/>
    <w:rsid w:val="755D07D2"/>
    <w:rsid w:val="75E36485"/>
    <w:rsid w:val="779A2A38"/>
    <w:rsid w:val="7BB9233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Body Text"/>
    <w:basedOn w:val="1"/>
    <w:semiHidden/>
    <w:qFormat/>
    <w:uiPriority w:val="0"/>
    <w:rPr>
      <w:rFonts w:ascii="微软雅黑" w:hAnsi="微软雅黑" w:eastAsia="微软雅黑" w:cs="微软雅黑"/>
      <w:sz w:val="21"/>
      <w:szCs w:val="21"/>
      <w:lang w:val="en-US" w:eastAsia="en-US" w:bidi="ar-SA"/>
    </w:r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customStyle="1" w:styleId="7">
    <w:name w:val="Table Normal"/>
    <w:semiHidden/>
    <w:unhideWhenUsed/>
    <w:qFormat/>
    <w:uiPriority w:val="0"/>
    <w:tblPr>
      <w:tblCellMar>
        <w:top w:w="0" w:type="dxa"/>
        <w:left w:w="0" w:type="dxa"/>
        <w:bottom w:w="0" w:type="dxa"/>
        <w:right w:w="0" w:type="dxa"/>
      </w:tblCellMar>
    </w:tblPr>
  </w:style>
  <w:style w:type="paragraph" w:customStyle="1" w:styleId="8">
    <w:name w:val="Table Text"/>
    <w:basedOn w:val="1"/>
    <w:semiHidden/>
    <w:qFormat/>
    <w:uiPriority w:val="0"/>
    <w:rPr>
      <w:rFonts w:ascii="宋体" w:hAnsi="宋体" w:eastAsia="宋体" w:cs="宋体"/>
      <w:sz w:val="21"/>
      <w:szCs w:val="21"/>
      <w:lang w:val="en-US" w:eastAsia="en-US"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7</Pages>
  <Words>3011</Words>
  <Characters>3217</Characters>
  <TotalTime>68</TotalTime>
  <ScaleCrop>false</ScaleCrop>
  <LinksUpToDate>false</LinksUpToDate>
  <CharactersWithSpaces>3332</CharactersWithSpaces>
  <Application>WPS Office_12.1.0.16929_F1E327BC-269C-435d-A152-05C5408002CA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2022-12-10T22:00:00Z</dcterms:created>
  <dc:creator>lenovo</dc:creator>
  <cp:lastModifiedBy>吴中山</cp:lastModifiedBy>
  <dcterms:modified xsi:type="dcterms:W3CDTF">2024-06-22T11:53:40Z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2024-06-22T16:48:04Z</vt:filetime>
  </property>
  <property fmtid="{D5CDD505-2E9C-101B-9397-08002B2CF9AE}" pid="4" name="KSOProductBuildVer">
    <vt:lpwstr>2052-12.1.0.16929</vt:lpwstr>
  </property>
  <property fmtid="{D5CDD505-2E9C-101B-9397-08002B2CF9AE}" pid="5" name="ICV">
    <vt:lpwstr>66BDB82FA18E42BB8DB98887F909B9C3_12</vt:lpwstr>
  </property>
</Properties>
</file>