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3"/>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rFonts w:hint="default" w:eastAsiaTheme="minorEastAsia"/>
          <w:sz w:val="30"/>
          <w:u w:val="single"/>
          <w:lang w:val="en-US" w:eastAsia="zh-CN"/>
        </w:rPr>
      </w:pPr>
      <w:r>
        <w:rPr>
          <w:rFonts w:hint="eastAsia"/>
          <w:sz w:val="30"/>
        </w:rPr>
        <w:t>课程名称：</w:t>
      </w:r>
      <w:r>
        <w:rPr>
          <w:rFonts w:hint="eastAsia"/>
          <w:sz w:val="30"/>
          <w:u w:val="single"/>
        </w:rPr>
        <w:t xml:space="preserve"> </w:t>
      </w:r>
      <w:r>
        <w:rPr>
          <w:sz w:val="30"/>
          <w:u w:val="single"/>
        </w:rPr>
        <w:t xml:space="preserve"> </w:t>
      </w:r>
      <w:r>
        <w:rPr>
          <w:rFonts w:hint="eastAsia"/>
          <w:sz w:val="30"/>
          <w:u w:val="single"/>
          <w:lang w:val="en-US" w:eastAsia="zh-CN"/>
        </w:rPr>
        <w:t xml:space="preserve">     </w:t>
      </w:r>
      <w:r>
        <w:rPr>
          <w:sz w:val="30"/>
          <w:u w:val="single"/>
        </w:rPr>
        <w:t xml:space="preserve">    </w:t>
      </w:r>
      <w:r>
        <w:rPr>
          <w:rFonts w:hint="eastAsia"/>
          <w:sz w:val="30"/>
          <w:u w:val="single"/>
          <w:lang w:val="en-US" w:eastAsia="zh-CN"/>
        </w:rPr>
        <w:t xml:space="preserve">保险法             </w:t>
      </w:r>
    </w:p>
    <w:p>
      <w:pPr>
        <w:ind w:firstLine="1500" w:firstLineChars="500"/>
        <w:rPr>
          <w:rFonts w:hint="eastAsia"/>
          <w:sz w:val="30"/>
        </w:rPr>
      </w:pPr>
    </w:p>
    <w:p>
      <w:pPr>
        <w:ind w:firstLine="1500" w:firstLineChars="500"/>
        <w:rPr>
          <w:rFonts w:hint="default" w:eastAsiaTheme="minorEastAsia"/>
          <w:sz w:val="30"/>
          <w:u w:val="single"/>
          <w:lang w:val="en-US" w:eastAsia="zh-CN"/>
        </w:rPr>
      </w:pPr>
      <w:r>
        <w:rPr>
          <w:rFonts w:hint="eastAsia"/>
          <w:sz w:val="30"/>
        </w:rPr>
        <w:t>编写负责人姓名：</w:t>
      </w:r>
      <w:r>
        <w:rPr>
          <w:rFonts w:hint="eastAsia"/>
          <w:sz w:val="30"/>
          <w:u w:val="single"/>
          <w:lang w:val="en-US" w:eastAsia="zh-CN"/>
        </w:rPr>
        <w:t xml:space="preserve">      刘琼              </w:t>
      </w:r>
    </w:p>
    <w:p>
      <w:pPr>
        <w:ind w:firstLine="1500" w:firstLineChars="500"/>
        <w:rPr>
          <w:rFonts w:hint="eastAsia"/>
          <w:sz w:val="30"/>
        </w:rPr>
      </w:pPr>
    </w:p>
    <w:p>
      <w:pPr>
        <w:ind w:firstLine="1500" w:firstLineChars="500"/>
        <w:rPr>
          <w:rFonts w:hint="default" w:eastAsiaTheme="minorEastAsia"/>
          <w:sz w:val="30"/>
          <w:u w:val="single"/>
          <w:lang w:val="en-US" w:eastAsia="zh-CN"/>
        </w:rPr>
      </w:pPr>
      <w:r>
        <w:rPr>
          <w:rFonts w:hint="eastAsia"/>
          <w:sz w:val="30"/>
        </w:rPr>
        <w:t>联系电话：</w:t>
      </w:r>
      <w:r>
        <w:rPr>
          <w:rFonts w:hint="eastAsia"/>
          <w:sz w:val="30"/>
          <w:u w:val="single"/>
        </w:rPr>
        <w:t xml:space="preserve">     </w:t>
      </w:r>
      <w:r>
        <w:rPr>
          <w:rFonts w:hint="eastAsia"/>
          <w:sz w:val="30"/>
          <w:u w:val="single"/>
          <w:lang w:val="en-US" w:eastAsia="zh-CN"/>
        </w:rPr>
        <w:t xml:space="preserve">   13615628432           </w:t>
      </w:r>
    </w:p>
    <w:p>
      <w:pPr>
        <w:ind w:firstLine="1500" w:firstLineChars="500"/>
        <w:rPr>
          <w:rFonts w:hint="eastAsia"/>
          <w:sz w:val="30"/>
        </w:rPr>
      </w:pPr>
    </w:p>
    <w:p>
      <w:pPr>
        <w:ind w:firstLine="1500" w:firstLineChars="500"/>
        <w:rPr>
          <w:rFonts w:hint="default" w:eastAsiaTheme="minorEastAsia"/>
          <w:sz w:val="30"/>
          <w:u w:val="single"/>
          <w:lang w:val="en-US" w:eastAsia="zh-CN"/>
        </w:rPr>
      </w:pPr>
      <w:r>
        <w:rPr>
          <w:rFonts w:hint="eastAsia"/>
          <w:sz w:val="30"/>
        </w:rPr>
        <w:t>院（部）名称：</w:t>
      </w:r>
      <w:r>
        <w:rPr>
          <w:rFonts w:hint="eastAsia"/>
          <w:sz w:val="30"/>
          <w:u w:val="single"/>
        </w:rPr>
        <w:t xml:space="preserve">  </w:t>
      </w:r>
      <w:r>
        <w:rPr>
          <w:rFonts w:hint="eastAsia"/>
          <w:sz w:val="30"/>
          <w:u w:val="single"/>
          <w:lang w:val="en-US" w:eastAsia="zh-CN"/>
        </w:rPr>
        <w:t xml:space="preserve">    金融学院            </w:t>
      </w:r>
    </w:p>
    <w:p>
      <w:pPr>
        <w:spacing w:line="276" w:lineRule="auto"/>
        <w:jc w:val="center"/>
        <w:rPr>
          <w:rFonts w:hint="eastAsia"/>
          <w:b/>
          <w:sz w:val="30"/>
        </w:rPr>
      </w:pPr>
    </w:p>
    <w:p>
      <w:pPr>
        <w:spacing w:line="276" w:lineRule="auto"/>
        <w:jc w:val="center"/>
        <w:rPr>
          <w:rFonts w:hint="eastAsia"/>
          <w:b/>
          <w:sz w:val="30"/>
        </w:rPr>
      </w:pPr>
    </w:p>
    <w:p>
      <w:pPr>
        <w:spacing w:line="276" w:lineRule="auto"/>
        <w:jc w:val="center"/>
        <w:rPr>
          <w:rFonts w:hint="eastAsia"/>
          <w:b/>
          <w:sz w:val="30"/>
        </w:rPr>
      </w:pPr>
    </w:p>
    <w:p>
      <w:pPr>
        <w:spacing w:line="276" w:lineRule="auto"/>
        <w:jc w:val="center"/>
        <w:rPr>
          <w:rFonts w:hint="eastAsia"/>
          <w:b/>
          <w:sz w:val="30"/>
        </w:rPr>
      </w:pPr>
    </w:p>
    <w:p>
      <w:pPr>
        <w:spacing w:line="276" w:lineRule="auto"/>
        <w:jc w:val="center"/>
        <w:rPr>
          <w:b w:val="0"/>
          <w:bCs/>
          <w:sz w:val="30"/>
        </w:rPr>
      </w:pPr>
      <w:r>
        <w:rPr>
          <w:rFonts w:hint="eastAsia"/>
          <w:b w:val="0"/>
          <w:bCs/>
          <w:sz w:val="30"/>
        </w:rPr>
        <w:t>二</w:t>
      </w:r>
      <w:r>
        <w:rPr>
          <w:rFonts w:hint="eastAsia" w:ascii="宋体" w:hAnsi="宋体"/>
          <w:b w:val="0"/>
          <w:bCs/>
          <w:sz w:val="30"/>
        </w:rPr>
        <w:t>〇二</w:t>
      </w:r>
      <w:r>
        <w:rPr>
          <w:rFonts w:hint="eastAsia" w:ascii="宋体" w:hAnsi="宋体"/>
          <w:b w:val="0"/>
          <w:bCs/>
          <w:sz w:val="30"/>
          <w:lang w:eastAsia="zh-CN"/>
        </w:rPr>
        <w:t>四</w:t>
      </w:r>
      <w:r>
        <w:rPr>
          <w:rFonts w:hint="eastAsia"/>
          <w:b w:val="0"/>
          <w:bCs/>
          <w:sz w:val="30"/>
        </w:rPr>
        <w:t>年</w:t>
      </w:r>
      <w:r>
        <w:rPr>
          <w:rFonts w:hint="eastAsia"/>
          <w:b w:val="0"/>
          <w:bCs/>
          <w:sz w:val="30"/>
          <w:lang w:eastAsia="zh-CN"/>
        </w:rPr>
        <w:t>一</w:t>
      </w:r>
      <w:r>
        <w:rPr>
          <w:rFonts w:hint="eastAsia"/>
          <w:b w:val="0"/>
          <w:bCs/>
          <w:sz w:val="30"/>
        </w:rPr>
        <w:t>月</w:t>
      </w:r>
    </w:p>
    <w:p>
      <w:pPr>
        <w:pStyle w:val="3"/>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val="en-US" w:eastAsia="zh-CN" w:bidi="ar"/>
        </w:rPr>
        <w:t>保险法</w:t>
      </w:r>
      <w:r>
        <w:rPr>
          <w:rFonts w:hint="eastAsia" w:ascii="黑体" w:hAnsi="黑体" w:eastAsia="黑体" w:cs="黑体"/>
          <w:b/>
          <w:bCs/>
          <w:color w:val="000000"/>
          <w:kern w:val="0"/>
          <w:sz w:val="32"/>
          <w:szCs w:val="32"/>
          <w:lang w:eastAsia="zh-CN" w:bidi="ar"/>
        </w:rPr>
        <w:t>》</w:t>
      </w:r>
      <w:r>
        <w:rPr>
          <w:rFonts w:hint="eastAsia" w:ascii="黑体" w:hAnsi="黑体" w:eastAsia="黑体" w:cs="黑体"/>
          <w:b/>
          <w:bCs/>
          <w:color w:val="000000"/>
          <w:kern w:val="0"/>
          <w:sz w:val="32"/>
          <w:szCs w:val="32"/>
          <w:lang w:bidi="ar"/>
        </w:rPr>
        <w:t>课程真实项目案例库</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130"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2130" w:type="dxa"/>
            <w:vAlign w:val="center"/>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保险法</w:t>
            </w:r>
          </w:p>
        </w:tc>
        <w:tc>
          <w:tcPr>
            <w:tcW w:w="2131"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2131" w:type="dxa"/>
            <w:vAlign w:val="center"/>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130"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2130" w:type="dxa"/>
            <w:vAlign w:val="center"/>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保险学</w:t>
            </w:r>
          </w:p>
        </w:tc>
        <w:tc>
          <w:tcPr>
            <w:tcW w:w="2131"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2131" w:type="dxa"/>
            <w:vAlign w:val="center"/>
          </w:tcPr>
          <w:p>
            <w:pPr>
              <w:widowControl/>
              <w:jc w:val="center"/>
              <w:rPr>
                <w:rFonts w:hint="eastAsia"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大三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2130"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2130" w:type="dxa"/>
            <w:vAlign w:val="center"/>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刘琼</w:t>
            </w:r>
          </w:p>
        </w:tc>
        <w:tc>
          <w:tcPr>
            <w:tcW w:w="2131" w:type="dxa"/>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2131" w:type="dxa"/>
            <w:vAlign w:val="center"/>
          </w:tcPr>
          <w:p>
            <w:pPr>
              <w:widowControl/>
              <w:jc w:val="center"/>
              <w:rPr>
                <w:rFonts w:hint="default" w:ascii="仿宋_GB2312" w:hAnsi="仿宋_GB2312" w:eastAsia="仿宋_GB2312" w:cs="仿宋_GB2312"/>
                <w:color w:val="000000"/>
                <w:kern w:val="0"/>
                <w:sz w:val="28"/>
                <w:szCs w:val="28"/>
                <w:lang w:val="en-US" w:eastAsia="zh-CN" w:bidi="ar"/>
              </w:rPr>
            </w:pPr>
            <w:r>
              <w:rPr>
                <w:rFonts w:hint="eastAsia" w:ascii="仿宋_GB2312" w:hAnsi="仿宋_GB2312" w:eastAsia="仿宋_GB2312" w:cs="仿宋_GB2312"/>
                <w:color w:val="000000"/>
                <w:kern w:val="0"/>
                <w:sz w:val="28"/>
                <w:szCs w:val="28"/>
                <w:lang w:val="en-US" w:eastAsia="zh-CN" w:bidi="ar"/>
              </w:rPr>
              <w:t>2024.2.24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6392" w:type="dxa"/>
            <w:gridSpan w:val="3"/>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 w:hAnsi="仿宋" w:eastAsia="仿宋" w:cs="仿宋"/>
                <w:b w:val="0"/>
                <w:bCs w:val="0"/>
                <w:color w:val="000000"/>
                <w:kern w:val="0"/>
                <w:sz w:val="28"/>
                <w:szCs w:val="28"/>
                <w:lang w:bidi="ar"/>
              </w:rPr>
            </w:pPr>
            <w:r>
              <w:rPr>
                <w:rFonts w:hint="eastAsia" w:ascii="仿宋" w:hAnsi="仿宋" w:eastAsia="仿宋" w:cs="仿宋"/>
                <w:b/>
                <w:bCs/>
                <w:sz w:val="28"/>
                <w:szCs w:val="28"/>
                <w:lang w:val="en-US" w:eastAsia="zh-CN"/>
              </w:rPr>
              <w:t>课程目标1（L01）</w:t>
            </w:r>
            <w:r>
              <w:rPr>
                <w:rFonts w:hint="eastAsia" w:ascii="仿宋" w:hAnsi="仿宋" w:eastAsia="仿宋" w:cs="仿宋"/>
                <w:b w:val="0"/>
                <w:bCs w:val="0"/>
                <w:sz w:val="28"/>
                <w:szCs w:val="28"/>
                <w:lang w:val="en-US" w:eastAsia="zh-CN"/>
              </w:rPr>
              <w:t>（知识目标）：</w:t>
            </w:r>
            <w:bookmarkStart w:id="0" w:name="OLE_LINK7"/>
            <w:r>
              <w:rPr>
                <w:rFonts w:hint="eastAsia" w:ascii="仿宋" w:hAnsi="仿宋" w:eastAsia="仿宋" w:cs="仿宋"/>
                <w:b w:val="0"/>
                <w:bCs w:val="0"/>
                <w:sz w:val="28"/>
                <w:szCs w:val="28"/>
                <w:lang w:val="en-US" w:eastAsia="zh-CN"/>
              </w:rPr>
              <w:t>掌握保险法的概念、特点及构成，熟悉保险合同法的基本理论，理解保险合同法的基本原则，掌握财产保险合同以及人身保险合同中的常用条款及特殊条款；</w:t>
            </w:r>
            <w:bookmarkEnd w:id="0"/>
            <w:r>
              <w:rPr>
                <w:rFonts w:hint="eastAsia" w:ascii="仿宋" w:hAnsi="仿宋" w:eastAsia="仿宋" w:cs="仿宋"/>
                <w:b w:val="0"/>
                <w:bCs w:val="0"/>
                <w:sz w:val="28"/>
                <w:szCs w:val="28"/>
                <w:lang w:val="en-US" w:eastAsia="zh-CN"/>
              </w:rPr>
              <w:t>了解保险业法的概念及内容。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b w:val="0"/>
                <w:bCs w:val="0"/>
                <w:color w:val="000000"/>
                <w:kern w:val="0"/>
                <w:sz w:val="28"/>
                <w:szCs w:val="28"/>
                <w:lang w:bidi="ar"/>
              </w:rPr>
            </w:pPr>
            <w:r>
              <w:rPr>
                <w:rFonts w:hint="eastAsia" w:ascii="仿宋" w:hAnsi="仿宋" w:eastAsia="仿宋" w:cs="仿宋"/>
                <w:b/>
                <w:bCs/>
                <w:color w:val="000000"/>
                <w:kern w:val="0"/>
                <w:sz w:val="28"/>
                <w:szCs w:val="28"/>
                <w:lang w:bidi="ar"/>
              </w:rPr>
              <w:t>课程目标2（L02）</w:t>
            </w:r>
            <w:r>
              <w:rPr>
                <w:rFonts w:hint="eastAsia" w:ascii="仿宋" w:hAnsi="仿宋" w:eastAsia="仿宋" w:cs="仿宋"/>
                <w:b w:val="0"/>
                <w:bCs w:val="0"/>
                <w:color w:val="000000"/>
                <w:kern w:val="0"/>
                <w:sz w:val="28"/>
                <w:szCs w:val="28"/>
                <w:lang w:bidi="ar"/>
              </w:rPr>
              <w:t>（能力目标）：使学生具备运用保险法的基本知识、基本原理处理保险纠纷的能力；通过典型案例讨论培养学生的自信心、团队合作能力、沟通能力和问题解决能力。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Merge w:val="continue"/>
          </w:tcPr>
          <w:p>
            <w:pPr>
              <w:widowControl/>
              <w:jc w:val="distribute"/>
              <w:rPr>
                <w:rFonts w:ascii="仿宋_GB2312" w:hAnsi="仿宋_GB2312" w:eastAsia="仿宋_GB2312" w:cs="仿宋_GB2312"/>
                <w:color w:val="000000"/>
                <w:kern w:val="0"/>
                <w:sz w:val="28"/>
                <w:szCs w:val="28"/>
                <w:lang w:bidi="ar"/>
              </w:rPr>
            </w:pPr>
          </w:p>
        </w:tc>
        <w:tc>
          <w:tcPr>
            <w:tcW w:w="6392" w:type="dxa"/>
            <w:gridSpan w:val="3"/>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8"/>
                <w:szCs w:val="28"/>
                <w:lang w:bidi="ar"/>
              </w:rPr>
            </w:pPr>
            <w:r>
              <w:rPr>
                <w:rFonts w:hint="eastAsia" w:ascii="仿宋" w:hAnsi="仿宋" w:eastAsia="仿宋" w:cs="仿宋"/>
                <w:b/>
                <w:bCs/>
                <w:color w:val="000000"/>
                <w:kern w:val="0"/>
                <w:sz w:val="28"/>
                <w:szCs w:val="28"/>
                <w:lang w:val="en-US" w:eastAsia="zh-CN" w:bidi="ar"/>
              </w:rPr>
              <w:t>课程目标3（L03）</w:t>
            </w:r>
            <w:r>
              <w:rPr>
                <w:rFonts w:hint="eastAsia" w:ascii="仿宋" w:hAnsi="仿宋" w:eastAsia="仿宋" w:cs="仿宋"/>
                <w:color w:val="000000"/>
                <w:kern w:val="0"/>
                <w:sz w:val="28"/>
                <w:szCs w:val="28"/>
                <w:lang w:val="en-US" w:eastAsia="zh-CN" w:bidi="ar"/>
              </w:rPr>
              <w:t>（素质目标）：</w:t>
            </w:r>
            <w:bookmarkStart w:id="1" w:name="OLE_LINK21"/>
            <w:r>
              <w:rPr>
                <w:rFonts w:hint="eastAsia" w:ascii="仿宋" w:hAnsi="仿宋" w:eastAsia="仿宋" w:cs="仿宋"/>
                <w:color w:val="000000"/>
                <w:kern w:val="0"/>
                <w:sz w:val="28"/>
                <w:szCs w:val="28"/>
                <w:lang w:val="en-US" w:eastAsia="zh-CN" w:bidi="ar"/>
              </w:rPr>
              <w:t>通过保险法理论的学习，增强学生的法制观念，提高法律意识，通过案例剖析，培养公正、公平、诚信的职业道德观念，培养学生自主学习和终身学习的习惯。</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6392" w:type="dxa"/>
            <w:gridSpan w:val="3"/>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jc w:val="left"/>
        <w:rPr>
          <w:rFonts w:ascii="仿宋_GB2312" w:hAnsi="仿宋_GB2312" w:eastAsia="仿宋_GB2312" w:cs="仿宋_GB2312"/>
          <w:color w:val="000000"/>
          <w:kern w:val="0"/>
          <w:sz w:val="28"/>
          <w:szCs w:val="28"/>
          <w:lang w:bidi="ar"/>
        </w:rPr>
      </w:pPr>
    </w:p>
    <w:p>
      <w:pPr>
        <w:widowControl/>
        <w:spacing w:before="156" w:beforeLines="50" w:after="156" w:afterLines="50" w:line="360" w:lineRule="auto"/>
        <w:jc w:val="both"/>
        <w:rPr>
          <w:rFonts w:hint="eastAsia" w:ascii="黑体" w:hAnsi="黑体" w:eastAsia="黑体" w:cs="黑体"/>
          <w:color w:val="000000"/>
          <w:kern w:val="0"/>
          <w:sz w:val="28"/>
          <w:szCs w:val="28"/>
          <w:lang w:bidi="ar"/>
        </w:rPr>
      </w:pPr>
    </w:p>
    <w:p>
      <w:pPr>
        <w:widowControl/>
        <w:spacing w:before="156" w:beforeLines="50" w:after="156" w:afterLines="50" w:line="360" w:lineRule="auto"/>
        <w:jc w:val="both"/>
        <w:rPr>
          <w:rFonts w:hint="eastAsia" w:ascii="黑体" w:hAnsi="黑体" w:eastAsia="黑体" w:cs="黑体"/>
          <w:color w:val="000000"/>
          <w:kern w:val="0"/>
          <w:sz w:val="28"/>
          <w:szCs w:val="28"/>
          <w:lang w:bidi="ar"/>
        </w:rPr>
      </w:pPr>
    </w:p>
    <w:p>
      <w:pPr>
        <w:widowControl/>
        <w:spacing w:before="156" w:beforeLines="50" w:after="156" w:afterLines="50" w:line="360" w:lineRule="auto"/>
        <w:jc w:val="both"/>
        <w:rPr>
          <w:rFonts w:hint="default" w:ascii="黑体" w:hAnsi="黑体" w:eastAsia="黑体" w:cs="黑体"/>
          <w:color w:val="000000"/>
          <w:kern w:val="0"/>
          <w:sz w:val="28"/>
          <w:szCs w:val="28"/>
          <w:lang w:val="en-US" w:eastAsia="zh-CN"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r>
        <w:rPr>
          <w:rFonts w:hint="eastAsia" w:ascii="黑体" w:hAnsi="黑体" w:eastAsia="黑体" w:cs="黑体"/>
          <w:color w:val="000000"/>
          <w:kern w:val="0"/>
          <w:sz w:val="28"/>
          <w:szCs w:val="28"/>
          <w:lang w:val="en-US" w:eastAsia="zh-CN" w:bidi="ar"/>
        </w:rPr>
        <w:t>保险法基本原则经典案例库</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本人所讲授</w:t>
            </w:r>
            <w:r>
              <w:rPr>
                <w:rFonts w:hint="eastAsia" w:ascii="宋体" w:hAnsi="宋体" w:eastAsia="宋体" w:cs="宋体"/>
                <w:sz w:val="24"/>
                <w:szCs w:val="24"/>
                <w:lang w:bidi="ar"/>
              </w:rPr>
              <w:t>《保险法》课程是针对保险学专业大三</w:t>
            </w:r>
            <w:r>
              <w:rPr>
                <w:rFonts w:hint="eastAsia" w:ascii="宋体" w:hAnsi="宋体" w:eastAsia="宋体" w:cs="宋体"/>
                <w:sz w:val="24"/>
                <w:szCs w:val="24"/>
                <w:lang w:val="en-US" w:eastAsia="zh-CN" w:bidi="ar"/>
              </w:rPr>
              <w:t>学生</w:t>
            </w:r>
            <w:r>
              <w:rPr>
                <w:rFonts w:hint="eastAsia" w:ascii="宋体" w:hAnsi="宋体" w:eastAsia="宋体" w:cs="宋体"/>
                <w:sz w:val="24"/>
                <w:szCs w:val="24"/>
                <w:lang w:bidi="ar"/>
              </w:rPr>
              <w:t>开设的一门</w:t>
            </w:r>
            <w:r>
              <w:rPr>
                <w:rFonts w:hint="eastAsia" w:ascii="宋体" w:hAnsi="宋体" w:eastAsia="宋体" w:cs="宋体"/>
                <w:sz w:val="24"/>
                <w:szCs w:val="24"/>
                <w:lang w:val="en-US" w:eastAsia="zh-CN" w:bidi="ar"/>
              </w:rPr>
              <w:t>专业核心课</w:t>
            </w:r>
            <w:r>
              <w:rPr>
                <w:rFonts w:hint="eastAsia" w:ascii="宋体" w:hAnsi="宋体" w:eastAsia="宋体" w:cs="宋体"/>
                <w:sz w:val="24"/>
                <w:szCs w:val="24"/>
                <w:lang w:bidi="ar"/>
              </w:rPr>
              <w:t>，</w:t>
            </w:r>
            <w:r>
              <w:rPr>
                <w:rFonts w:hint="eastAsia" w:ascii="宋体" w:hAnsi="宋体" w:eastAsia="宋体" w:cs="宋体"/>
                <w:sz w:val="24"/>
                <w:szCs w:val="24"/>
                <w:lang w:val="en-US" w:eastAsia="zh-CN" w:bidi="ar"/>
              </w:rPr>
              <w:t>共</w:t>
            </w:r>
            <w:r>
              <w:rPr>
                <w:rFonts w:hint="eastAsia" w:ascii="宋体" w:hAnsi="宋体" w:eastAsia="宋体" w:cs="宋体"/>
                <w:sz w:val="24"/>
                <w:szCs w:val="24"/>
                <w:lang w:bidi="ar"/>
              </w:rPr>
              <w:t>48学时，</w:t>
            </w:r>
            <w:r>
              <w:rPr>
                <w:rFonts w:hint="eastAsia" w:ascii="宋体" w:hAnsi="宋体" w:eastAsia="宋体" w:cs="宋体"/>
                <w:sz w:val="24"/>
                <w:szCs w:val="24"/>
                <w:lang w:val="en-US" w:eastAsia="zh-CN" w:bidi="ar"/>
              </w:rPr>
              <w:t>3学分，</w:t>
            </w:r>
            <w:r>
              <w:rPr>
                <w:rFonts w:hint="eastAsia" w:ascii="宋体" w:hAnsi="宋体" w:eastAsia="宋体" w:cs="宋体"/>
                <w:sz w:val="24"/>
                <w:szCs w:val="24"/>
                <w:lang w:bidi="ar"/>
              </w:rPr>
              <w:t>这部分学生已经学过《保险学》、《</w:t>
            </w:r>
            <w:r>
              <w:rPr>
                <w:rFonts w:hint="eastAsia" w:ascii="宋体" w:hAnsi="宋体" w:eastAsia="宋体" w:cs="宋体"/>
                <w:sz w:val="24"/>
                <w:szCs w:val="24"/>
                <w:lang w:val="en-US" w:eastAsia="zh-CN" w:bidi="ar"/>
              </w:rPr>
              <w:t>财产保险</w:t>
            </w:r>
            <w:r>
              <w:rPr>
                <w:rFonts w:hint="eastAsia" w:ascii="宋体" w:hAnsi="宋体" w:eastAsia="宋体" w:cs="宋体"/>
                <w:sz w:val="24"/>
                <w:szCs w:val="24"/>
                <w:lang w:bidi="ar"/>
              </w:rPr>
              <w:t>》</w:t>
            </w:r>
            <w:r>
              <w:rPr>
                <w:rFonts w:hint="eastAsia" w:ascii="宋体" w:hAnsi="宋体" w:eastAsia="宋体" w:cs="宋体"/>
                <w:sz w:val="24"/>
                <w:szCs w:val="24"/>
                <w:lang w:val="en-US" w:eastAsia="zh-CN" w:bidi="ar"/>
              </w:rPr>
              <w:t>以及</w:t>
            </w:r>
            <w:r>
              <w:rPr>
                <w:rFonts w:hint="eastAsia" w:ascii="宋体" w:hAnsi="宋体" w:eastAsia="宋体" w:cs="宋体"/>
                <w:sz w:val="24"/>
                <w:szCs w:val="24"/>
                <w:lang w:bidi="ar"/>
              </w:rPr>
              <w:t>《</w:t>
            </w:r>
            <w:r>
              <w:rPr>
                <w:rFonts w:hint="eastAsia" w:ascii="宋体" w:hAnsi="宋体" w:eastAsia="宋体" w:cs="宋体"/>
                <w:sz w:val="24"/>
                <w:szCs w:val="24"/>
                <w:lang w:val="en-US" w:eastAsia="zh-CN" w:bidi="ar"/>
              </w:rPr>
              <w:t>人身保险</w:t>
            </w:r>
            <w:r>
              <w:rPr>
                <w:rFonts w:hint="eastAsia" w:ascii="宋体" w:hAnsi="宋体" w:eastAsia="宋体" w:cs="宋体"/>
                <w:sz w:val="24"/>
                <w:szCs w:val="24"/>
                <w:lang w:bidi="ar"/>
              </w:rPr>
              <w:t>》等专业课程，对保险学的基本原理有一定的了解。</w:t>
            </w:r>
            <w:r>
              <w:rPr>
                <w:rFonts w:hint="eastAsia" w:ascii="宋体" w:hAnsi="宋体" w:eastAsia="宋体" w:cs="宋体"/>
                <w:sz w:val="24"/>
                <w:szCs w:val="24"/>
                <w:lang w:eastAsia="zh-CN" w:bidi="ar"/>
              </w:rPr>
              <w:t>《保险法》教材多是针对法学专业学生的，内容以介绍保险学基本原理与保险法律条文</w:t>
            </w:r>
            <w:r>
              <w:rPr>
                <w:rFonts w:hint="eastAsia" w:ascii="宋体" w:hAnsi="宋体" w:eastAsia="宋体" w:cs="宋体"/>
                <w:sz w:val="24"/>
                <w:szCs w:val="24"/>
                <w:lang w:val="en-US" w:eastAsia="zh-CN" w:bidi="ar"/>
              </w:rPr>
              <w:t>为主，从多年的教学经验来看，</w:t>
            </w:r>
            <w:r>
              <w:rPr>
                <w:rFonts w:hint="eastAsia" w:ascii="宋体" w:hAnsi="宋体" w:eastAsia="宋体" w:cs="宋体"/>
                <w:sz w:val="24"/>
                <w:szCs w:val="24"/>
                <w:lang w:bidi="ar"/>
              </w:rPr>
              <w:t>如果</w:t>
            </w:r>
            <w:r>
              <w:rPr>
                <w:rFonts w:hint="eastAsia" w:ascii="宋体" w:hAnsi="宋体" w:eastAsia="宋体" w:cs="宋体"/>
                <w:sz w:val="24"/>
                <w:szCs w:val="24"/>
                <w:lang w:val="en-US" w:eastAsia="zh-CN" w:bidi="ar"/>
              </w:rPr>
              <w:t>在课堂上</w:t>
            </w:r>
            <w:r>
              <w:rPr>
                <w:rFonts w:hint="eastAsia" w:ascii="宋体" w:hAnsi="宋体" w:eastAsia="宋体" w:cs="宋体"/>
                <w:sz w:val="24"/>
                <w:szCs w:val="24"/>
                <w:lang w:bidi="ar"/>
              </w:rPr>
              <w:t>仅仅讲教材知识，</w:t>
            </w:r>
            <w:r>
              <w:rPr>
                <w:rFonts w:hint="eastAsia" w:ascii="宋体" w:hAnsi="宋体" w:eastAsia="宋体" w:cs="宋体"/>
                <w:sz w:val="24"/>
                <w:szCs w:val="24"/>
                <w:lang w:val="en-US" w:eastAsia="zh-CN" w:bidi="ar"/>
              </w:rPr>
              <w:t>许多学生反映教材内容都已经很熟悉了，导致</w:t>
            </w:r>
            <w:r>
              <w:rPr>
                <w:rFonts w:hint="eastAsia" w:ascii="宋体" w:hAnsi="宋体" w:eastAsia="宋体" w:cs="宋体"/>
                <w:sz w:val="24"/>
                <w:szCs w:val="24"/>
                <w:lang w:bidi="ar"/>
              </w:rPr>
              <w:t>学生积极性不高，参与度低，针对此情况</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本团队</w:t>
            </w:r>
            <w:r>
              <w:rPr>
                <w:rFonts w:hint="eastAsia" w:ascii="宋体" w:hAnsi="宋体" w:eastAsia="宋体" w:cs="宋体"/>
                <w:sz w:val="24"/>
                <w:szCs w:val="24"/>
                <w:lang w:bidi="ar"/>
              </w:rPr>
              <w:t>探索在教学中运用信息化的教学工具，开展案例教学，</w:t>
            </w:r>
            <w:r>
              <w:rPr>
                <w:rFonts w:hint="eastAsia" w:ascii="宋体" w:hAnsi="宋体" w:eastAsia="宋体" w:cs="宋体"/>
                <w:sz w:val="24"/>
                <w:szCs w:val="24"/>
                <w:lang w:val="en-US" w:eastAsia="zh-CN" w:bidi="ar"/>
              </w:rPr>
              <w:t>利用行业中的真实案例，让学生分组讨论，通过此形式掌握案例背后的理论知识和争议焦点，</w:t>
            </w:r>
            <w:r>
              <w:rPr>
                <w:rFonts w:hint="eastAsia" w:ascii="宋体" w:hAnsi="宋体" w:eastAsia="宋体" w:cs="宋体"/>
                <w:sz w:val="24"/>
                <w:szCs w:val="24"/>
                <w:lang w:bidi="ar"/>
              </w:rPr>
              <w:t>取得了一定的效果</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近两年本课程组又进一步探索，开始实施“对分课堂”教学模式，将案例教学与“对分课堂”相结合，</w:t>
            </w:r>
            <w:r>
              <w:rPr>
                <w:rFonts w:hint="eastAsia" w:ascii="宋体" w:hAnsi="宋体" w:eastAsia="宋体" w:cs="宋体"/>
                <w:sz w:val="24"/>
                <w:szCs w:val="24"/>
                <w:lang w:bidi="ar"/>
              </w:rPr>
              <w:t>强调将讲授与讨论错开，给学生大量的准备时间，改进评价方式，注重过程性考核，有效解决《保险法》课程存在的问题，为进一步提高课堂质量，提升学生的能力提供了</w:t>
            </w:r>
            <w:r>
              <w:rPr>
                <w:rFonts w:hint="eastAsia" w:ascii="宋体" w:hAnsi="宋体" w:eastAsia="宋体" w:cs="宋体"/>
                <w:sz w:val="24"/>
                <w:szCs w:val="24"/>
                <w:lang w:val="en-US" w:eastAsia="zh-CN" w:bidi="ar"/>
              </w:rPr>
              <w:t>新</w:t>
            </w:r>
            <w:r>
              <w:rPr>
                <w:rFonts w:hint="eastAsia" w:ascii="宋体" w:hAnsi="宋体" w:eastAsia="宋体" w:cs="宋体"/>
                <w:sz w:val="24"/>
                <w:szCs w:val="24"/>
                <w:lang w:bidi="ar"/>
              </w:rPr>
              <w:t>思路。</w:t>
            </w:r>
          </w:p>
          <w:p>
            <w:pPr>
              <w:pStyle w:val="3"/>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保险法基本原则经典案例库对应着《保险法》课程中最重要的“保险合同法基本原则”这一章内容，也是保险实务中引发纠纷最多的部分，本章内容知识点多，难以理解，因此在课程中通过案例的嵌入，让学生讨论、分析案例，不仅将理论知识内化，并且使学生具备运用保险法的基本知识、基本原理处理保险纠纷的能力；通过典型案例讨论培养学生的自信心、团队合作能力、沟通能力和问题解决能力。同时通过教师的引导还增强了学生的法制观念，提高法律意识，培养公正、公平、诚信的职业道德观念，培养学生自主学习和终身学习的习惯，课程目标有效达成。</w:t>
            </w:r>
          </w:p>
          <w:p>
            <w:pPr>
              <w:pStyle w:val="3"/>
              <w:ind w:firstLine="0" w:firstLineChars="0"/>
              <w:rPr>
                <w:sz w:val="20"/>
                <w:lang w:bidi="ar"/>
              </w:rPr>
            </w:pP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bookmarkStart w:id="2" w:name="_GoBack"/>
      <w:r>
        <w:rPr>
          <w:rFonts w:hint="eastAsia" w:ascii="黑体" w:hAnsi="黑体" w:eastAsia="黑体" w:cs="宋体"/>
          <w:bCs/>
          <w:color w:val="000000"/>
          <w:kern w:val="0"/>
          <w:sz w:val="28"/>
          <w:szCs w:val="28"/>
          <w:lang w:bidi="ar"/>
        </w:rPr>
        <w:t>项目/案例内容</w:t>
      </w:r>
    </w:p>
    <w:bookmarkEnd w:id="2"/>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iCs/>
                <w:color w:val="000000"/>
                <w:kern w:val="0"/>
                <w:sz w:val="24"/>
                <w:szCs w:val="24"/>
                <w:lang w:bidi="ar"/>
              </w:rPr>
            </w:pPr>
            <w:r>
              <w:rPr>
                <w:rFonts w:hint="eastAsia" w:ascii="宋体" w:hAnsi="宋体" w:eastAsia="宋体" w:cs="宋体"/>
                <w:iCs/>
                <w:color w:val="000000"/>
                <w:kern w:val="0"/>
                <w:sz w:val="24"/>
                <w:szCs w:val="24"/>
                <w:lang w:bidi="ar"/>
              </w:rPr>
              <w:t>（项目案例内容、要求、实施步骤等）</w:t>
            </w:r>
          </w:p>
          <w:p>
            <w:pPr>
              <w:pStyle w:val="3"/>
              <w:keepNext w:val="0"/>
              <w:keepLines w:val="0"/>
              <w:pageBreakBefore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保险运行的基本原则共包括“四大基本原则+两大派生原则”，是保险运行的灵魂，也是涉及保险实务中保险纠纷的最多的知识点，直接影响学生对于保险的理解及知识运用，本案例库以保险基本原则的知识点为划分依据，分别查找了行业中相应的案例，对应四大基本原则，从而构成了保险法基本原则经典案例库，这些案例每年会相应的更新，并发布在学习通平台，方便学生阅读。</w:t>
            </w:r>
          </w:p>
          <w:p>
            <w:pPr>
              <w:pStyle w:val="3"/>
              <w:keepNext w:val="0"/>
              <w:keepLines w:val="0"/>
              <w:pageBreakBefore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案例一：最大诚信原则经典案例</w:t>
            </w:r>
          </w:p>
          <w:p>
            <w:pPr>
              <w:pStyle w:val="3"/>
              <w:keepNext w:val="0"/>
              <w:keepLines w:val="0"/>
              <w:pageBreakBefore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1.带病投保15天后死亡，保险公司是否应承担责任纠纷案</w:t>
            </w:r>
          </w:p>
          <w:p>
            <w:pPr>
              <w:pStyle w:val="3"/>
              <w:keepNext w:val="0"/>
              <w:keepLines w:val="0"/>
              <w:pageBreakBefore w:val="0"/>
              <w:kinsoku/>
              <w:wordWrap/>
              <w:overflowPunct/>
              <w:topLinePunct w:val="0"/>
              <w:autoSpaceDE/>
              <w:autoSpaceDN/>
              <w:bidi w:val="0"/>
              <w:adjustRightInd/>
              <w:snapToGrid/>
              <w:spacing w:line="400" w:lineRule="exact"/>
              <w:ind w:left="0" w:leftChars="0" w:firstLine="482" w:firstLineChars="2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案情介绍</w:t>
            </w:r>
            <w:r>
              <w:rPr>
                <w:rFonts w:hint="eastAsia" w:ascii="宋体" w:hAnsi="宋体" w:eastAsia="宋体" w:cs="宋体"/>
                <w:sz w:val="24"/>
                <w:szCs w:val="24"/>
                <w:lang w:val="en-US" w:eastAsia="zh-CN" w:bidi="ar"/>
              </w:rPr>
              <w:t>：2018年1月30日，李某在某银行贷款时，被推荐购买借款人人身意外伤害保险附加借款人疾病身故及全残保险。在银行工作人员的指导下，由李某妻子操作，在李某手机上安装了APP，购买了某保险公司的产品，约定银行为第一受益人。2018年2月14日，李某因肝硬化抢救无效死亡。2月23日其家属向保险公司提交了死亡证明等相关资料。保险公司调查后发现，自2015年开始李某因脂肪肝、糖尿病等病因定期在某医院就诊，从2015年至2018年，因上述病症已经发现累计住院5次。3月29日保险公司以李某带病投保故意未履行如实告知义务为由拒绝赔偿。几经协商无果后，李某家属一纸诉状将保险公司告上法庭，要求按照保险合同将保险金支付给第一受益人银行。</w:t>
            </w:r>
          </w:p>
          <w:p>
            <w:pPr>
              <w:pStyle w:val="3"/>
              <w:keepNext w:val="0"/>
              <w:keepLines w:val="0"/>
              <w:pageBreakBefore w:val="0"/>
              <w:kinsoku/>
              <w:wordWrap/>
              <w:overflowPunct/>
              <w:topLinePunct w:val="0"/>
              <w:autoSpaceDE/>
              <w:autoSpaceDN/>
              <w:bidi w:val="0"/>
              <w:adjustRightInd/>
              <w:snapToGrid/>
              <w:spacing w:line="400" w:lineRule="exact"/>
              <w:ind w:left="0" w:leftChars="0" w:firstLine="482" w:firstLineChars="2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案例分析</w:t>
            </w:r>
            <w:r>
              <w:rPr>
                <w:rFonts w:hint="eastAsia" w:ascii="宋体" w:hAnsi="宋体" w:eastAsia="宋体" w:cs="宋体"/>
                <w:sz w:val="24"/>
                <w:szCs w:val="24"/>
                <w:lang w:val="en-US" w:eastAsia="zh-CN" w:bidi="ar"/>
              </w:rPr>
              <w:t>：本案例是投保人与实际操作人不一致情况下，加上又是网络保险，如何进行如实告知说明，保险公司又该如何进行保险条款说明，这是在互联网时代出现的新的形式，对于最大诚信原则的履行提出了新的思考，值得在理论层面理清，这是典型案例。</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 w:val="24"/>
                <w:szCs w:val="24"/>
                <w:lang w:val="en-US" w:eastAsia="zh-CN" w:bidi="ar"/>
              </w:rPr>
            </w:pPr>
            <w:r>
              <w:rPr>
                <w:rFonts w:hint="eastAsia" w:ascii="宋体" w:hAnsi="宋体" w:eastAsia="宋体" w:cs="宋体"/>
                <w:b w:val="0"/>
                <w:bCs w:val="0"/>
                <w:sz w:val="24"/>
                <w:szCs w:val="24"/>
                <w:lang w:val="en-US" w:eastAsia="zh-CN" w:bidi="ar"/>
              </w:rPr>
              <w:t>2.庄某与人保公司保险合同纠纷案</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 w:val="24"/>
                <w:szCs w:val="24"/>
                <w:lang w:val="en-US" w:eastAsia="zh-CN" w:bidi="ar"/>
              </w:rPr>
            </w:pPr>
            <w:r>
              <w:rPr>
                <w:rFonts w:hint="eastAsia" w:ascii="宋体" w:hAnsi="宋体" w:eastAsia="宋体" w:cs="宋体"/>
                <w:b/>
                <w:bCs/>
                <w:sz w:val="24"/>
                <w:szCs w:val="24"/>
                <w:lang w:val="en-US" w:eastAsia="zh-CN" w:bidi="ar"/>
              </w:rPr>
              <w:t>案情介绍</w:t>
            </w:r>
            <w:r>
              <w:rPr>
                <w:rFonts w:hint="eastAsia" w:ascii="宋体" w:hAnsi="宋体" w:eastAsia="宋体" w:cs="宋体"/>
                <w:b w:val="0"/>
                <w:bCs w:val="0"/>
                <w:sz w:val="24"/>
                <w:szCs w:val="24"/>
                <w:lang w:val="en-US" w:eastAsia="zh-CN" w:bidi="ar"/>
              </w:rPr>
              <w:t>：2009年4月，庄某持C1驾照，在农机部门的统一安排下，为其所有的变形拖拉机在人保公司投保了第三者责任险，责任限额为10万元。投保时，庄国瑞未填写机动车驾驶证号码，人保常州公司审核后也未提出异议。2009年6月17日，陶某驾驶小轿车与庄某驾驶的变形拖拉机相撞，造成人员受伤、车辆受损。经交警部门认定，陶负主要责任，庄持C1驾照驾驶变形拖拉机属驾驶与驾驶证载明的准驾车型不相符的拖拉机上路行驶，负次要责任。事故发生后，陶以庄为被告诉至法院，法院判决庄赔偿陶11.0593万元。庄在实际支付2.7万元后，起诉至法院，要求人保公司支付理赔款10万元。 某区人民法院经审理认为，根据保险合同约定，驾驶人驾驶的被保险机动车与驾驶证载明的准驾车型不符的，不论何种原因造成被保险机动车损失或者第三者的损害赔偿责任，保险人均不负责赔偿。该条款符合道路交通安全法相关强制性规定，应当遵守。本案中，庄发生交通事故的情形已符合上述保险免责条款，保险公司可以据此免责。法院判决：驳回庄的诉讼请求。庄不服一审判决，向市中级人民法院提起上诉。</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sz w:val="24"/>
                <w:szCs w:val="24"/>
                <w:lang w:val="en-US" w:eastAsia="zh-CN" w:bidi="ar"/>
              </w:rPr>
            </w:pPr>
            <w:r>
              <w:rPr>
                <w:rFonts w:hint="eastAsia" w:ascii="宋体" w:hAnsi="宋体" w:eastAsia="宋体" w:cs="宋体"/>
                <w:b/>
                <w:bCs/>
                <w:sz w:val="24"/>
                <w:szCs w:val="24"/>
                <w:lang w:val="en-US" w:eastAsia="zh-CN" w:bidi="ar"/>
              </w:rPr>
              <w:t>案例分析</w:t>
            </w:r>
            <w:r>
              <w:rPr>
                <w:rFonts w:hint="eastAsia" w:ascii="宋体" w:hAnsi="宋体" w:eastAsia="宋体" w:cs="宋体"/>
                <w:b w:val="0"/>
                <w:bCs w:val="0"/>
                <w:sz w:val="24"/>
                <w:szCs w:val="24"/>
                <w:lang w:val="en-US" w:eastAsia="zh-CN" w:bidi="ar"/>
              </w:rPr>
              <w:t>：保险人在保险合同的订立和履行过程中，有时会以语言或行为确认合同的有效性；但在保险事故发生后，又以投保人没有如实告知，主张合同无效，并且不退还保费。保险人在此问题上的投机性，从短期来看，可以减少赔付；但从长远来看，会使整个保险业遭遇诚信危机。本次中级人民法院在判决中适用了弃权与禁止反言来对抗保险公司，判定保险公司应赔偿，在国内属于首例。因此该案例引导法官在判决时必须适时运用弃权和禁止反言规则阻断保险人不当行使抗辩权，对于学生深刻理解弃权与禁止反言制度有重要的影响。</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要求</w:t>
            </w:r>
            <w:r>
              <w:rPr>
                <w:rFonts w:hint="eastAsia" w:ascii="宋体" w:hAnsi="宋体" w:eastAsia="宋体" w:cs="宋体"/>
                <w:sz w:val="24"/>
                <w:szCs w:val="24"/>
                <w:lang w:val="en-US" w:eastAsia="zh-CN" w:bidi="ar"/>
              </w:rPr>
              <w:t>：根据案例中的内容，投保人是否违反了最大诚信原则？并根据理论知识分析该案应如何判决。通过该案例学生要了解最大诚信原则的内容、违反最大诚信原则的法律后果，并能利用理论知识分析该案中保险公司应如何判决。</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bidi="ar"/>
              </w:rPr>
            </w:pPr>
            <w:r>
              <w:rPr>
                <w:rFonts w:hint="eastAsia" w:ascii="宋体" w:hAnsi="宋体" w:eastAsia="宋体" w:cs="宋体"/>
                <w:b/>
                <w:bCs/>
                <w:iCs/>
                <w:color w:val="000000"/>
                <w:kern w:val="0"/>
                <w:sz w:val="24"/>
                <w:szCs w:val="24"/>
                <w:lang w:bidi="ar"/>
              </w:rPr>
              <w:t>实施步骤</w:t>
            </w:r>
            <w:r>
              <w:rPr>
                <w:rFonts w:hint="eastAsia" w:ascii="宋体" w:hAnsi="宋体" w:eastAsia="宋体" w:cs="宋体"/>
                <w:iCs/>
                <w:color w:val="000000"/>
                <w:kern w:val="0"/>
                <w:sz w:val="24"/>
                <w:szCs w:val="24"/>
                <w:lang w:eastAsia="zh-CN" w:bidi="ar"/>
              </w:rPr>
              <w:t>：</w:t>
            </w:r>
            <w:r>
              <w:rPr>
                <w:rFonts w:hint="eastAsia" w:ascii="宋体" w:hAnsi="宋体" w:eastAsia="宋体" w:cs="宋体"/>
                <w:iCs/>
                <w:color w:val="000000"/>
                <w:kern w:val="0"/>
                <w:sz w:val="24"/>
                <w:szCs w:val="24"/>
                <w:lang w:val="en-US" w:eastAsia="zh-CN" w:bidi="ar"/>
              </w:rPr>
              <w:t>将案例提前发布在学习通平台，让学生课下查找相关资料，给学生一周的时间，然后分组讨论案例，由教师点评，学生课后完成案例分析报告，进行知识内化。</w:t>
            </w:r>
          </w:p>
          <w:p>
            <w:pPr>
              <w:pStyle w:val="3"/>
              <w:keepNext w:val="0"/>
              <w:keepLines w:val="0"/>
              <w:pageBreakBefore w:val="0"/>
              <w:kinsoku/>
              <w:wordWrap/>
              <w:overflowPunct/>
              <w:topLinePunct w:val="0"/>
              <w:autoSpaceDE/>
              <w:autoSpaceDN/>
              <w:bidi w:val="0"/>
              <w:adjustRightInd/>
              <w:snapToGrid/>
              <w:spacing w:line="400" w:lineRule="exact"/>
              <w:ind w:left="0" w:leftChars="0" w:firstLine="480" w:firstLineChars="2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案例二：保险利益原则经典案例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案情介绍</w:t>
            </w:r>
            <w:r>
              <w:rPr>
                <w:rFonts w:hint="eastAsia" w:ascii="宋体" w:hAnsi="宋体" w:eastAsia="宋体" w:cs="宋体"/>
                <w:sz w:val="24"/>
                <w:szCs w:val="24"/>
                <w:lang w:val="en-US" w:eastAsia="zh-CN" w:bidi="ar"/>
              </w:rPr>
              <w:t>：1982年有个名叫马丁·鲁滨逊的出版商向英国劳合社的承保人申请投保以当时的苏共总书记安德罗波夫为被保险人的生命和任期保险。鲁宾逊诉说的投保理由是因为他正在计划出版一本由他女儿撰写的书，书名叫《安德罗波夫在台上》。劳合社的承保人接受了这一投保申请，双方订立了人身保险合同。这份特约的保险合同规定的保险期限自投保之日起至1984年6月止，保险事件为被保险人安德罗波夫在保险期限内死亡、辞职或被驱赶下台。双方在保险合同中约定：如果保险事件在保险期限内发生，承保人将按照合同给付鲁滨逊22000英镑，而这位出版商作为投保人则向承保人缴付4700英镑的保险费。后来，在保险期限内，被保险人安德罗波夫果真病逝，由于约定的保险事件发生，劳合社的承保人履行了给付责任。</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b w:val="0"/>
                <w:bCs w:val="0"/>
                <w:iCs/>
                <w:color w:val="000000"/>
                <w:kern w:val="0"/>
                <w:sz w:val="24"/>
                <w:szCs w:val="24"/>
                <w:lang w:val="en-US" w:eastAsia="zh-CN" w:bidi="ar"/>
              </w:rPr>
            </w:pPr>
            <w:r>
              <w:rPr>
                <w:rFonts w:hint="eastAsia" w:ascii="宋体" w:hAnsi="宋体" w:eastAsia="宋体" w:cs="宋体"/>
                <w:b/>
                <w:bCs/>
                <w:iCs/>
                <w:color w:val="000000"/>
                <w:kern w:val="0"/>
                <w:sz w:val="24"/>
                <w:szCs w:val="24"/>
                <w:lang w:val="en-US" w:eastAsia="zh-CN" w:bidi="ar"/>
              </w:rPr>
              <w:t>案例分析</w:t>
            </w:r>
            <w:r>
              <w:rPr>
                <w:rFonts w:hint="eastAsia" w:ascii="宋体" w:hAnsi="宋体" w:eastAsia="宋体" w:cs="宋体"/>
                <w:b w:val="0"/>
                <w:bCs w:val="0"/>
                <w:iCs/>
                <w:color w:val="000000"/>
                <w:kern w:val="0"/>
                <w:sz w:val="24"/>
                <w:szCs w:val="24"/>
                <w:lang w:val="en-US" w:eastAsia="zh-CN" w:bidi="ar"/>
              </w:rPr>
              <w:t>：在确定人身保险合同的投保人是否对被保险人具有保险利益所采用的原则上，世界各国的立法规定是有所差异的，该案例是对应英国、美国等国采用的“利益原则”。“利益原则”又称“利害关系原则”，是根据投保人与被保险人之间存在不存在利害关系来确定是否具有保险利益。这种原则认为只要投保人对被保险人的存在具有精神和物质幸福，被保险人的死亡或伤残会造成投保人痛苦和经济损失，有这种利害关系存在就具有保险利益。与我国《保险法》中的规定不一样，该典型案例能够让学生深刻了解保险利益原则的内容，还通过自己查找资料分析比较不同国家的保险利益原则，增强了学生的自主探索精神。</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b/>
                <w:bCs/>
                <w:iCs/>
                <w:color w:val="000000"/>
                <w:kern w:val="0"/>
                <w:sz w:val="24"/>
                <w:szCs w:val="24"/>
                <w:lang w:val="en-US" w:eastAsia="zh-CN" w:bidi="ar"/>
              </w:rPr>
            </w:pPr>
            <w:r>
              <w:rPr>
                <w:rFonts w:hint="eastAsia" w:ascii="宋体" w:hAnsi="宋体" w:eastAsia="宋体" w:cs="宋体"/>
                <w:b/>
                <w:bCs/>
                <w:iCs/>
                <w:color w:val="000000"/>
                <w:kern w:val="0"/>
                <w:sz w:val="24"/>
                <w:szCs w:val="24"/>
                <w:lang w:val="en-US" w:eastAsia="zh-CN" w:bidi="ar"/>
              </w:rPr>
              <w:t>要求：</w:t>
            </w:r>
            <w:r>
              <w:rPr>
                <w:rFonts w:hint="eastAsia" w:ascii="宋体" w:hAnsi="宋体" w:eastAsia="宋体" w:cs="宋体"/>
                <w:b w:val="0"/>
                <w:bCs w:val="0"/>
                <w:iCs/>
                <w:color w:val="000000"/>
                <w:kern w:val="0"/>
                <w:sz w:val="24"/>
                <w:szCs w:val="24"/>
                <w:lang w:val="en-US" w:eastAsia="zh-CN" w:bidi="ar"/>
              </w:rPr>
              <w:t>通过这两则案例，让学生理解保险利益原则的概念、掌握保险利益原则的内容，并能够通过自己查找资料，掌握世界各国保险利益原则的适用范围，正确的处理案例纠纷。</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bidi="ar"/>
              </w:rPr>
            </w:pPr>
            <w:r>
              <w:rPr>
                <w:rFonts w:hint="eastAsia" w:ascii="宋体" w:hAnsi="宋体" w:eastAsia="宋体" w:cs="宋体"/>
                <w:b/>
                <w:bCs/>
                <w:iCs/>
                <w:color w:val="000000"/>
                <w:kern w:val="0"/>
                <w:sz w:val="24"/>
                <w:szCs w:val="24"/>
                <w:lang w:bidi="ar"/>
              </w:rPr>
              <w:t>实施步骤</w:t>
            </w:r>
            <w:r>
              <w:rPr>
                <w:rFonts w:hint="eastAsia" w:ascii="宋体" w:hAnsi="宋体" w:eastAsia="宋体" w:cs="宋体"/>
                <w:iCs/>
                <w:color w:val="000000"/>
                <w:kern w:val="0"/>
                <w:sz w:val="24"/>
                <w:szCs w:val="24"/>
                <w:lang w:eastAsia="zh-CN" w:bidi="ar"/>
              </w:rPr>
              <w:t>：</w:t>
            </w:r>
            <w:r>
              <w:rPr>
                <w:rFonts w:hint="eastAsia" w:ascii="宋体" w:hAnsi="宋体" w:eastAsia="宋体" w:cs="宋体"/>
                <w:iCs/>
                <w:color w:val="000000"/>
                <w:kern w:val="0"/>
                <w:sz w:val="24"/>
                <w:szCs w:val="24"/>
                <w:lang w:val="en-US" w:eastAsia="zh-CN" w:bidi="ar"/>
              </w:rPr>
              <w:t>将案例提前发布在学习通平台，让学生课下查找相关资料，给学生一周的时间，然后在课堂上分组讨论案例，由教师点评，课后让学生完成案例分析报告，进行知识内化，学有余力的学生可以继续分析学习通中其他案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bidi="ar"/>
              </w:rPr>
            </w:pPr>
            <w:r>
              <w:rPr>
                <w:rFonts w:hint="eastAsia" w:ascii="宋体" w:hAnsi="宋体" w:eastAsia="宋体" w:cs="宋体"/>
                <w:sz w:val="24"/>
                <w:szCs w:val="24"/>
                <w:lang w:val="en-US" w:eastAsia="zh-CN" w:bidi="ar"/>
              </w:rPr>
              <w:t>案例三：近因原则经典案例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案情介绍</w:t>
            </w:r>
            <w:r>
              <w:rPr>
                <w:rFonts w:hint="eastAsia" w:ascii="宋体" w:hAnsi="宋体" w:eastAsia="宋体" w:cs="宋体"/>
                <w:sz w:val="24"/>
                <w:szCs w:val="24"/>
                <w:lang w:val="en-US" w:eastAsia="zh-CN" w:bidi="ar"/>
              </w:rPr>
              <w:t>：</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1909年艾思宁诉兰克郡约克意外保险公司案：被保险人独自去森林中打猎。为了猎杀一头熊，他爬上了一颗树，结果不小心从树上摔了下来，摔断了腿。他拖着断腿，爬到树林边的路旁等待救援。由于天色已晚，无人经过，一直等到了第二天清晨才被路过的人发现。由于当时天气已经非常寒冷了，被保险人因此感染了肺炎，数月后不治身亡。保险人认为近因是肺炎，即因疾病导致了死亡，因为被保险人只投保了意外伤害险，疾病死亡是除外的，故拒绝赔偿。</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英国著名的判例《汉密尔顿诉潘多夫案》：一艘装运着一批货物的船舶在海上航行，途中由于船上的老鼠把船舶的一条管道咬破了，导致海水从管道的破洞渗了进来，浸湿了管道下货仓内的货物，造成了损失。货主向保险人索赔，保险人拒赔，理由是：货损的近因是鼠害，而不是海水进舱。船上老鼠给货物造成的损害属于承运人管货不当的责任，货主应该向承运人索赔，而不是货物运输保险单的保险人。英国初审法院支持了保险人观点，并作出了相应的判决。然而，英国上议院最终却否定了初审法院的判决，认为海水进舱才是造成货损的近因，而这是属于保险人承保的风险，因此保险人应该赔偿。上议院的分析是这样的，老鼠只有在航行于海上的船舶上咬坏管道，才会出现海水进入货舱湿损货物的后果。如果是在岸上的码头仓库里，老鼠咬破管道只有空气从管道漏洞中进入仓库的可能，货物不会因为此而遭受损失。据此，上议院判定海水进舱损坏货物是海上固有的一种风险，是近因。该案在判决后成了判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案例分析</w:t>
            </w:r>
            <w:r>
              <w:rPr>
                <w:rFonts w:hint="eastAsia" w:ascii="宋体" w:hAnsi="宋体" w:eastAsia="宋体" w:cs="宋体"/>
                <w:sz w:val="24"/>
                <w:szCs w:val="24"/>
                <w:lang w:val="en-US" w:eastAsia="zh-CN" w:bidi="ar"/>
              </w:rPr>
              <w:t>：近因的判定是非常难的一个知识点，通过这两起案例也表明，在实务中，当面对复杂的赔案时，正确地把握并判定致损的近因是一件相当不容易的工作。除了掌握近因和近因原则的理论外，根据实际案情，仔细观察，实事求是，认真辨别，并多了解、遵循、援引一些重要的判例，是不二法门，可以引导学生形成善于思考的习惯。</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要求</w:t>
            </w:r>
            <w:r>
              <w:rPr>
                <w:rFonts w:hint="eastAsia" w:ascii="宋体" w:hAnsi="宋体" w:eastAsia="宋体" w:cs="宋体"/>
                <w:sz w:val="24"/>
                <w:szCs w:val="24"/>
                <w:lang w:val="en-US" w:eastAsia="zh-CN" w:bidi="ar"/>
              </w:rPr>
              <w:t>：通过案例让学生掌握近因的概念、近因原则的概念及内容，学会根据不同的情况来判定近因，并根据近因原则来分析保险公司是否应该赔偿。</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bidi="ar"/>
              </w:rPr>
            </w:pPr>
            <w:r>
              <w:rPr>
                <w:rFonts w:hint="eastAsia" w:ascii="宋体" w:hAnsi="宋体" w:eastAsia="宋体" w:cs="宋体"/>
                <w:b/>
                <w:bCs/>
                <w:iCs/>
                <w:color w:val="000000"/>
                <w:kern w:val="0"/>
                <w:sz w:val="24"/>
                <w:szCs w:val="24"/>
                <w:lang w:bidi="ar"/>
              </w:rPr>
              <w:t>实施步骤</w:t>
            </w:r>
            <w:r>
              <w:rPr>
                <w:rFonts w:hint="eastAsia" w:ascii="宋体" w:hAnsi="宋体" w:eastAsia="宋体" w:cs="宋体"/>
                <w:iCs/>
                <w:color w:val="000000"/>
                <w:kern w:val="0"/>
                <w:sz w:val="24"/>
                <w:szCs w:val="24"/>
                <w:lang w:eastAsia="zh-CN" w:bidi="ar"/>
              </w:rPr>
              <w:t>：</w:t>
            </w:r>
            <w:r>
              <w:rPr>
                <w:rFonts w:hint="eastAsia" w:ascii="宋体" w:hAnsi="宋体" w:eastAsia="宋体" w:cs="宋体"/>
                <w:iCs/>
                <w:color w:val="000000"/>
                <w:kern w:val="0"/>
                <w:sz w:val="24"/>
                <w:szCs w:val="24"/>
                <w:lang w:val="en-US" w:eastAsia="zh-CN" w:bidi="ar"/>
              </w:rPr>
              <w:t>将案例提前发布在学习通平台，让学生课下查找相关资料，给学生一周的时间，然后在课堂上分组讨论案例，由教师点评，课后让学生完成案例分析报告，进行知识内化，学有余力的学生可以继续分析学习通中其他案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bidi="ar"/>
              </w:rPr>
            </w:pPr>
            <w:r>
              <w:rPr>
                <w:rFonts w:hint="eastAsia" w:ascii="宋体" w:hAnsi="宋体" w:eastAsia="宋体" w:cs="宋体"/>
                <w:sz w:val="24"/>
                <w:szCs w:val="24"/>
                <w:lang w:val="en-US" w:eastAsia="zh-CN" w:bidi="ar"/>
              </w:rPr>
              <w:t>案例四：损失补偿原则经典案例</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b/>
                <w:bCs/>
                <w:sz w:val="24"/>
                <w:szCs w:val="24"/>
                <w:lang w:val="en-US" w:eastAsia="zh-CN" w:bidi="ar"/>
              </w:rPr>
              <w:t>案情介绍</w:t>
            </w:r>
            <w:r>
              <w:rPr>
                <w:rFonts w:hint="eastAsia" w:ascii="宋体" w:hAnsi="宋体" w:eastAsia="宋体" w:cs="宋体"/>
                <w:sz w:val="24"/>
                <w:szCs w:val="24"/>
                <w:lang w:val="en-US" w:eastAsia="zh-CN" w:bidi="ar"/>
              </w:rPr>
              <w:t>（财产保险案例）：</w:t>
            </w:r>
            <w:r>
              <w:rPr>
                <w:rFonts w:hint="eastAsia" w:ascii="宋体" w:hAnsi="宋体" w:eastAsia="宋体" w:cs="宋体"/>
                <w:sz w:val="24"/>
                <w:szCs w:val="24"/>
                <w:lang w:bidi="ar"/>
              </w:rPr>
              <w:t>2015年2月，太仓市××纺织公司向××财险苏州中心支公司投保了房屋、机器设备、存货等财产保险，合计保额1015万元，其中房屋315万元，并约定</w:t>
            </w:r>
            <w:r>
              <w:rPr>
                <w:rFonts w:hint="eastAsia" w:ascii="宋体" w:hAnsi="宋体" w:eastAsia="宋体" w:cs="宋体"/>
                <w:b/>
                <w:bCs/>
                <w:sz w:val="24"/>
                <w:szCs w:val="24"/>
                <w:lang w:bidi="ar"/>
              </w:rPr>
              <w:t>保险价值</w:t>
            </w:r>
            <w:r>
              <w:rPr>
                <w:rFonts w:hint="eastAsia" w:ascii="宋体" w:hAnsi="宋体" w:eastAsia="宋体" w:cs="宋体"/>
                <w:sz w:val="24"/>
                <w:szCs w:val="24"/>
                <w:lang w:bidi="ar"/>
              </w:rPr>
              <w:t>以出险时的市场价值确定。同年5月1日，该纺织公司发生火灾，厂房内部设备、原料、成品、半成品全部烧毁。纺织公司向人民法院提起诉讼，请求判令××财险赔偿865万元。一审中，原告对双方原委托的M公估公司所作的公估报告不认可，申请重新评估；J保险公估公司重新评估并出具了公估报告。两份报告的区别在于：M公估报告含理算结果，即计算了房屋的折旧；J公估报告只有估损金额，未进行理算，且其说明折旧34.77%不属于估损范围而应属于核赔范围。一审法院基于J公估报告判决保险公司赔偿4597088.87元，房屋残值归于××财险。</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 xml:space="preserve">××财险不服，向苏州中院提起上诉，请求减少赔款金额1155016.20元（其中厂房772163.48元，机器设备162852.72元，公估费22万元）。二审维持原判，对公估费用改判由××纺织公司承担7.7万元。二审判决后××财险仍不服，提请再审，称涉案标的厂房出险时的市场价格应当在重置价基础上扣除折旧34.77%，法院将重置价值作为厂房市场价值系判决错误；J公估与M公估定损方法一致，认定厂房重置价格为3209054.4元，即按照建安成本每平方米1268元，建造面积2530.8平方米计算，但未进行折旧，导致被保险人额外获利。江苏省高院未采纳上述意见，于2020年6月18日驳回××财险的再审申请。此案本是一起简单的财产保险合同纠纷，却因为种种原因被复杂化，历时7年从一审到二审、再审，再到申请抗诉，各方诉累不说，案件也未得到正确处理。  </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bidi="ar"/>
              </w:rPr>
            </w:pPr>
            <w:r>
              <w:rPr>
                <w:rFonts w:hint="eastAsia" w:ascii="宋体" w:hAnsi="宋体" w:eastAsia="宋体" w:cs="宋体"/>
                <w:b/>
                <w:bCs/>
                <w:sz w:val="24"/>
                <w:szCs w:val="24"/>
                <w:lang w:val="en-US" w:eastAsia="zh-CN" w:bidi="ar"/>
              </w:rPr>
              <w:t>案情介绍（人身保险合同）</w:t>
            </w:r>
            <w:r>
              <w:rPr>
                <w:rFonts w:hint="eastAsia" w:ascii="宋体" w:hAnsi="宋体" w:eastAsia="宋体" w:cs="宋体"/>
                <w:sz w:val="24"/>
                <w:szCs w:val="24"/>
                <w:lang w:val="en-US" w:eastAsia="zh-CN" w:bidi="ar"/>
              </w:rPr>
              <w:t>：</w:t>
            </w:r>
            <w:r>
              <w:rPr>
                <w:rFonts w:hint="eastAsia" w:ascii="宋体" w:hAnsi="宋体" w:eastAsia="宋体" w:cs="宋体"/>
                <w:sz w:val="24"/>
                <w:szCs w:val="24"/>
                <w:lang w:bidi="ar"/>
              </w:rPr>
              <w:t>20</w:t>
            </w:r>
            <w:r>
              <w:rPr>
                <w:rFonts w:hint="eastAsia" w:ascii="宋体" w:hAnsi="宋体" w:eastAsia="宋体" w:cs="宋体"/>
                <w:sz w:val="24"/>
                <w:szCs w:val="24"/>
                <w:lang w:val="en-US" w:eastAsia="zh-CN" w:bidi="ar"/>
              </w:rPr>
              <w:t>21</w:t>
            </w:r>
            <w:r>
              <w:rPr>
                <w:rFonts w:hint="eastAsia" w:ascii="宋体" w:hAnsi="宋体" w:eastAsia="宋体" w:cs="宋体"/>
                <w:sz w:val="24"/>
                <w:szCs w:val="24"/>
                <w:lang w:bidi="ar"/>
              </w:rPr>
              <w:t>年11月23日，投保人赵某以自己为被保险人向中国人寿保险公司投保了一份人身意外伤害保险，意外伤害保险金额为5万元，意外医疗保险金额为1万元，保险期间为1年。20</w:t>
            </w:r>
            <w:r>
              <w:rPr>
                <w:rFonts w:hint="eastAsia" w:ascii="宋体" w:hAnsi="宋体" w:eastAsia="宋体" w:cs="宋体"/>
                <w:sz w:val="24"/>
                <w:szCs w:val="24"/>
                <w:lang w:val="en-US" w:eastAsia="zh-CN" w:bidi="ar"/>
              </w:rPr>
              <w:t>21</w:t>
            </w:r>
            <w:r>
              <w:rPr>
                <w:rFonts w:hint="eastAsia" w:ascii="宋体" w:hAnsi="宋体" w:eastAsia="宋体" w:cs="宋体"/>
                <w:sz w:val="24"/>
                <w:szCs w:val="24"/>
                <w:lang w:bidi="ar"/>
              </w:rPr>
              <w:t>年12月14日，被保险人赵某在某市乘车途中发生车祸，住院治疗后，共花去治疗费 28284.84元，后经鉴定构成三级伤残。交通事故发生后，赵某申请理赔，保险公司只赔付了意外伤害伤残保险金，而住院医疗保险金额拒绝赔付。赵某遂向法院提起诉讼，要求保险公司支付医疗费用1万元。经查，被保险人赵某与交通事故肇事者李某之间的机动车交通事故责任纠纷于20</w:t>
            </w:r>
            <w:r>
              <w:rPr>
                <w:rFonts w:hint="eastAsia" w:ascii="宋体" w:hAnsi="宋体" w:eastAsia="宋体" w:cs="宋体"/>
                <w:sz w:val="24"/>
                <w:szCs w:val="24"/>
                <w:lang w:val="en-US" w:eastAsia="zh-CN" w:bidi="ar"/>
              </w:rPr>
              <w:t>22</w:t>
            </w:r>
            <w:r>
              <w:rPr>
                <w:rFonts w:hint="eastAsia" w:ascii="宋体" w:hAnsi="宋体" w:eastAsia="宋体" w:cs="宋体"/>
                <w:sz w:val="24"/>
                <w:szCs w:val="24"/>
                <w:lang w:bidi="ar"/>
              </w:rPr>
              <w:t>年5月23日经法院组织调解结案，其支出的医疗费、误工费等各项损失均已获得赔偿。</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b w:val="0"/>
                <w:bCs w:val="0"/>
                <w:sz w:val="24"/>
                <w:szCs w:val="24"/>
                <w:lang w:val="en-US" w:eastAsia="zh-CN" w:bidi="ar"/>
              </w:rPr>
            </w:pPr>
            <w:r>
              <w:rPr>
                <w:rFonts w:hint="eastAsia" w:ascii="宋体" w:hAnsi="宋体" w:eastAsia="宋体" w:cs="宋体"/>
                <w:b/>
                <w:bCs/>
                <w:sz w:val="24"/>
                <w:szCs w:val="24"/>
                <w:lang w:val="en-US" w:eastAsia="zh-CN" w:bidi="ar"/>
              </w:rPr>
              <w:t>案例分析：</w:t>
            </w:r>
            <w:r>
              <w:rPr>
                <w:rFonts w:hint="eastAsia" w:ascii="宋体" w:hAnsi="宋体" w:eastAsia="宋体" w:cs="宋体"/>
                <w:b w:val="0"/>
                <w:bCs w:val="0"/>
                <w:sz w:val="24"/>
                <w:szCs w:val="24"/>
                <w:lang w:val="en-US" w:eastAsia="zh-CN" w:bidi="ar"/>
              </w:rPr>
              <w:t>财产保险中的定值保险、不定值保险和不同的赔偿方式是学生非常难以理解的知识点，但是核心内容是损失补偿原则，这则案例则非常清晰的解答了损失补偿原则的适用。而在人身保险合同中正常情况下是不适用损失补偿原则的，但是医疗费用却是一个例外，本案例就是典型的代表。</w:t>
            </w:r>
          </w:p>
          <w:p>
            <w:pPr>
              <w:pStyle w:val="3"/>
              <w:keepNext w:val="0"/>
              <w:keepLines w:val="0"/>
              <w:pageBreakBefore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val="en-US" w:eastAsia="zh-CN" w:bidi="ar"/>
              </w:rPr>
            </w:pPr>
            <w:r>
              <w:rPr>
                <w:rFonts w:hint="eastAsia" w:ascii="宋体" w:hAnsi="宋体" w:eastAsia="宋体" w:cs="宋体"/>
                <w:b/>
                <w:bCs/>
                <w:sz w:val="24"/>
                <w:szCs w:val="24"/>
                <w:lang w:val="en-US" w:eastAsia="zh-CN" w:bidi="ar"/>
              </w:rPr>
              <w:t>要求</w:t>
            </w:r>
            <w:r>
              <w:rPr>
                <w:rFonts w:hint="eastAsia" w:ascii="宋体" w:hAnsi="宋体" w:eastAsia="宋体" w:cs="宋体"/>
                <w:sz w:val="24"/>
                <w:szCs w:val="24"/>
                <w:lang w:val="en-US" w:eastAsia="zh-CN" w:bidi="ar"/>
              </w:rPr>
              <w:t>：通过案例让学生掌握损失补偿原则的概念及具体内容，通常情况下，损失补偿原则适用财产保险，但是在保险实务中，关于人身保险中的医疗保险是否适用损失补偿原则存在争议，本部分增加了关于医疗保险理赔中存在损失补偿原则规定的案例，让学生全面掌握损失补偿原则的适用范围。</w:t>
            </w:r>
          </w:p>
          <w:p>
            <w:pPr>
              <w:pStyle w:val="3"/>
              <w:keepNext w:val="0"/>
              <w:keepLines w:val="0"/>
              <w:pageBreakBefore w:val="0"/>
              <w:kinsoku/>
              <w:wordWrap/>
              <w:overflowPunct/>
              <w:topLinePunct w:val="0"/>
              <w:autoSpaceDE/>
              <w:autoSpaceDN/>
              <w:bidi w:val="0"/>
              <w:adjustRightInd/>
              <w:snapToGrid/>
              <w:spacing w:line="400" w:lineRule="exact"/>
              <w:textAlignment w:val="auto"/>
              <w:rPr>
                <w:rFonts w:hint="eastAsia" w:ascii="方正仿宋_GB2312" w:hAnsi="方正仿宋_GB2312" w:eastAsia="方正仿宋_GB2312" w:cs="方正仿宋_GB2312"/>
                <w:iCs/>
                <w:color w:val="000000"/>
                <w:kern w:val="0"/>
                <w:sz w:val="28"/>
                <w:szCs w:val="28"/>
                <w:lang w:val="en-US" w:eastAsia="zh-CN" w:bidi="ar"/>
              </w:rPr>
            </w:pPr>
            <w:r>
              <w:rPr>
                <w:rFonts w:hint="eastAsia" w:ascii="宋体" w:hAnsi="宋体" w:eastAsia="宋体" w:cs="宋体"/>
                <w:b/>
                <w:bCs/>
                <w:iCs/>
                <w:color w:val="000000"/>
                <w:kern w:val="0"/>
                <w:sz w:val="24"/>
                <w:szCs w:val="24"/>
                <w:lang w:bidi="ar"/>
              </w:rPr>
              <w:t>实施步骤</w:t>
            </w:r>
            <w:r>
              <w:rPr>
                <w:rFonts w:hint="eastAsia" w:ascii="宋体" w:hAnsi="宋体" w:eastAsia="宋体" w:cs="宋体"/>
                <w:iCs/>
                <w:color w:val="000000"/>
                <w:kern w:val="0"/>
                <w:sz w:val="24"/>
                <w:szCs w:val="24"/>
                <w:lang w:eastAsia="zh-CN" w:bidi="ar"/>
              </w:rPr>
              <w:t>：</w:t>
            </w:r>
            <w:r>
              <w:rPr>
                <w:rFonts w:hint="eastAsia" w:ascii="宋体" w:hAnsi="宋体" w:eastAsia="宋体" w:cs="宋体"/>
                <w:iCs/>
                <w:color w:val="000000"/>
                <w:kern w:val="0"/>
                <w:sz w:val="24"/>
                <w:szCs w:val="24"/>
                <w:lang w:val="en-US" w:eastAsia="zh-CN" w:bidi="ar"/>
              </w:rPr>
              <w:t>将案例提前发布在学习通平台，让学生课下查找相关资料，给学生一周的时间，然后在课堂上分组讨论案例，由教师点评，课后让学生完成案例分析报告，进行知识内化，学有余力的学生可以继续分析学习通中其他案例。</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keepNext w:val="0"/>
              <w:keepLines w:val="0"/>
              <w:pageBreakBefore w:val="0"/>
              <w:widowControl/>
              <w:kinsoku/>
              <w:wordWrap/>
              <w:overflowPunct/>
              <w:topLinePunct w:val="0"/>
              <w:autoSpaceDE/>
              <w:autoSpaceDN/>
              <w:bidi w:val="0"/>
              <w:adjustRightInd/>
              <w:snapToGrid/>
              <w:spacing w:line="400" w:lineRule="exact"/>
              <w:ind w:firstLine="480" w:firstLineChars="200"/>
              <w:jc w:val="both"/>
              <w:textAlignment w:val="auto"/>
              <w:rPr>
                <w:rFonts w:hint="eastAsia" w:ascii="宋体" w:hAnsi="宋体" w:eastAsia="宋体" w:cs="宋体"/>
                <w:iCs/>
                <w:color w:val="000000"/>
                <w:kern w:val="0"/>
                <w:sz w:val="24"/>
                <w:szCs w:val="24"/>
                <w:lang w:bidi="ar"/>
              </w:rPr>
            </w:pPr>
            <w:r>
              <w:rPr>
                <w:rFonts w:hint="eastAsia" w:ascii="宋体" w:hAnsi="宋体" w:eastAsia="宋体" w:cs="宋体"/>
                <w:iCs/>
                <w:color w:val="000000"/>
                <w:kern w:val="0"/>
                <w:sz w:val="24"/>
                <w:szCs w:val="24"/>
                <w:lang w:bidi="ar"/>
              </w:rPr>
              <w:t>课程是学生前</w:t>
            </w:r>
            <w:r>
              <w:rPr>
                <w:rFonts w:hint="eastAsia" w:ascii="宋体" w:hAnsi="宋体" w:eastAsia="宋体" w:cs="宋体"/>
                <w:iCs/>
                <w:color w:val="000000"/>
                <w:kern w:val="0"/>
                <w:sz w:val="24"/>
                <w:szCs w:val="24"/>
                <w:lang w:val="en-US" w:eastAsia="zh-CN" w:bidi="ar"/>
              </w:rPr>
              <w:t>一</w:t>
            </w:r>
            <w:r>
              <w:rPr>
                <w:rFonts w:hint="eastAsia" w:ascii="宋体" w:hAnsi="宋体" w:eastAsia="宋体" w:cs="宋体"/>
                <w:iCs/>
                <w:color w:val="000000"/>
                <w:kern w:val="0"/>
                <w:sz w:val="24"/>
                <w:szCs w:val="24"/>
                <w:lang w:bidi="ar"/>
              </w:rPr>
              <w:t>年所学</w:t>
            </w:r>
            <w:r>
              <w:rPr>
                <w:rFonts w:hint="eastAsia" w:ascii="宋体" w:hAnsi="宋体" w:eastAsia="宋体" w:cs="宋体"/>
                <w:iCs/>
                <w:color w:val="000000"/>
                <w:kern w:val="0"/>
                <w:sz w:val="24"/>
                <w:szCs w:val="24"/>
                <w:lang w:val="en-US" w:eastAsia="zh-CN" w:bidi="ar"/>
              </w:rPr>
              <w:t>保险</w:t>
            </w:r>
            <w:r>
              <w:rPr>
                <w:rFonts w:hint="eastAsia" w:ascii="宋体" w:hAnsi="宋体" w:eastAsia="宋体" w:cs="宋体"/>
                <w:iCs/>
                <w:color w:val="000000"/>
                <w:kern w:val="0"/>
                <w:sz w:val="24"/>
                <w:szCs w:val="24"/>
                <w:lang w:bidi="ar"/>
              </w:rPr>
              <w:t>基本理论和基础知识的</w:t>
            </w:r>
            <w:r>
              <w:rPr>
                <w:rFonts w:hint="eastAsia" w:ascii="宋体" w:hAnsi="宋体" w:eastAsia="宋体" w:cs="宋体"/>
                <w:iCs/>
                <w:color w:val="000000"/>
                <w:kern w:val="0"/>
                <w:sz w:val="24"/>
                <w:szCs w:val="24"/>
                <w:lang w:val="en-US" w:eastAsia="zh-CN" w:bidi="ar"/>
              </w:rPr>
              <w:t>综</w:t>
            </w:r>
            <w:r>
              <w:rPr>
                <w:rFonts w:hint="eastAsia" w:ascii="宋体" w:hAnsi="宋体" w:eastAsia="宋体" w:cs="宋体"/>
                <w:iCs/>
                <w:color w:val="000000"/>
                <w:kern w:val="0"/>
                <w:sz w:val="24"/>
                <w:szCs w:val="24"/>
                <w:lang w:bidi="ar"/>
              </w:rPr>
              <w:t>合应用，几乎没有新的知识点，所以构建了“精讲留白→独学探究→展示讨论→对话提升→撰写报告”的对分课堂教学模式。其中，“精讲留白”阶段，老师只是点出可能用到知识和下节课的重点，并布置课下案例</w:t>
            </w:r>
            <w:r>
              <w:rPr>
                <w:rFonts w:hint="eastAsia" w:ascii="宋体" w:hAnsi="宋体" w:eastAsia="宋体" w:cs="宋体"/>
                <w:iCs/>
                <w:color w:val="000000"/>
                <w:kern w:val="0"/>
                <w:sz w:val="24"/>
                <w:szCs w:val="24"/>
                <w:lang w:val="en-US" w:eastAsia="zh-CN" w:bidi="ar"/>
              </w:rPr>
              <w:t>阅读及资料查找</w:t>
            </w:r>
            <w:r>
              <w:rPr>
                <w:rFonts w:hint="eastAsia" w:ascii="宋体" w:hAnsi="宋体" w:eastAsia="宋体" w:cs="宋体"/>
                <w:iCs/>
                <w:color w:val="000000"/>
                <w:kern w:val="0"/>
                <w:sz w:val="24"/>
                <w:szCs w:val="24"/>
                <w:lang w:bidi="ar"/>
              </w:rPr>
              <w:t>任务；“独学探究”安排在课前完成，由学生根据老师</w:t>
            </w:r>
            <w:r>
              <w:rPr>
                <w:rFonts w:hint="eastAsia" w:ascii="宋体" w:hAnsi="宋体" w:eastAsia="宋体" w:cs="宋体"/>
                <w:iCs/>
                <w:color w:val="000000"/>
                <w:kern w:val="0"/>
                <w:sz w:val="24"/>
                <w:szCs w:val="24"/>
                <w:lang w:val="en-US" w:eastAsia="zh-CN" w:bidi="ar"/>
              </w:rPr>
              <w:t>给定的</w:t>
            </w:r>
            <w:r>
              <w:rPr>
                <w:rFonts w:hint="eastAsia" w:ascii="宋体" w:hAnsi="宋体" w:eastAsia="宋体" w:cs="宋体"/>
                <w:iCs/>
                <w:color w:val="000000"/>
                <w:kern w:val="0"/>
                <w:sz w:val="24"/>
                <w:szCs w:val="24"/>
                <w:lang w:bidi="ar"/>
              </w:rPr>
              <w:t>典型案例，自主完成对案例的解读和分析；“展示讨论”环节为课堂教学的第1个学时，由学生讲解自己</w:t>
            </w:r>
            <w:r>
              <w:rPr>
                <w:rFonts w:hint="eastAsia" w:ascii="宋体" w:hAnsi="宋体" w:eastAsia="宋体" w:cs="宋体"/>
                <w:iCs/>
                <w:color w:val="000000"/>
                <w:kern w:val="0"/>
                <w:sz w:val="24"/>
                <w:szCs w:val="24"/>
                <w:lang w:val="en-US" w:eastAsia="zh-CN" w:bidi="ar"/>
              </w:rPr>
              <w:t>找到</w:t>
            </w:r>
            <w:r>
              <w:rPr>
                <w:rFonts w:hint="eastAsia" w:ascii="宋体" w:hAnsi="宋体" w:eastAsia="宋体" w:cs="宋体"/>
                <w:iCs/>
                <w:color w:val="000000"/>
                <w:kern w:val="0"/>
                <w:sz w:val="24"/>
                <w:szCs w:val="24"/>
                <w:lang w:bidi="ar"/>
              </w:rPr>
              <w:t>的案例，展示“独学”成果，占每次课堂讲授时间的一半；第2个学时由老师总结点评，和学生开展“对话课堂”，针对学生</w:t>
            </w:r>
            <w:r>
              <w:rPr>
                <w:rFonts w:hint="eastAsia" w:ascii="宋体" w:hAnsi="宋体" w:eastAsia="宋体" w:cs="宋体"/>
                <w:iCs/>
                <w:color w:val="000000"/>
                <w:kern w:val="0"/>
                <w:sz w:val="24"/>
                <w:szCs w:val="24"/>
                <w:lang w:val="en-US" w:eastAsia="zh-CN" w:bidi="ar"/>
              </w:rPr>
              <w:t>在讨论</w:t>
            </w:r>
            <w:r>
              <w:rPr>
                <w:rFonts w:hint="eastAsia" w:ascii="宋体" w:hAnsi="宋体" w:eastAsia="宋体" w:cs="宋体"/>
                <w:iCs/>
                <w:color w:val="000000"/>
                <w:kern w:val="0"/>
                <w:sz w:val="24"/>
                <w:szCs w:val="24"/>
                <w:lang w:bidi="ar"/>
              </w:rPr>
              <w:t>案例和学习中产生的问题，进行对话式的讨论，课后同学们还要对自己</w:t>
            </w:r>
            <w:r>
              <w:rPr>
                <w:rFonts w:hint="eastAsia" w:ascii="宋体" w:hAnsi="宋体" w:eastAsia="宋体" w:cs="宋体"/>
                <w:iCs/>
                <w:color w:val="000000"/>
                <w:kern w:val="0"/>
                <w:sz w:val="24"/>
                <w:szCs w:val="24"/>
                <w:lang w:val="en-US" w:eastAsia="zh-CN" w:bidi="ar"/>
              </w:rPr>
              <w:t>学习</w:t>
            </w:r>
            <w:r>
              <w:rPr>
                <w:rFonts w:hint="eastAsia" w:ascii="宋体" w:hAnsi="宋体" w:eastAsia="宋体" w:cs="宋体"/>
                <w:iCs/>
                <w:color w:val="000000"/>
                <w:kern w:val="0"/>
                <w:sz w:val="24"/>
                <w:szCs w:val="24"/>
                <w:lang w:bidi="ar"/>
              </w:rPr>
              <w:t>的案例和PPT进一步完善，撰写案例分析报告，形成完整的案例资料。对分课堂教学模式如图1所示。</w:t>
            </w:r>
          </w:p>
          <w:p>
            <w:pPr>
              <w:pStyle w:val="3"/>
              <w:ind w:firstLine="400"/>
              <w:jc w:val="center"/>
              <w:rPr>
                <w:sz w:val="20"/>
                <w:lang w:bidi="ar"/>
              </w:rPr>
            </w:pPr>
            <w:r>
              <w:drawing>
                <wp:inline distT="0" distB="0" distL="0" distR="0">
                  <wp:extent cx="3843655" cy="21151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3861016" cy="2115185"/>
                          </a:xfrm>
                          <a:prstGeom prst="rect">
                            <a:avLst/>
                          </a:prstGeom>
                          <a:noFill/>
                        </pic:spPr>
                      </pic:pic>
                    </a:graphicData>
                  </a:graphic>
                </wp:inline>
              </w:drawing>
            </w:r>
          </w:p>
          <w:p>
            <w:pPr>
              <w:spacing w:line="360" w:lineRule="auto"/>
              <w:jc w:val="center"/>
              <w:rPr>
                <w:rFonts w:hint="eastAsia" w:ascii="仿宋" w:hAnsi="仿宋" w:eastAsia="仿宋" w:cs="仿宋"/>
                <w:color w:val="000000"/>
                <w:sz w:val="28"/>
                <w:szCs w:val="28"/>
              </w:rPr>
            </w:pPr>
            <w:r>
              <w:rPr>
                <w:rFonts w:hint="eastAsia" w:ascii="仿宋" w:hAnsi="仿宋" w:eastAsia="仿宋" w:cs="仿宋"/>
                <w:color w:val="000000"/>
                <w:sz w:val="28"/>
                <w:szCs w:val="28"/>
              </w:rPr>
              <w:t>图1 “对分课堂”教学模式</w:t>
            </w:r>
          </w:p>
          <w:p>
            <w:pPr>
              <w:adjustRightInd w:val="0"/>
              <w:snapToGrid w:val="0"/>
              <w:spacing w:line="360" w:lineRule="auto"/>
              <w:ind w:firstLine="480" w:firstLineChars="200"/>
              <w:rPr>
                <w:rFonts w:hint="eastAsia" w:ascii="宋体" w:hAnsi="宋体" w:eastAsia="宋体" w:cs="宋体"/>
                <w:bCs/>
                <w:color w:val="000000"/>
                <w:sz w:val="24"/>
                <w:szCs w:val="24"/>
              </w:rPr>
            </w:pPr>
          </w:p>
          <w:p>
            <w:pPr>
              <w:adjustRightInd w:val="0"/>
              <w:snapToGrid w:val="0"/>
              <w:spacing w:line="360" w:lineRule="auto"/>
              <w:ind w:firstLine="480" w:firstLineChars="200"/>
              <w:rPr>
                <w:rFonts w:hint="eastAsia" w:ascii="宋体" w:hAnsi="宋体" w:eastAsia="宋体" w:cs="宋体"/>
                <w:bCs/>
                <w:color w:val="000000"/>
                <w:sz w:val="24"/>
                <w:szCs w:val="24"/>
                <w:lang w:val="en-US" w:eastAsia="zh-CN"/>
              </w:rPr>
            </w:pPr>
            <w:r>
              <w:rPr>
                <w:rFonts w:hint="eastAsia" w:ascii="宋体" w:hAnsi="宋体" w:eastAsia="宋体" w:cs="宋体"/>
                <w:bCs/>
                <w:color w:val="000000"/>
                <w:sz w:val="24"/>
                <w:szCs w:val="24"/>
              </w:rPr>
              <w:t>“对分课堂”把讲授和下一次课的展示、讨论错开，让学生在两者之间有一定时间自主学习，能更好地对知识进行个性化地内化吸收。</w:t>
            </w:r>
            <w:r>
              <w:rPr>
                <w:rFonts w:hint="eastAsia" w:ascii="宋体" w:hAnsi="宋体" w:eastAsia="宋体" w:cs="宋体"/>
                <w:bCs/>
                <w:color w:val="000000"/>
                <w:sz w:val="24"/>
                <w:szCs w:val="24"/>
                <w:lang w:val="en-US" w:eastAsia="zh-CN"/>
              </w:rPr>
              <w:t>下面以最大诚信原则案例为例进行说明。</w:t>
            </w:r>
          </w:p>
          <w:p>
            <w:pPr>
              <w:pStyle w:val="10"/>
              <w:keepNext w:val="0"/>
              <w:keepLines w:val="0"/>
              <w:pageBreakBefore w:val="0"/>
              <w:widowControl w:val="0"/>
              <w:kinsoku/>
              <w:wordWrap/>
              <w:overflowPunct/>
              <w:topLinePunct w:val="0"/>
              <w:autoSpaceDE/>
              <w:autoSpaceDN/>
              <w:bidi w:val="0"/>
              <w:adjustRightInd/>
              <w:snapToGrid/>
              <w:spacing w:line="240" w:lineRule="auto"/>
              <w:ind w:left="0" w:firstLine="241" w:firstLineChars="100"/>
              <w:textAlignment w:val="auto"/>
              <w:rPr>
                <w:rFonts w:hint="eastAsia" w:ascii="宋体" w:hAnsi="宋体" w:eastAsia="宋体" w:cs="宋体"/>
                <w:b/>
                <w:bCs/>
                <w:sz w:val="24"/>
                <w:szCs w:val="24"/>
              </w:rPr>
            </w:pPr>
            <w:r>
              <w:rPr>
                <w:rFonts w:hint="eastAsia" w:ascii="宋体" w:hAnsi="宋体" w:eastAsia="宋体" w:cs="宋体"/>
                <w:b/>
                <w:bCs/>
                <w:sz w:val="24"/>
                <w:szCs w:val="24"/>
              </w:rPr>
              <w:t>（一）课前预习</w:t>
            </w:r>
          </w:p>
          <w:tbl>
            <w:tblPr>
              <w:tblStyle w:val="8"/>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842"/>
              <w:gridCol w:w="1843"/>
              <w:gridCol w:w="1313"/>
              <w:gridCol w:w="1380"/>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988"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内容</w:t>
                  </w:r>
                </w:p>
              </w:tc>
              <w:tc>
                <w:tcPr>
                  <w:tcW w:w="1842"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教学内容</w:t>
                  </w:r>
                </w:p>
              </w:tc>
              <w:tc>
                <w:tcPr>
                  <w:tcW w:w="3156"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准备过程</w:t>
                  </w:r>
                </w:p>
              </w:tc>
              <w:tc>
                <w:tcPr>
                  <w:tcW w:w="1380"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设计意图</w:t>
                  </w:r>
                </w:p>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技术资源</w:t>
                  </w:r>
                </w:p>
              </w:tc>
              <w:tc>
                <w:tcPr>
                  <w:tcW w:w="993" w:type="dxa"/>
                  <w:vMerge w:val="restart"/>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大约时长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988" w:type="dxa"/>
                  <w:vMerge w:val="continue"/>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c>
                <w:tcPr>
                  <w:tcW w:w="1842" w:type="dxa"/>
                  <w:vMerge w:val="continue"/>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教师活动</w:t>
                  </w: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学生</w:t>
                  </w:r>
                </w:p>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活动</w:t>
                  </w:r>
                </w:p>
              </w:tc>
              <w:tc>
                <w:tcPr>
                  <w:tcW w:w="1380" w:type="dxa"/>
                  <w:vMerge w:val="continue"/>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p>
              </w:tc>
              <w:tc>
                <w:tcPr>
                  <w:tcW w:w="993" w:type="dxa"/>
                  <w:vMerge w:val="continue"/>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988"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left"/>
                    <w:textAlignment w:val="auto"/>
                    <w:rPr>
                      <w:rFonts w:hint="eastAsia" w:ascii="宋体" w:hAnsi="宋体" w:eastAsia="宋体" w:cs="宋体"/>
                      <w:sz w:val="24"/>
                      <w:szCs w:val="24"/>
                    </w:rPr>
                  </w:pPr>
                  <w:r>
                    <w:rPr>
                      <w:rFonts w:hint="eastAsia" w:ascii="宋体" w:hAnsi="宋体" w:eastAsia="宋体" w:cs="宋体"/>
                      <w:sz w:val="24"/>
                      <w:szCs w:val="24"/>
                    </w:rPr>
                    <w:t>课前测试：基础知识和基本理论</w:t>
                  </w:r>
                </w:p>
              </w:tc>
              <w:tc>
                <w:tcPr>
                  <w:tcW w:w="184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最大诚信原则的概念、内容、违反最大诚信原则的法律后果</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宋体" w:hAnsi="宋体" w:eastAsia="宋体" w:cs="宋体"/>
                      <w:sz w:val="24"/>
                      <w:szCs w:val="24"/>
                    </w:rPr>
                  </w:pPr>
                  <w:r>
                    <w:rPr>
                      <w:rFonts w:hint="eastAsia" w:ascii="宋体" w:hAnsi="宋体" w:eastAsia="宋体" w:cs="宋体"/>
                      <w:sz w:val="24"/>
                      <w:szCs w:val="24"/>
                    </w:rPr>
                    <w:t>在学习通平台发布单元课前测试（基础知识和基本理论的测试）</w:t>
                  </w: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t>完成课前单元理论测试</w:t>
                  </w: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t>唤醒旧知，</w:t>
                  </w:r>
                </w:p>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t>为案例</w:t>
                  </w:r>
                  <w:r>
                    <w:rPr>
                      <w:rFonts w:hint="eastAsia" w:ascii="宋体" w:hAnsi="宋体" w:eastAsia="宋体" w:cs="宋体"/>
                      <w:sz w:val="24"/>
                      <w:szCs w:val="24"/>
                      <w:lang w:val="en-US" w:eastAsia="zh-CN"/>
                    </w:rPr>
                    <w:t>分析</w:t>
                  </w:r>
                  <w:r>
                    <w:rPr>
                      <w:rFonts w:hint="eastAsia" w:ascii="宋体" w:hAnsi="宋体" w:eastAsia="宋体" w:cs="宋体"/>
                      <w:sz w:val="24"/>
                      <w:szCs w:val="24"/>
                    </w:rPr>
                    <w:t>打下基础</w:t>
                  </w:r>
                </w:p>
              </w:tc>
              <w:tc>
                <w:tcPr>
                  <w:tcW w:w="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988"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left"/>
                    <w:textAlignment w:val="auto"/>
                    <w:rPr>
                      <w:rFonts w:hint="eastAsia" w:ascii="宋体" w:hAnsi="宋体" w:eastAsia="宋体" w:cs="宋体"/>
                      <w:sz w:val="24"/>
                      <w:szCs w:val="24"/>
                    </w:rPr>
                  </w:pPr>
                  <w:r>
                    <w:rPr>
                      <w:rFonts w:hint="eastAsia" w:ascii="宋体" w:hAnsi="宋体" w:eastAsia="宋体" w:cs="宋体"/>
                      <w:sz w:val="24"/>
                      <w:szCs w:val="24"/>
                    </w:rPr>
                    <w:t>独学探究：根据案例，</w:t>
                  </w:r>
                  <w:r>
                    <w:rPr>
                      <w:rFonts w:hint="eastAsia" w:ascii="宋体" w:hAnsi="宋体" w:eastAsia="宋体" w:cs="宋体"/>
                      <w:sz w:val="24"/>
                      <w:szCs w:val="24"/>
                      <w:lang w:val="en-US" w:eastAsia="zh-CN"/>
                    </w:rPr>
                    <w:t>要求学生</w:t>
                  </w:r>
                  <w:r>
                    <w:rPr>
                      <w:rFonts w:hint="eastAsia" w:ascii="宋体" w:hAnsi="宋体" w:eastAsia="宋体" w:cs="宋体"/>
                      <w:sz w:val="24"/>
                      <w:szCs w:val="24"/>
                    </w:rPr>
                    <w:t>自主搜集信息、分析</w:t>
                  </w:r>
                </w:p>
              </w:tc>
              <w:tc>
                <w:tcPr>
                  <w:tcW w:w="1842"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认真阅读案例“带病投保15天后死亡，保险公司是否应承担责任？”，对案例进行分析</w:t>
                  </w:r>
                </w:p>
              </w:tc>
              <w:tc>
                <w:tcPr>
                  <w:tcW w:w="184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在学习通平台</w:t>
                  </w:r>
                  <w:r>
                    <w:rPr>
                      <w:rFonts w:hint="eastAsia" w:ascii="宋体" w:hAnsi="宋体" w:eastAsia="宋体" w:cs="宋体"/>
                      <w:sz w:val="24"/>
                      <w:szCs w:val="24"/>
                    </w:rPr>
                    <w:t>发布案例任务</w:t>
                  </w:r>
                </w:p>
              </w:tc>
              <w:tc>
                <w:tcPr>
                  <w:tcW w:w="131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rPr>
                    <w:t>通过线上自学、线上讨论，建立初步认知</w:t>
                  </w:r>
                </w:p>
              </w:tc>
              <w:tc>
                <w:tcPr>
                  <w:tcW w:w="1380"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通过</w:t>
                  </w:r>
                  <w:r>
                    <w:rPr>
                      <w:rFonts w:hint="eastAsia" w:ascii="宋体" w:hAnsi="宋体" w:eastAsia="宋体" w:cs="宋体"/>
                      <w:sz w:val="24"/>
                      <w:szCs w:val="24"/>
                    </w:rPr>
                    <w:t>案例引发自觉探究，利用所学</w:t>
                  </w:r>
                  <w:r>
                    <w:rPr>
                      <w:rFonts w:hint="eastAsia" w:ascii="宋体" w:hAnsi="宋体" w:eastAsia="宋体" w:cs="宋体"/>
                      <w:sz w:val="24"/>
                      <w:szCs w:val="24"/>
                      <w:lang w:val="en-US" w:eastAsia="zh-CN"/>
                    </w:rPr>
                    <w:t>知识</w:t>
                  </w:r>
                  <w:r>
                    <w:rPr>
                      <w:rFonts w:hint="eastAsia" w:ascii="宋体" w:hAnsi="宋体" w:eastAsia="宋体" w:cs="宋体"/>
                      <w:sz w:val="24"/>
                      <w:szCs w:val="24"/>
                    </w:rPr>
                    <w:t>解释社会现象</w:t>
                  </w:r>
                </w:p>
              </w:tc>
              <w:tc>
                <w:tcPr>
                  <w:tcW w:w="993"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sz w:val="24"/>
                      <w:szCs w:val="24"/>
                    </w:rPr>
                  </w:pPr>
                  <w:r>
                    <w:rPr>
                      <w:rFonts w:hint="eastAsia" w:ascii="宋体" w:hAnsi="宋体" w:eastAsia="宋体" w:cs="宋体"/>
                      <w:sz w:val="24"/>
                      <w:szCs w:val="24"/>
                    </w:rPr>
                    <w:t>至少</w:t>
                  </w:r>
                  <w:r>
                    <w:rPr>
                      <w:rFonts w:hint="eastAsia" w:ascii="宋体" w:hAnsi="宋体" w:eastAsia="宋体" w:cs="宋体"/>
                      <w:sz w:val="24"/>
                      <w:szCs w:val="24"/>
                      <w:lang w:val="en-US" w:eastAsia="zh-CN"/>
                    </w:rPr>
                    <w:t>1</w:t>
                  </w:r>
                  <w:r>
                    <w:rPr>
                      <w:rFonts w:hint="eastAsia" w:ascii="宋体" w:hAnsi="宋体" w:eastAsia="宋体" w:cs="宋体"/>
                      <w:sz w:val="24"/>
                      <w:szCs w:val="24"/>
                    </w:rPr>
                    <w:t>小时</w:t>
                  </w:r>
                </w:p>
              </w:tc>
            </w:tr>
          </w:tbl>
          <w:p>
            <w:pPr>
              <w:keepNext w:val="0"/>
              <w:keepLines w:val="0"/>
              <w:pageBreakBefore w:val="0"/>
              <w:widowControl w:val="0"/>
              <w:kinsoku/>
              <w:wordWrap/>
              <w:overflowPunct/>
              <w:topLinePunct w:val="0"/>
              <w:autoSpaceDE/>
              <w:autoSpaceDN/>
              <w:bidi w:val="0"/>
              <w:adjustRightInd/>
              <w:snapToGrid/>
              <w:spacing w:line="240" w:lineRule="auto"/>
              <w:ind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（二）课中实施</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36"/>
              <w:gridCol w:w="1111"/>
              <w:gridCol w:w="1006"/>
              <w:gridCol w:w="963"/>
              <w:gridCol w:w="1744"/>
              <w:gridCol w:w="7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980"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内容</w:t>
                  </w:r>
                </w:p>
              </w:tc>
              <w:tc>
                <w:tcPr>
                  <w:tcW w:w="736"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教学方法</w:t>
                  </w:r>
                </w:p>
              </w:tc>
              <w:tc>
                <w:tcPr>
                  <w:tcW w:w="1111"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教学手段</w:t>
                  </w:r>
                </w:p>
              </w:tc>
              <w:tc>
                <w:tcPr>
                  <w:tcW w:w="1969" w:type="dxa"/>
                  <w:gridSpan w:val="2"/>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教学过程</w:t>
                  </w:r>
                </w:p>
              </w:tc>
              <w:tc>
                <w:tcPr>
                  <w:tcW w:w="1744"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设计意图</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技术资源</w:t>
                  </w:r>
                </w:p>
              </w:tc>
              <w:tc>
                <w:tcPr>
                  <w:tcW w:w="756" w:type="dxa"/>
                  <w:vMerge w:val="restart"/>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大约时长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2" w:hRule="atLeast"/>
              </w:trPr>
              <w:tc>
                <w:tcPr>
                  <w:tcW w:w="1980"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tc>
              <w:tc>
                <w:tcPr>
                  <w:tcW w:w="736"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tc>
              <w:tc>
                <w:tcPr>
                  <w:tcW w:w="1111"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tc>
              <w:tc>
                <w:tcPr>
                  <w:tcW w:w="100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教师活动</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学生活动</w:t>
                  </w:r>
                </w:p>
              </w:tc>
              <w:tc>
                <w:tcPr>
                  <w:tcW w:w="1744"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tc>
              <w:tc>
                <w:tcPr>
                  <w:tcW w:w="756" w:type="dxa"/>
                  <w:vMerge w:val="continue"/>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课堂讨论</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lang w:val="en-US"/>
                    </w:rPr>
                  </w:pPr>
                  <w:r>
                    <w:rPr>
                      <w:rFonts w:hint="eastAsia" w:ascii="宋体" w:hAnsi="宋体" w:eastAsia="宋体" w:cs="宋体"/>
                      <w:sz w:val="24"/>
                      <w:szCs w:val="24"/>
                      <w:lang w:val="en-US" w:eastAsia="zh-CN"/>
                    </w:rPr>
                    <w:t>带病投保15天后死亡，保险公司是否应承担责任纠纷案</w:t>
                  </w:r>
                </w:p>
              </w:tc>
              <w:tc>
                <w:tcPr>
                  <w:tcW w:w="73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学生展示法</w:t>
                  </w:r>
                </w:p>
              </w:tc>
              <w:tc>
                <w:tcPr>
                  <w:tcW w:w="1111"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智慧教室、学习通平台</w:t>
                  </w:r>
                </w:p>
              </w:tc>
              <w:tc>
                <w:tcPr>
                  <w:tcW w:w="100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组织学生汇报</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汇报、听汇报、提出问题</w:t>
                  </w:r>
                </w:p>
              </w:tc>
              <w:tc>
                <w:tcPr>
                  <w:tcW w:w="1744"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学生展示，抛出自己困惑的问题，聆听其他同学见解，培养表达等综合能力</w:t>
                  </w:r>
                </w:p>
              </w:tc>
              <w:tc>
                <w:tcPr>
                  <w:tcW w:w="75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40分钟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0" w:hRule="atLeast"/>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对话提升：</w:t>
                  </w:r>
                  <w:r>
                    <w:rPr>
                      <w:rFonts w:hint="eastAsia" w:ascii="宋体" w:hAnsi="宋体" w:eastAsia="宋体" w:cs="宋体"/>
                      <w:sz w:val="24"/>
                      <w:szCs w:val="24"/>
                      <w:lang w:val="en-US" w:eastAsia="zh-CN"/>
                    </w:rPr>
                    <w:t>最大诚信原则的运用难点</w:t>
                  </w:r>
                </w:p>
              </w:tc>
              <w:tc>
                <w:tcPr>
                  <w:tcW w:w="73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案例点评</w:t>
                  </w:r>
                </w:p>
              </w:tc>
              <w:tc>
                <w:tcPr>
                  <w:tcW w:w="1111"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智慧教室、学习通平台</w:t>
                  </w:r>
                </w:p>
              </w:tc>
              <w:tc>
                <w:tcPr>
                  <w:tcW w:w="100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针对性讲解；总结纠偏</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听讲、参与讨论和随堂测试等互动</w:t>
                  </w:r>
                </w:p>
              </w:tc>
              <w:tc>
                <w:tcPr>
                  <w:tcW w:w="1744"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带着问题听讲，提高课堂效率高</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资源：PPT、拓展阅读</w:t>
                  </w:r>
                </w:p>
              </w:tc>
              <w:tc>
                <w:tcPr>
                  <w:tcW w:w="75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40分钟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1980"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精讲留白：</w:t>
                  </w:r>
                </w:p>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串讲下节课的重要知识点框架，布置下节课案例任务</w:t>
                  </w:r>
                </w:p>
              </w:tc>
              <w:tc>
                <w:tcPr>
                  <w:tcW w:w="73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讲授法、任务驱动法</w:t>
                  </w:r>
                </w:p>
              </w:tc>
              <w:tc>
                <w:tcPr>
                  <w:tcW w:w="1111"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学习通平台</w:t>
                  </w:r>
                </w:p>
              </w:tc>
              <w:tc>
                <w:tcPr>
                  <w:tcW w:w="100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组织学生汇报</w:t>
                  </w:r>
                </w:p>
              </w:tc>
              <w:tc>
                <w:tcPr>
                  <w:tcW w:w="963"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汇报、听汇报</w:t>
                  </w:r>
                </w:p>
              </w:tc>
              <w:tc>
                <w:tcPr>
                  <w:tcW w:w="1744"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课前线上自学、讨论，课中展示，培养表达等综合能力</w:t>
                  </w:r>
                </w:p>
              </w:tc>
              <w:tc>
                <w:tcPr>
                  <w:tcW w:w="756" w:type="dxa"/>
                  <w:vAlign w:val="center"/>
                </w:tcPr>
                <w:p>
                  <w:pPr>
                    <w:keepNext w:val="0"/>
                    <w:keepLines w:val="0"/>
                    <w:pageBreakBefore w:val="0"/>
                    <w:widowControl w:val="0"/>
                    <w:kinsoku/>
                    <w:wordWrap/>
                    <w:overflowPunct/>
                    <w:topLinePunct w:val="0"/>
                    <w:autoSpaceDE/>
                    <w:autoSpaceDN/>
                    <w:bidi w:val="0"/>
                    <w:adjustRightInd/>
                    <w:snapToGrid/>
                    <w:spacing w:line="54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10分钟</w:t>
                  </w:r>
                </w:p>
              </w:tc>
            </w:tr>
          </w:tbl>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textAlignment w:val="auto"/>
              <w:rPr>
                <w:rFonts w:hint="eastAsia" w:ascii="宋体" w:hAnsi="宋体" w:eastAsia="宋体" w:cs="宋体"/>
                <w:b/>
                <w:bCs/>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（三）课后拓展</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6"/>
              <w:gridCol w:w="1776"/>
              <w:gridCol w:w="1418"/>
              <w:gridCol w:w="1233"/>
              <w:gridCol w:w="1602"/>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96"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内容</w:t>
                  </w:r>
                </w:p>
              </w:tc>
              <w:tc>
                <w:tcPr>
                  <w:tcW w:w="1776"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教学内容</w:t>
                  </w:r>
                </w:p>
              </w:tc>
              <w:tc>
                <w:tcPr>
                  <w:tcW w:w="2651" w:type="dxa"/>
                  <w:gridSpan w:val="2"/>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拓展过程</w:t>
                  </w:r>
                </w:p>
              </w:tc>
              <w:tc>
                <w:tcPr>
                  <w:tcW w:w="1602"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设计意图</w:t>
                  </w:r>
                </w:p>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技术资源</w:t>
                  </w:r>
                </w:p>
              </w:tc>
              <w:tc>
                <w:tcPr>
                  <w:tcW w:w="1071" w:type="dxa"/>
                  <w:vMerge w:val="restart"/>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大约</w:t>
                  </w:r>
                </w:p>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时长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196"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c>
                <w:tcPr>
                  <w:tcW w:w="1776"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教师</w:t>
                  </w:r>
                </w:p>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活动</w:t>
                  </w: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学生</w:t>
                  </w:r>
                </w:p>
                <w:p>
                  <w:pPr>
                    <w:keepNext w:val="0"/>
                    <w:keepLines w:val="0"/>
                    <w:pageBreakBefore w:val="0"/>
                    <w:widowControl w:val="0"/>
                    <w:kinsoku/>
                    <w:wordWrap/>
                    <w:overflowPunct/>
                    <w:topLinePunct w:val="0"/>
                    <w:autoSpaceDE/>
                    <w:autoSpaceDN/>
                    <w:bidi w:val="0"/>
                    <w:adjustRightInd/>
                    <w:snapToGrid/>
                    <w:spacing w:line="4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活动</w:t>
                  </w:r>
                </w:p>
              </w:tc>
              <w:tc>
                <w:tcPr>
                  <w:tcW w:w="1602"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c>
                <w:tcPr>
                  <w:tcW w:w="1071" w:type="dxa"/>
                  <w:vMerge w:val="continue"/>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整理读书笔记</w:t>
                  </w:r>
                  <w:r>
                    <w:rPr>
                      <w:rFonts w:hint="eastAsia" w:ascii="宋体" w:hAnsi="宋体" w:eastAsia="宋体" w:cs="宋体"/>
                      <w:sz w:val="24"/>
                      <w:szCs w:val="24"/>
                    </w:rPr>
                    <w:t>和</w:t>
                  </w:r>
                  <w:r>
                    <w:rPr>
                      <w:rFonts w:hint="eastAsia" w:ascii="宋体" w:hAnsi="宋体" w:eastAsia="宋体" w:cs="宋体"/>
                      <w:sz w:val="24"/>
                      <w:szCs w:val="24"/>
                      <w:lang w:val="en-US" w:eastAsia="zh-CN"/>
                    </w:rPr>
                    <w:t>撰写</w:t>
                  </w:r>
                  <w:r>
                    <w:rPr>
                      <w:rFonts w:hint="eastAsia" w:ascii="宋体" w:hAnsi="宋体" w:eastAsia="宋体" w:cs="宋体"/>
                      <w:sz w:val="24"/>
                      <w:szCs w:val="24"/>
                    </w:rPr>
                    <w:t>案例分析报告</w:t>
                  </w:r>
                </w:p>
              </w:tc>
              <w:tc>
                <w:tcPr>
                  <w:tcW w:w="1776"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最大诚信原则的概念、内容</w:t>
                  </w:r>
                </w:p>
              </w:tc>
              <w:tc>
                <w:tcPr>
                  <w:tcW w:w="1418"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批改学生</w:t>
                  </w:r>
                  <w:r>
                    <w:rPr>
                      <w:rFonts w:hint="eastAsia" w:ascii="宋体" w:hAnsi="宋体" w:eastAsia="宋体" w:cs="宋体"/>
                      <w:sz w:val="24"/>
                      <w:szCs w:val="24"/>
                      <w:lang w:val="en-US" w:eastAsia="zh-CN"/>
                    </w:rPr>
                    <w:t>作业</w:t>
                  </w:r>
                  <w:r>
                    <w:rPr>
                      <w:rFonts w:hint="eastAsia" w:ascii="宋体" w:hAnsi="宋体" w:eastAsia="宋体" w:cs="宋体"/>
                      <w:sz w:val="24"/>
                      <w:szCs w:val="24"/>
                    </w:rPr>
                    <w:t>，发起线上讨论</w:t>
                  </w:r>
                </w:p>
              </w:tc>
              <w:tc>
                <w:tcPr>
                  <w:tcW w:w="1233"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完成课程</w:t>
                  </w:r>
                  <w:r>
                    <w:rPr>
                      <w:rFonts w:hint="eastAsia" w:ascii="宋体" w:hAnsi="宋体" w:eastAsia="宋体" w:cs="宋体"/>
                      <w:sz w:val="24"/>
                      <w:szCs w:val="24"/>
                      <w:lang w:val="en-US" w:eastAsia="zh-CN"/>
                    </w:rPr>
                    <w:t>作业</w:t>
                  </w:r>
                  <w:r>
                    <w:rPr>
                      <w:rFonts w:hint="eastAsia" w:ascii="宋体" w:hAnsi="宋体" w:eastAsia="宋体" w:cs="宋体"/>
                      <w:sz w:val="24"/>
                      <w:szCs w:val="24"/>
                    </w:rPr>
                    <w:t>和案例</w:t>
                  </w:r>
                  <w:r>
                    <w:rPr>
                      <w:rFonts w:hint="eastAsia" w:ascii="宋体" w:hAnsi="宋体" w:eastAsia="宋体" w:cs="宋体"/>
                      <w:sz w:val="24"/>
                      <w:szCs w:val="24"/>
                      <w:lang w:val="en-US" w:eastAsia="zh-CN"/>
                    </w:rPr>
                    <w:t>报告</w:t>
                  </w:r>
                  <w:r>
                    <w:rPr>
                      <w:rFonts w:hint="eastAsia" w:ascii="宋体" w:hAnsi="宋体" w:eastAsia="宋体" w:cs="宋体"/>
                      <w:sz w:val="24"/>
                      <w:szCs w:val="24"/>
                    </w:rPr>
                    <w:t>的撰写</w:t>
                  </w:r>
                </w:p>
              </w:tc>
              <w:tc>
                <w:tcPr>
                  <w:tcW w:w="1602"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课后回顾</w:t>
                  </w:r>
                </w:p>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思维整理</w:t>
                  </w:r>
                </w:p>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知识内化</w:t>
                  </w:r>
                </w:p>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p>
              </w:tc>
              <w:tc>
                <w:tcPr>
                  <w:tcW w:w="1071" w:type="dxa"/>
                  <w:vAlign w:val="center"/>
                </w:tcPr>
                <w:p>
                  <w:pPr>
                    <w:keepNext w:val="0"/>
                    <w:keepLines w:val="0"/>
                    <w:pageBreakBefore w:val="0"/>
                    <w:widowControl w:val="0"/>
                    <w:kinsoku/>
                    <w:wordWrap/>
                    <w:overflowPunct/>
                    <w:topLinePunct w:val="0"/>
                    <w:autoSpaceDE/>
                    <w:autoSpaceDN/>
                    <w:bidi w:val="0"/>
                    <w:adjustRightInd/>
                    <w:snapToGrid/>
                    <w:spacing w:line="500" w:lineRule="exact"/>
                    <w:ind w:left="0"/>
                    <w:jc w:val="center"/>
                    <w:textAlignment w:val="auto"/>
                    <w:rPr>
                      <w:rFonts w:hint="eastAsia" w:ascii="宋体" w:hAnsi="宋体" w:eastAsia="宋体" w:cs="宋体"/>
                      <w:sz w:val="24"/>
                      <w:szCs w:val="24"/>
                    </w:rPr>
                  </w:pPr>
                  <w:r>
                    <w:rPr>
                      <w:rFonts w:hint="eastAsia" w:ascii="宋体" w:hAnsi="宋体" w:eastAsia="宋体" w:cs="宋体"/>
                      <w:sz w:val="24"/>
                      <w:szCs w:val="24"/>
                    </w:rPr>
                    <w:t>60分钟</w:t>
                  </w:r>
                </w:p>
              </w:tc>
            </w:tr>
          </w:tbl>
          <w:p/>
          <w:p>
            <w:pPr>
              <w:pStyle w:val="3"/>
              <w:ind w:firstLine="400"/>
              <w:rPr>
                <w:sz w:val="20"/>
                <w:lang w:bidi="ar"/>
              </w:rPr>
            </w:pPr>
          </w:p>
        </w:tc>
      </w:tr>
    </w:tbl>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4.学习评价</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6" w:hRule="atLeast"/>
        </w:trPr>
        <w:tc>
          <w:tcPr>
            <w:tcW w:w="8504" w:type="dxa"/>
          </w:tcPr>
          <w:p>
            <w:pPr>
              <w:pStyle w:val="3"/>
              <w:keepNext w:val="0"/>
              <w:keepLines w:val="0"/>
              <w:pageBreakBefore w:val="0"/>
              <w:widowControl w:val="0"/>
              <w:kinsoku/>
              <w:wordWrap/>
              <w:overflowPunct/>
              <w:topLinePunct w:val="0"/>
              <w:autoSpaceDE/>
              <w:autoSpaceDN/>
              <w:bidi w:val="0"/>
              <w:adjustRightInd/>
              <w:snapToGrid/>
              <w:spacing w:line="400" w:lineRule="exact"/>
              <w:ind w:firstLine="400"/>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该</w:t>
            </w:r>
            <w:r>
              <w:rPr>
                <w:rFonts w:hint="eastAsia" w:ascii="宋体" w:hAnsi="宋体" w:eastAsia="宋体" w:cs="宋体"/>
                <w:sz w:val="24"/>
                <w:szCs w:val="24"/>
                <w:lang w:val="en-US" w:eastAsia="zh-CN" w:bidi="ar"/>
              </w:rPr>
              <w:t>项目</w:t>
            </w:r>
            <w:r>
              <w:rPr>
                <w:rFonts w:hint="eastAsia" w:ascii="宋体" w:hAnsi="宋体" w:eastAsia="宋体" w:cs="宋体"/>
                <w:sz w:val="24"/>
                <w:szCs w:val="24"/>
                <w:lang w:bidi="ar"/>
              </w:rPr>
              <w:t>评价以达成性评价为主，总成绩由以下5部分组成，其中单元</w:t>
            </w:r>
            <w:r>
              <w:rPr>
                <w:rFonts w:hint="eastAsia" w:ascii="宋体" w:hAnsi="宋体" w:eastAsia="宋体" w:cs="宋体"/>
                <w:sz w:val="24"/>
                <w:szCs w:val="24"/>
                <w:lang w:val="en-US" w:eastAsia="zh-CN" w:bidi="ar"/>
              </w:rPr>
              <w:t>测验</w:t>
            </w:r>
            <w:r>
              <w:rPr>
                <w:rFonts w:hint="eastAsia" w:ascii="宋体" w:hAnsi="宋体" w:eastAsia="宋体" w:cs="宋体"/>
                <w:sz w:val="24"/>
                <w:szCs w:val="24"/>
                <w:lang w:bidi="ar"/>
              </w:rPr>
              <w:t>（包括课前测和课后测）从理论和实践能力两个角度将学习成果量化；</w:t>
            </w:r>
            <w:r>
              <w:rPr>
                <w:rFonts w:hint="eastAsia" w:ascii="宋体" w:hAnsi="宋体" w:eastAsia="宋体" w:cs="宋体"/>
                <w:sz w:val="24"/>
                <w:szCs w:val="24"/>
                <w:lang w:val="en-US" w:eastAsia="zh-CN" w:bidi="ar"/>
              </w:rPr>
              <w:t>课堂</w:t>
            </w:r>
            <w:r>
              <w:rPr>
                <w:rFonts w:hint="eastAsia" w:ascii="宋体" w:hAnsi="宋体" w:eastAsia="宋体" w:cs="宋体"/>
                <w:sz w:val="24"/>
                <w:szCs w:val="24"/>
                <w:lang w:bidi="ar"/>
              </w:rPr>
              <w:t>案例</w:t>
            </w:r>
            <w:r>
              <w:rPr>
                <w:rFonts w:hint="eastAsia" w:ascii="宋体" w:hAnsi="宋体" w:eastAsia="宋体" w:cs="宋体"/>
                <w:sz w:val="24"/>
                <w:szCs w:val="24"/>
                <w:lang w:val="en-US" w:eastAsia="zh-CN" w:bidi="ar"/>
              </w:rPr>
              <w:t>讨论</w:t>
            </w:r>
            <w:r>
              <w:rPr>
                <w:rFonts w:hint="eastAsia" w:ascii="宋体" w:hAnsi="宋体" w:eastAsia="宋体" w:cs="宋体"/>
                <w:sz w:val="24"/>
                <w:szCs w:val="24"/>
                <w:lang w:bidi="ar"/>
              </w:rPr>
              <w:t>、讨论区活跃度</w:t>
            </w:r>
            <w:r>
              <w:rPr>
                <w:rFonts w:hint="eastAsia" w:ascii="宋体" w:hAnsi="宋体" w:eastAsia="宋体" w:cs="宋体"/>
                <w:sz w:val="24"/>
                <w:szCs w:val="24"/>
                <w:lang w:eastAsia="zh-CN" w:bidi="ar"/>
              </w:rPr>
              <w:t>、</w:t>
            </w:r>
            <w:r>
              <w:rPr>
                <w:rFonts w:hint="eastAsia" w:ascii="宋体" w:hAnsi="宋体" w:eastAsia="宋体" w:cs="宋体"/>
                <w:sz w:val="24"/>
                <w:szCs w:val="24"/>
                <w:lang w:val="en-US" w:eastAsia="zh-CN" w:bidi="ar"/>
              </w:rPr>
              <w:t>读书笔记、案例分析报告</w:t>
            </w:r>
            <w:r>
              <w:rPr>
                <w:rFonts w:hint="eastAsia" w:ascii="宋体" w:hAnsi="宋体" w:eastAsia="宋体" w:cs="宋体"/>
                <w:sz w:val="24"/>
                <w:szCs w:val="24"/>
                <w:lang w:bidi="ar"/>
              </w:rPr>
              <w:t>是对学习态度的评价。</w:t>
            </w:r>
            <w:r>
              <w:rPr>
                <w:rFonts w:hint="eastAsia" w:ascii="宋体" w:hAnsi="宋体" w:eastAsia="宋体" w:cs="宋体"/>
                <w:sz w:val="24"/>
                <w:szCs w:val="24"/>
                <w:lang w:val="en-US" w:eastAsia="zh-CN" w:bidi="ar"/>
              </w:rPr>
              <w:t>读书笔记和案例分析报告由老师批改</w:t>
            </w:r>
            <w:r>
              <w:rPr>
                <w:rFonts w:hint="eastAsia" w:ascii="宋体" w:hAnsi="宋体" w:eastAsia="宋体" w:cs="宋体"/>
                <w:sz w:val="24"/>
                <w:szCs w:val="24"/>
                <w:lang w:bidi="ar"/>
              </w:rPr>
              <w:t>，其他项均由</w:t>
            </w:r>
            <w:r>
              <w:rPr>
                <w:rFonts w:hint="eastAsia" w:ascii="宋体" w:hAnsi="宋体" w:eastAsia="宋体" w:cs="宋体"/>
                <w:sz w:val="24"/>
                <w:szCs w:val="24"/>
                <w:lang w:val="en-US" w:eastAsia="zh-CN" w:bidi="ar"/>
              </w:rPr>
              <w:t>学习通</w:t>
            </w:r>
            <w:r>
              <w:rPr>
                <w:rFonts w:hint="eastAsia" w:ascii="宋体" w:hAnsi="宋体" w:eastAsia="宋体" w:cs="宋体"/>
                <w:sz w:val="24"/>
                <w:szCs w:val="24"/>
                <w:lang w:bidi="ar"/>
              </w:rPr>
              <w:t>平台自动记录。</w:t>
            </w:r>
          </w:p>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bidi="ar"/>
              </w:rPr>
              <w:t>表1 各评价环节分数占比</w:t>
            </w:r>
          </w:p>
          <w:tbl>
            <w:tblPr>
              <w:tblStyle w:val="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977"/>
              <w:gridCol w:w="26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3977" w:type="dxa"/>
                  <w:shd w:val="clear" w:color="auto" w:fill="E7E6E6" w:themeFill="background2"/>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考核环节</w:t>
                  </w:r>
                </w:p>
              </w:tc>
              <w:tc>
                <w:tcPr>
                  <w:tcW w:w="2682" w:type="dxa"/>
                  <w:shd w:val="clear" w:color="auto" w:fill="E7E6E6" w:themeFill="background2"/>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bidi="ar"/>
                    </w:rPr>
                    <w:t>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3977"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单元测验</w:t>
                  </w:r>
                </w:p>
              </w:tc>
              <w:tc>
                <w:tcPr>
                  <w:tcW w:w="2682"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1</w:t>
                  </w:r>
                  <w:r>
                    <w:rPr>
                      <w:rFonts w:hint="eastAsia" w:ascii="宋体" w:hAnsi="宋体" w:eastAsia="宋体" w:cs="宋体"/>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3977"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val="en-US" w:eastAsia="zh-CN" w:bidi="ar"/>
                    </w:rPr>
                  </w:pPr>
                  <w:r>
                    <w:rPr>
                      <w:rFonts w:hint="eastAsia" w:ascii="宋体" w:hAnsi="宋体" w:eastAsia="宋体" w:cs="宋体"/>
                      <w:sz w:val="24"/>
                      <w:szCs w:val="24"/>
                      <w:lang w:val="en-US" w:eastAsia="zh-CN" w:bidi="ar"/>
                    </w:rPr>
                    <w:t>课堂案例讨论</w:t>
                  </w:r>
                </w:p>
              </w:tc>
              <w:tc>
                <w:tcPr>
                  <w:tcW w:w="2682"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3</w:t>
                  </w:r>
                  <w:r>
                    <w:rPr>
                      <w:rFonts w:hint="eastAsia" w:ascii="宋体" w:hAnsi="宋体" w:eastAsia="宋体" w:cs="宋体"/>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3977"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讨论区活跃度</w:t>
                  </w:r>
                </w:p>
              </w:tc>
              <w:tc>
                <w:tcPr>
                  <w:tcW w:w="2682"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2" w:hRule="atLeast"/>
                <w:jc w:val="center"/>
              </w:trPr>
              <w:tc>
                <w:tcPr>
                  <w:tcW w:w="3977"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eastAsia="zh-CN" w:bidi="ar"/>
                    </w:rPr>
                  </w:pPr>
                  <w:r>
                    <w:rPr>
                      <w:rFonts w:hint="eastAsia" w:ascii="宋体" w:hAnsi="宋体" w:eastAsia="宋体" w:cs="宋体"/>
                      <w:sz w:val="24"/>
                      <w:szCs w:val="24"/>
                      <w:lang w:val="en-US" w:eastAsia="zh-CN" w:bidi="ar"/>
                    </w:rPr>
                    <w:t>读书笔记</w:t>
                  </w:r>
                </w:p>
              </w:tc>
              <w:tc>
                <w:tcPr>
                  <w:tcW w:w="2682"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bidi="ar"/>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62" w:hRule="atLeast"/>
                <w:jc w:val="center"/>
              </w:trPr>
              <w:tc>
                <w:tcPr>
                  <w:tcW w:w="3977"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案例分析报告</w:t>
                  </w:r>
                </w:p>
              </w:tc>
              <w:tc>
                <w:tcPr>
                  <w:tcW w:w="2682" w:type="dxa"/>
                  <w:shd w:val="clear" w:color="auto" w:fill="auto"/>
                  <w:vAlign w:val="center"/>
                </w:tcPr>
                <w:p>
                  <w:pPr>
                    <w:pStyle w:val="3"/>
                    <w:keepNext w:val="0"/>
                    <w:keepLines w:val="0"/>
                    <w:pageBreakBefore w:val="0"/>
                    <w:widowControl w:val="0"/>
                    <w:kinsoku/>
                    <w:wordWrap/>
                    <w:overflowPunct/>
                    <w:topLinePunct w:val="0"/>
                    <w:autoSpaceDE/>
                    <w:autoSpaceDN/>
                    <w:bidi w:val="0"/>
                    <w:adjustRightInd/>
                    <w:snapToGrid/>
                    <w:spacing w:line="400" w:lineRule="exact"/>
                    <w:ind w:firstLine="400"/>
                    <w:jc w:val="center"/>
                    <w:textAlignment w:val="auto"/>
                    <w:rPr>
                      <w:rFonts w:hint="eastAsia" w:ascii="宋体" w:hAnsi="宋体" w:eastAsia="宋体" w:cs="宋体"/>
                      <w:sz w:val="24"/>
                      <w:szCs w:val="24"/>
                      <w:lang w:bidi="ar"/>
                    </w:rPr>
                  </w:pPr>
                  <w:r>
                    <w:rPr>
                      <w:rFonts w:hint="eastAsia" w:ascii="宋体" w:hAnsi="宋体" w:eastAsia="宋体" w:cs="宋体"/>
                      <w:sz w:val="24"/>
                      <w:szCs w:val="24"/>
                      <w:lang w:val="en-US" w:eastAsia="zh-CN" w:bidi="ar"/>
                    </w:rPr>
                    <w:t>2</w:t>
                  </w:r>
                  <w:r>
                    <w:rPr>
                      <w:rFonts w:hint="eastAsia" w:ascii="宋体" w:hAnsi="宋体" w:eastAsia="宋体" w:cs="宋体"/>
                      <w:sz w:val="24"/>
                      <w:szCs w:val="24"/>
                      <w:lang w:bidi="ar"/>
                    </w:rPr>
                    <w:t>0%</w:t>
                  </w:r>
                </w:p>
              </w:tc>
            </w:tr>
          </w:tbl>
          <w:p>
            <w:pPr>
              <w:pStyle w:val="3"/>
              <w:keepNext w:val="0"/>
              <w:keepLines w:val="0"/>
              <w:pageBreakBefore w:val="0"/>
              <w:widowControl w:val="0"/>
              <w:kinsoku/>
              <w:wordWrap/>
              <w:overflowPunct/>
              <w:topLinePunct w:val="0"/>
              <w:autoSpaceDE/>
              <w:autoSpaceDN/>
              <w:bidi w:val="0"/>
              <w:adjustRightInd/>
              <w:snapToGrid/>
              <w:spacing w:line="400" w:lineRule="exact"/>
              <w:ind w:firstLine="400"/>
              <w:textAlignment w:val="auto"/>
              <w:rPr>
                <w:kern w:val="0"/>
                <w:sz w:val="20"/>
                <w:szCs w:val="20"/>
                <w:lang w:bidi="ar"/>
              </w:rPr>
            </w:pPr>
            <w:r>
              <w:rPr>
                <w:rFonts w:hint="eastAsia" w:ascii="宋体" w:hAnsi="宋体" w:eastAsia="宋体" w:cs="宋体"/>
                <w:sz w:val="24"/>
                <w:szCs w:val="24"/>
                <w:lang w:bidi="ar"/>
              </w:rPr>
              <w:t>该评价体系有助于避免有些学生由于基础薄弱而进入“弱势→厌学”的恶性循环之中，促使学生根据自己的水平设定各自的目标，实现自我突破。同时将沟通表达能力、</w:t>
            </w:r>
            <w:r>
              <w:rPr>
                <w:rFonts w:hint="eastAsia" w:ascii="宋体" w:hAnsi="宋体" w:eastAsia="宋体" w:cs="宋体"/>
                <w:sz w:val="24"/>
                <w:szCs w:val="24"/>
                <w:lang w:val="en-US" w:eastAsia="zh-CN" w:bidi="ar"/>
              </w:rPr>
              <w:t>团队合作能力、</w:t>
            </w:r>
            <w:r>
              <w:rPr>
                <w:rFonts w:hint="eastAsia" w:ascii="宋体" w:hAnsi="宋体" w:eastAsia="宋体" w:cs="宋体"/>
                <w:sz w:val="24"/>
                <w:szCs w:val="24"/>
                <w:lang w:bidi="ar"/>
              </w:rPr>
              <w:t>职业素养和创新思维通过案例分析报告、讨论区回帖等形式纳入到综合评价中，能有效检测目标达成度。</w:t>
            </w:r>
          </w:p>
        </w:tc>
      </w:tr>
    </w:tbl>
    <w:p>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textAlignment w:val="auto"/>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7"/>
        <w:tblW w:w="8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365"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hint="eastAsia" w:ascii="宋体" w:hAnsi="宋体" w:eastAsia="宋体"/>
                <w:color w:val="000000"/>
                <w:sz w:val="24"/>
              </w:rPr>
            </w:pPr>
            <w:r>
              <w:rPr>
                <w:rFonts w:hint="eastAsia" w:ascii="宋体" w:hAnsi="宋体" w:eastAsia="宋体"/>
                <w:color w:val="000000"/>
                <w:sz w:val="24"/>
              </w:rPr>
              <w:t xml:space="preserve">                                                      年   月   日</w:t>
            </w:r>
          </w:p>
          <w:p>
            <w:pPr>
              <w:rPr>
                <w:rFonts w:hint="eastAsia" w:ascii="宋体" w:hAnsi="宋体" w:eastAsia="宋体"/>
                <w:color w:val="000000"/>
                <w:sz w:val="24"/>
              </w:rPr>
            </w:pPr>
          </w:p>
        </w:tc>
      </w:tr>
    </w:tbl>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22F564-D7CE-4FD7-8460-3F34D5F5060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embedRegular r:id="rId2" w:fontKey="{1B1C43E3-C396-4132-A4DE-98B63ED70150}"/>
  </w:font>
  <w:font w:name="仿宋">
    <w:panose1 w:val="02010609060101010101"/>
    <w:charset w:val="86"/>
    <w:family w:val="auto"/>
    <w:pitch w:val="default"/>
    <w:sig w:usb0="800002BF" w:usb1="38CF7CFA" w:usb2="00000016" w:usb3="00000000" w:csb0="00040001" w:csb1="00000000"/>
    <w:embedRegular r:id="rId3" w:fontKey="{0EAB393A-E0F3-404F-B02C-77DB3B00CB18}"/>
  </w:font>
  <w:font w:name="仿宋_GB2312">
    <w:panose1 w:val="02010609030101010101"/>
    <w:charset w:val="86"/>
    <w:family w:val="modern"/>
    <w:pitch w:val="default"/>
    <w:sig w:usb0="00000001" w:usb1="080E0000" w:usb2="00000000" w:usb3="00000000" w:csb0="00040000" w:csb1="00000000"/>
    <w:embedRegular r:id="rId4" w:fontKey="{17DB0257-7E20-4480-B187-3268950111E2}"/>
  </w:font>
  <w:font w:name="Wingdings 2">
    <w:panose1 w:val="05020102010507070707"/>
    <w:charset w:val="00"/>
    <w:family w:val="auto"/>
    <w:pitch w:val="default"/>
    <w:sig w:usb0="00000000" w:usb1="00000000" w:usb2="00000000" w:usb3="00000000" w:csb0="80000000" w:csb1="00000000"/>
    <w:embedRegular r:id="rId5" w:fontKey="{ADA776DB-3255-4B28-B521-858C02E6C13B}"/>
  </w:font>
  <w:font w:name="方正仿宋_GB2312">
    <w:panose1 w:val="02000000000000000000"/>
    <w:charset w:val="86"/>
    <w:family w:val="auto"/>
    <w:pitch w:val="default"/>
    <w:sig w:usb0="A00002BF" w:usb1="184F6CFA" w:usb2="00000012" w:usb3="00000000" w:csb0="00040001" w:csb1="00000000"/>
    <w:embedRegular r:id="rId6" w:fontKey="{812264EB-0525-4294-954F-946D7141E590}"/>
  </w:font>
  <w:font w:name="方正公文小标宋">
    <w:panose1 w:val="02000500000000000000"/>
    <w:charset w:val="86"/>
    <w:family w:val="auto"/>
    <w:pitch w:val="default"/>
    <w:sig w:usb0="A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rPr>
                        <w:sz w:val="24"/>
                        <w:szCs w:val="24"/>
                      </w:rPr>
                    </w:pP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0AEB7C"/>
    <w:multiLevelType w:val="singleLevel"/>
    <w:tmpl w:val="4D0AEB7C"/>
    <w:lvl w:ilvl="0" w:tentative="0">
      <w:start w:val="1"/>
      <w:numFmt w:val="decimal"/>
      <w:lvlText w:val="%1."/>
      <w:lvlJc w:val="left"/>
      <w:pPr>
        <w:tabs>
          <w:tab w:val="left" w:pos="312"/>
        </w:tabs>
      </w:pPr>
    </w:lvl>
  </w:abstractNum>
  <w:abstractNum w:abstractNumId="1">
    <w:nsid w:val="58A5880F"/>
    <w:multiLevelType w:val="singleLevel"/>
    <w:tmpl w:val="58A5880F"/>
    <w:lvl w:ilvl="0" w:tentative="0">
      <w:start w:val="2"/>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U0MWIwNGEwYTQzNDQ0YzIxZGEzZTEwNzg0MGZjMjMifQ=="/>
  </w:docVars>
  <w:rsids>
    <w:rsidRoot w:val="00750B6B"/>
    <w:rsid w:val="000D311C"/>
    <w:rsid w:val="002179A0"/>
    <w:rsid w:val="0038748C"/>
    <w:rsid w:val="006240BC"/>
    <w:rsid w:val="00750B6B"/>
    <w:rsid w:val="008E68AA"/>
    <w:rsid w:val="009D4F87"/>
    <w:rsid w:val="00B56FE4"/>
    <w:rsid w:val="00CB789A"/>
    <w:rsid w:val="00DF7241"/>
    <w:rsid w:val="00ED23A0"/>
    <w:rsid w:val="01E8755C"/>
    <w:rsid w:val="029F0F02"/>
    <w:rsid w:val="03000C7D"/>
    <w:rsid w:val="03D746CC"/>
    <w:rsid w:val="04196EB4"/>
    <w:rsid w:val="046F50B4"/>
    <w:rsid w:val="059153FF"/>
    <w:rsid w:val="070F61E8"/>
    <w:rsid w:val="07603356"/>
    <w:rsid w:val="08D17205"/>
    <w:rsid w:val="095C18FB"/>
    <w:rsid w:val="0A60541B"/>
    <w:rsid w:val="0A8C1B57"/>
    <w:rsid w:val="0BBE17C0"/>
    <w:rsid w:val="0C405504"/>
    <w:rsid w:val="0D4B549C"/>
    <w:rsid w:val="0D5C1B29"/>
    <w:rsid w:val="0D9D68F3"/>
    <w:rsid w:val="0DCF249F"/>
    <w:rsid w:val="0F825E34"/>
    <w:rsid w:val="10C5247C"/>
    <w:rsid w:val="1239633C"/>
    <w:rsid w:val="128B4FFF"/>
    <w:rsid w:val="13765CAF"/>
    <w:rsid w:val="147F0B94"/>
    <w:rsid w:val="14BC76F2"/>
    <w:rsid w:val="14DE5A66"/>
    <w:rsid w:val="150572EB"/>
    <w:rsid w:val="155A5D24"/>
    <w:rsid w:val="15712BD2"/>
    <w:rsid w:val="17D9680D"/>
    <w:rsid w:val="1815495E"/>
    <w:rsid w:val="19AF3CC9"/>
    <w:rsid w:val="1B23471C"/>
    <w:rsid w:val="1C0E2F29"/>
    <w:rsid w:val="1CAD6B0C"/>
    <w:rsid w:val="1D063C00"/>
    <w:rsid w:val="1D513E0C"/>
    <w:rsid w:val="1D892AAE"/>
    <w:rsid w:val="1D89579E"/>
    <w:rsid w:val="1E636E30"/>
    <w:rsid w:val="1FB45B95"/>
    <w:rsid w:val="20CD4DF2"/>
    <w:rsid w:val="22AA1D1A"/>
    <w:rsid w:val="22BC5FE7"/>
    <w:rsid w:val="22BD1205"/>
    <w:rsid w:val="23052BAC"/>
    <w:rsid w:val="2360651F"/>
    <w:rsid w:val="239D1036"/>
    <w:rsid w:val="23A61C99"/>
    <w:rsid w:val="25C500F3"/>
    <w:rsid w:val="261750D0"/>
    <w:rsid w:val="270778EF"/>
    <w:rsid w:val="274F43F6"/>
    <w:rsid w:val="289742A6"/>
    <w:rsid w:val="2B2067D5"/>
    <w:rsid w:val="2BC93A77"/>
    <w:rsid w:val="2BEF7F55"/>
    <w:rsid w:val="2BF65788"/>
    <w:rsid w:val="2C1874AC"/>
    <w:rsid w:val="2C7566AC"/>
    <w:rsid w:val="2D931C55"/>
    <w:rsid w:val="2DDF3869"/>
    <w:rsid w:val="2E502784"/>
    <w:rsid w:val="2E884DBD"/>
    <w:rsid w:val="2FBE6FE1"/>
    <w:rsid w:val="3002294D"/>
    <w:rsid w:val="3025488D"/>
    <w:rsid w:val="31B75E86"/>
    <w:rsid w:val="31D73965"/>
    <w:rsid w:val="32B30A2E"/>
    <w:rsid w:val="32F347CF"/>
    <w:rsid w:val="34F07218"/>
    <w:rsid w:val="3542559A"/>
    <w:rsid w:val="37715675"/>
    <w:rsid w:val="38134440"/>
    <w:rsid w:val="3A7206CF"/>
    <w:rsid w:val="3B4E14F1"/>
    <w:rsid w:val="3C4619D9"/>
    <w:rsid w:val="3D154B4E"/>
    <w:rsid w:val="3D6267D9"/>
    <w:rsid w:val="408C0F1B"/>
    <w:rsid w:val="412F50DD"/>
    <w:rsid w:val="41523297"/>
    <w:rsid w:val="427F1BDB"/>
    <w:rsid w:val="42D07119"/>
    <w:rsid w:val="42D71A17"/>
    <w:rsid w:val="43274A6B"/>
    <w:rsid w:val="44BC0BCB"/>
    <w:rsid w:val="44EB1F15"/>
    <w:rsid w:val="454A4722"/>
    <w:rsid w:val="455B75C1"/>
    <w:rsid w:val="461E170B"/>
    <w:rsid w:val="46D24AF4"/>
    <w:rsid w:val="46DD5122"/>
    <w:rsid w:val="480967A2"/>
    <w:rsid w:val="48F074AF"/>
    <w:rsid w:val="491A7D6C"/>
    <w:rsid w:val="49D07562"/>
    <w:rsid w:val="4A2C089A"/>
    <w:rsid w:val="4A584F93"/>
    <w:rsid w:val="4B2E418D"/>
    <w:rsid w:val="4D2A505A"/>
    <w:rsid w:val="4DDE373C"/>
    <w:rsid w:val="4E45017D"/>
    <w:rsid w:val="4E820B09"/>
    <w:rsid w:val="50D2381E"/>
    <w:rsid w:val="5115639D"/>
    <w:rsid w:val="51450494"/>
    <w:rsid w:val="51B2610E"/>
    <w:rsid w:val="51BD627C"/>
    <w:rsid w:val="53C259F6"/>
    <w:rsid w:val="550C37A2"/>
    <w:rsid w:val="55494F54"/>
    <w:rsid w:val="56F967EA"/>
    <w:rsid w:val="578517C1"/>
    <w:rsid w:val="58530C3A"/>
    <w:rsid w:val="58A92156"/>
    <w:rsid w:val="58C0503B"/>
    <w:rsid w:val="58F32007"/>
    <w:rsid w:val="58F5279F"/>
    <w:rsid w:val="591E3AA4"/>
    <w:rsid w:val="595B0854"/>
    <w:rsid w:val="59F667CF"/>
    <w:rsid w:val="5B3E6680"/>
    <w:rsid w:val="5B433E2C"/>
    <w:rsid w:val="5C6B34A4"/>
    <w:rsid w:val="5EDF7232"/>
    <w:rsid w:val="5F050DB2"/>
    <w:rsid w:val="60E24D2E"/>
    <w:rsid w:val="612A435D"/>
    <w:rsid w:val="61486149"/>
    <w:rsid w:val="614C3178"/>
    <w:rsid w:val="620F3A24"/>
    <w:rsid w:val="63506F50"/>
    <w:rsid w:val="63937F4B"/>
    <w:rsid w:val="64C40437"/>
    <w:rsid w:val="662D17CA"/>
    <w:rsid w:val="663761A5"/>
    <w:rsid w:val="6695111E"/>
    <w:rsid w:val="6716400D"/>
    <w:rsid w:val="67A27D49"/>
    <w:rsid w:val="685C6397"/>
    <w:rsid w:val="6A9C13A8"/>
    <w:rsid w:val="6AC67AF8"/>
    <w:rsid w:val="6C8934D3"/>
    <w:rsid w:val="6D8F2D6B"/>
    <w:rsid w:val="6E657628"/>
    <w:rsid w:val="6EBA7393"/>
    <w:rsid w:val="6F502086"/>
    <w:rsid w:val="6F8E6C74"/>
    <w:rsid w:val="6FDD7DBD"/>
    <w:rsid w:val="70096E04"/>
    <w:rsid w:val="70700C31"/>
    <w:rsid w:val="709C1767"/>
    <w:rsid w:val="70A6764A"/>
    <w:rsid w:val="70E94540"/>
    <w:rsid w:val="7111016C"/>
    <w:rsid w:val="71463740"/>
    <w:rsid w:val="72AF5315"/>
    <w:rsid w:val="73125FD0"/>
    <w:rsid w:val="7327134F"/>
    <w:rsid w:val="73E92654"/>
    <w:rsid w:val="74B51309"/>
    <w:rsid w:val="74DD616A"/>
    <w:rsid w:val="75907680"/>
    <w:rsid w:val="76DB492B"/>
    <w:rsid w:val="76FE0619"/>
    <w:rsid w:val="77796066"/>
    <w:rsid w:val="779D7E32"/>
    <w:rsid w:val="78E072D1"/>
    <w:rsid w:val="79713B8A"/>
    <w:rsid w:val="7B0301BA"/>
    <w:rsid w:val="7C46246B"/>
    <w:rsid w:val="7D584F27"/>
    <w:rsid w:val="7EF5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4">
    <w:name w:val="footer"/>
    <w:basedOn w:val="1"/>
    <w:link w:val="12"/>
    <w:autoRedefine/>
    <w:unhideWhenUsed/>
    <w:qFormat/>
    <w:uiPriority w:val="99"/>
    <w:pPr>
      <w:tabs>
        <w:tab w:val="center" w:pos="4153"/>
        <w:tab w:val="right" w:pos="8306"/>
      </w:tabs>
      <w:snapToGrid w:val="0"/>
      <w:jc w:val="left"/>
    </w:pPr>
    <w:rPr>
      <w:sz w:val="18"/>
      <w:szCs w:val="18"/>
    </w:rPr>
  </w:style>
  <w:style w:type="paragraph" w:styleId="5">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34"/>
    <w:pPr>
      <w:ind w:firstLine="420" w:firstLineChars="200"/>
    </w:pPr>
  </w:style>
  <w:style w:type="character" w:customStyle="1" w:styleId="11">
    <w:name w:val="页眉 Char"/>
    <w:basedOn w:val="9"/>
    <w:link w:val="5"/>
    <w:autoRedefine/>
    <w:qFormat/>
    <w:uiPriority w:val="99"/>
    <w:rPr>
      <w:sz w:val="18"/>
      <w:szCs w:val="18"/>
    </w:rPr>
  </w:style>
  <w:style w:type="character" w:customStyle="1" w:styleId="12">
    <w:name w:val="页脚 Char"/>
    <w:basedOn w:val="9"/>
    <w:link w:val="4"/>
    <w:autoRedefine/>
    <w:qFormat/>
    <w:uiPriority w:val="99"/>
    <w:rPr>
      <w:sz w:val="18"/>
      <w:szCs w:val="18"/>
    </w:rPr>
  </w:style>
  <w:style w:type="paragraph" w:styleId="13">
    <w:name w:val="No Spacing"/>
    <w:autoRedefine/>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12</Pages>
  <Words>7029</Words>
  <Characters>7233</Characters>
  <Lines>27</Lines>
  <Paragraphs>29</Paragraphs>
  <TotalTime>105</TotalTime>
  <ScaleCrop>false</ScaleCrop>
  <LinksUpToDate>false</LinksUpToDate>
  <CharactersWithSpaces>7445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徽风晚韵</cp:lastModifiedBy>
  <dcterms:modified xsi:type="dcterms:W3CDTF">2024-06-26T02:10:06Z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784D45F5445B4D6BBBE77129DDD7B43A_13</vt:lpwstr>
  </property>
</Properties>
</file>