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22A10">
      <w:pPr>
        <w:pStyle w:val="2"/>
        <w:ind w:firstLine="0" w:firstLineChars="0"/>
        <w:rPr>
          <w:rFonts w:ascii="仿宋" w:hAnsi="仿宋" w:eastAsia="仿宋"/>
          <w:sz w:val="32"/>
          <w:szCs w:val="32"/>
        </w:rPr>
      </w:pPr>
      <w:bookmarkStart w:id="0" w:name="_GoBack"/>
      <w:bookmarkEnd w:id="0"/>
      <w:r>
        <w:rPr>
          <w:rFonts w:hint="eastAsia" w:ascii="仿宋" w:hAnsi="仿宋" w:eastAsia="仿宋"/>
          <w:sz w:val="32"/>
          <w:szCs w:val="32"/>
        </w:rPr>
        <w:t>附件</w:t>
      </w:r>
      <w:r>
        <w:rPr>
          <w:rFonts w:ascii="仿宋" w:hAnsi="仿宋" w:eastAsia="仿宋"/>
          <w:sz w:val="32"/>
          <w:szCs w:val="32"/>
        </w:rPr>
        <w:t>2</w:t>
      </w:r>
    </w:p>
    <w:p w14:paraId="7ACE273E"/>
    <w:p w14:paraId="3392C952">
      <w:pPr>
        <w:pStyle w:val="2"/>
        <w:rPr>
          <w:lang w:bidi="ar"/>
        </w:rPr>
      </w:pPr>
    </w:p>
    <w:p w14:paraId="4A0977EA">
      <w:pPr>
        <w:widowControl/>
        <w:jc w:val="center"/>
        <w:rPr>
          <w:rFonts w:ascii="黑体" w:hAnsi="宋体" w:eastAsia="黑体" w:cs="黑体"/>
          <w:color w:val="000000"/>
          <w:kern w:val="0"/>
          <w:sz w:val="52"/>
          <w:szCs w:val="52"/>
          <w:lang w:bidi="ar"/>
        </w:rPr>
      </w:pPr>
      <w:r>
        <w:rPr>
          <w:rFonts w:hint="eastAsia" w:ascii="黑体" w:hAnsi="宋体" w:eastAsia="黑体" w:cs="黑体"/>
          <w:color w:val="000000"/>
          <w:kern w:val="0"/>
          <w:sz w:val="52"/>
          <w:szCs w:val="52"/>
          <w:lang w:eastAsia="zh-CN" w:bidi="ar"/>
        </w:rPr>
        <w:t>铜陵</w:t>
      </w:r>
      <w:r>
        <w:rPr>
          <w:rFonts w:hint="eastAsia" w:ascii="黑体" w:hAnsi="宋体" w:eastAsia="黑体" w:cs="黑体"/>
          <w:color w:val="000000"/>
          <w:kern w:val="0"/>
          <w:sz w:val="52"/>
          <w:szCs w:val="52"/>
          <w:lang w:bidi="ar"/>
        </w:rPr>
        <w:t>学院真实项目案例库</w:t>
      </w:r>
    </w:p>
    <w:p w14:paraId="2DA33D53">
      <w:pPr>
        <w:jc w:val="center"/>
        <w:rPr>
          <w:b/>
          <w:sz w:val="36"/>
        </w:rPr>
      </w:pPr>
    </w:p>
    <w:p w14:paraId="41A890F0">
      <w:pPr>
        <w:jc w:val="center"/>
        <w:rPr>
          <w:b/>
          <w:sz w:val="36"/>
        </w:rPr>
      </w:pPr>
    </w:p>
    <w:p w14:paraId="64A54179">
      <w:pPr>
        <w:jc w:val="center"/>
        <w:rPr>
          <w:b/>
          <w:sz w:val="72"/>
        </w:rPr>
      </w:pPr>
      <w:r>
        <w:rPr>
          <w:rFonts w:hint="eastAsia"/>
          <w:b/>
          <w:sz w:val="72"/>
        </w:rPr>
        <w:t>申  报  书</w:t>
      </w:r>
    </w:p>
    <w:p w14:paraId="62A8023D"/>
    <w:p w14:paraId="6544C6D8"/>
    <w:p w14:paraId="09738AC4"/>
    <w:p w14:paraId="6C48F207">
      <w:pPr>
        <w:ind w:firstLine="1500" w:firstLineChars="500"/>
        <w:rPr>
          <w:rFonts w:hint="eastAsia"/>
          <w:sz w:val="30"/>
          <w:lang w:val="en-US" w:eastAsia="zh-CN"/>
        </w:rPr>
      </w:pPr>
      <w:r>
        <w:rPr>
          <w:rFonts w:hint="eastAsia"/>
          <w:sz w:val="30"/>
        </w:rPr>
        <w:t xml:space="preserve">课程名称： </w:t>
      </w:r>
      <w:r>
        <w:rPr>
          <w:sz w:val="30"/>
        </w:rPr>
        <w:t xml:space="preserve">    </w:t>
      </w:r>
      <w:r>
        <w:rPr>
          <w:rFonts w:hint="eastAsia"/>
          <w:sz w:val="30"/>
          <w:u w:val="single"/>
          <w:lang w:val="en-US" w:eastAsia="zh-CN"/>
        </w:rPr>
        <w:t xml:space="preserve">       个案工作         </w:t>
      </w:r>
      <w:r>
        <w:rPr>
          <w:rFonts w:hint="eastAsia"/>
          <w:sz w:val="30"/>
          <w:lang w:val="en-US" w:eastAsia="zh-CN"/>
        </w:rPr>
        <w:t xml:space="preserve">      </w:t>
      </w:r>
    </w:p>
    <w:p w14:paraId="1079E77A">
      <w:pPr>
        <w:ind w:firstLine="1500" w:firstLineChars="500"/>
        <w:rPr>
          <w:rFonts w:hint="eastAsia"/>
          <w:sz w:val="30"/>
          <w:lang w:val="en-US" w:eastAsia="zh-CN"/>
        </w:rPr>
      </w:pPr>
    </w:p>
    <w:p w14:paraId="5ED645AC">
      <w:pPr>
        <w:ind w:firstLine="1500" w:firstLineChars="500"/>
        <w:rPr>
          <w:rFonts w:hint="default" w:eastAsiaTheme="minorEastAsia"/>
          <w:sz w:val="30"/>
          <w:lang w:val="en-US" w:eastAsia="zh-CN"/>
        </w:rPr>
      </w:pPr>
      <w:r>
        <w:rPr>
          <w:rFonts w:hint="eastAsia"/>
          <w:sz w:val="30"/>
        </w:rPr>
        <w:t>编写负责人姓名：</w:t>
      </w:r>
      <w:r>
        <w:rPr>
          <w:rFonts w:hint="eastAsia"/>
          <w:sz w:val="30"/>
          <w:u w:val="single"/>
          <w:lang w:val="en-US" w:eastAsia="zh-CN"/>
        </w:rPr>
        <w:t xml:space="preserve">       许菊香          </w:t>
      </w:r>
    </w:p>
    <w:p w14:paraId="2217E7D4">
      <w:pPr>
        <w:ind w:firstLine="1500" w:firstLineChars="500"/>
        <w:rPr>
          <w:sz w:val="30"/>
        </w:rPr>
      </w:pPr>
    </w:p>
    <w:p w14:paraId="336C50D1">
      <w:pPr>
        <w:ind w:firstLine="1500" w:firstLineChars="500"/>
        <w:rPr>
          <w:rFonts w:hint="default" w:eastAsiaTheme="minorEastAsia"/>
          <w:sz w:val="30"/>
          <w:lang w:val="en-US" w:eastAsia="zh-CN"/>
        </w:rPr>
      </w:pPr>
      <w:r>
        <w:rPr>
          <w:rFonts w:hint="eastAsia"/>
          <w:sz w:val="30"/>
        </w:rPr>
        <w:t xml:space="preserve">联系电话：      </w:t>
      </w:r>
      <w:r>
        <w:rPr>
          <w:rFonts w:hint="eastAsia"/>
          <w:sz w:val="30"/>
          <w:u w:val="single"/>
          <w:lang w:val="en-US" w:eastAsia="zh-CN"/>
        </w:rPr>
        <w:t xml:space="preserve">     18956252323      </w:t>
      </w:r>
    </w:p>
    <w:p w14:paraId="34B29A61">
      <w:pPr>
        <w:ind w:firstLine="1500" w:firstLineChars="500"/>
        <w:rPr>
          <w:sz w:val="30"/>
        </w:rPr>
      </w:pPr>
    </w:p>
    <w:p w14:paraId="078FEDFD">
      <w:pPr>
        <w:ind w:firstLine="1500" w:firstLineChars="500"/>
        <w:rPr>
          <w:rFonts w:hint="default"/>
          <w:sz w:val="30"/>
          <w:u w:val="single"/>
          <w:lang w:val="en-US"/>
        </w:rPr>
      </w:pPr>
      <w:r>
        <w:rPr>
          <w:rFonts w:hint="eastAsia"/>
          <w:sz w:val="30"/>
        </w:rPr>
        <w:t xml:space="preserve">院（部）名称： </w:t>
      </w:r>
      <w:r>
        <w:rPr>
          <w:rFonts w:hint="eastAsia"/>
          <w:sz w:val="30"/>
          <w:u w:val="single"/>
        </w:rPr>
        <w:t xml:space="preserve"> </w:t>
      </w:r>
      <w:r>
        <w:rPr>
          <w:rFonts w:hint="eastAsia"/>
          <w:sz w:val="30"/>
          <w:u w:val="single"/>
          <w:lang w:val="en-US" w:eastAsia="zh-CN"/>
        </w:rPr>
        <w:t xml:space="preserve">       法学院         </w:t>
      </w:r>
    </w:p>
    <w:p w14:paraId="2D6BBF52">
      <w:pPr>
        <w:spacing w:line="276" w:lineRule="auto"/>
        <w:jc w:val="center"/>
        <w:rPr>
          <w:rFonts w:hint="eastAsia"/>
          <w:b/>
          <w:sz w:val="30"/>
        </w:rPr>
      </w:pPr>
    </w:p>
    <w:p w14:paraId="776B2D1D">
      <w:pPr>
        <w:spacing w:line="276" w:lineRule="auto"/>
        <w:jc w:val="center"/>
        <w:rPr>
          <w:b/>
          <w:sz w:val="30"/>
        </w:rPr>
      </w:pPr>
      <w:r>
        <w:rPr>
          <w:rFonts w:hint="eastAsia"/>
          <w:b/>
          <w:sz w:val="30"/>
        </w:rPr>
        <w:t>二</w:t>
      </w:r>
      <w:r>
        <w:rPr>
          <w:rFonts w:hint="eastAsia" w:ascii="宋体" w:hAnsi="宋体"/>
          <w:b/>
          <w:sz w:val="30"/>
        </w:rPr>
        <w:t>〇二</w:t>
      </w:r>
      <w:r>
        <w:rPr>
          <w:rFonts w:hint="eastAsia" w:ascii="宋体" w:hAnsi="宋体"/>
          <w:b/>
          <w:sz w:val="30"/>
          <w:lang w:eastAsia="zh-CN"/>
        </w:rPr>
        <w:t>四</w:t>
      </w:r>
      <w:r>
        <w:rPr>
          <w:rFonts w:hint="eastAsia"/>
          <w:b/>
          <w:sz w:val="30"/>
        </w:rPr>
        <w:t>年</w:t>
      </w:r>
      <w:r>
        <w:rPr>
          <w:rFonts w:hint="eastAsia"/>
          <w:b/>
          <w:sz w:val="30"/>
          <w:lang w:eastAsia="zh-CN"/>
        </w:rPr>
        <w:t>一</w:t>
      </w:r>
      <w:r>
        <w:rPr>
          <w:rFonts w:hint="eastAsia"/>
          <w:b/>
          <w:sz w:val="30"/>
        </w:rPr>
        <w:t>月</w:t>
      </w:r>
    </w:p>
    <w:p w14:paraId="5DBC65AF">
      <w:pPr>
        <w:pStyle w:val="2"/>
        <w:sectPr>
          <w:pgSz w:w="11906" w:h="16838"/>
          <w:pgMar w:top="1440" w:right="1800" w:bottom="1440" w:left="1800" w:header="851" w:footer="992" w:gutter="0"/>
          <w:cols w:space="425" w:num="1"/>
          <w:docGrid w:type="lines" w:linePitch="312" w:charSpace="0"/>
        </w:sectPr>
      </w:pPr>
    </w:p>
    <w:p w14:paraId="61AB3644">
      <w:pPr>
        <w:widowControl/>
        <w:jc w:val="center"/>
        <w:rPr>
          <w:rFonts w:ascii="黑体" w:hAnsi="黑体" w:eastAsia="黑体" w:cs="黑体"/>
          <w:b/>
          <w:bCs/>
          <w:color w:val="000000"/>
          <w:kern w:val="0"/>
          <w:sz w:val="32"/>
          <w:szCs w:val="32"/>
          <w:lang w:bidi="ar"/>
        </w:rPr>
      </w:pPr>
      <w:r>
        <w:rPr>
          <w:rFonts w:hint="eastAsia" w:ascii="黑体" w:hAnsi="黑体" w:eastAsia="黑体" w:cs="黑体"/>
          <w:b/>
          <w:bCs/>
          <w:color w:val="000000"/>
          <w:kern w:val="0"/>
          <w:sz w:val="32"/>
          <w:szCs w:val="32"/>
          <w:lang w:val="en-US" w:eastAsia="zh-CN" w:bidi="ar"/>
        </w:rPr>
        <w:t>个案工作</w:t>
      </w:r>
      <w:r>
        <w:rPr>
          <w:rFonts w:hint="eastAsia" w:ascii="黑体" w:hAnsi="黑体" w:eastAsia="黑体" w:cs="黑体"/>
          <w:b/>
          <w:bCs/>
          <w:color w:val="000000"/>
          <w:kern w:val="0"/>
          <w:sz w:val="32"/>
          <w:szCs w:val="32"/>
          <w:lang w:bidi="ar"/>
        </w:rPr>
        <w:t>课程真实项目案例库</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548CC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3A2D88C3">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课程名称</w:t>
            </w:r>
          </w:p>
        </w:tc>
        <w:tc>
          <w:tcPr>
            <w:tcW w:w="2130" w:type="dxa"/>
          </w:tcPr>
          <w:p w14:paraId="2533F6AA">
            <w:pPr>
              <w:widowControl/>
              <w:jc w:val="center"/>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个案工作</w:t>
            </w:r>
          </w:p>
        </w:tc>
        <w:tc>
          <w:tcPr>
            <w:tcW w:w="2131" w:type="dxa"/>
          </w:tcPr>
          <w:p w14:paraId="39F58751">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学时</w:t>
            </w:r>
          </w:p>
        </w:tc>
        <w:tc>
          <w:tcPr>
            <w:tcW w:w="2131" w:type="dxa"/>
          </w:tcPr>
          <w:p w14:paraId="720B1817">
            <w:pPr>
              <w:widowControl/>
              <w:jc w:val="center"/>
              <w:rPr>
                <w:rFonts w:hint="default" w:ascii="仿宋_GB2312" w:hAnsi="仿宋_GB2312" w:eastAsia="仿宋_GB2312" w:cs="仿宋_GB2312"/>
                <w:color w:val="000000"/>
                <w:kern w:val="0"/>
                <w:sz w:val="36"/>
                <w:szCs w:val="36"/>
                <w:lang w:val="en-US" w:eastAsia="zh-CN" w:bidi="ar"/>
              </w:rPr>
            </w:pPr>
            <w:r>
              <w:rPr>
                <w:rFonts w:hint="eastAsia" w:ascii="仿宋_GB2312" w:hAnsi="仿宋_GB2312" w:eastAsia="仿宋_GB2312" w:cs="仿宋_GB2312"/>
                <w:color w:val="000000"/>
                <w:kern w:val="0"/>
                <w:sz w:val="28"/>
                <w:szCs w:val="28"/>
                <w:lang w:val="en-US" w:eastAsia="zh-CN" w:bidi="ar"/>
              </w:rPr>
              <w:t>64</w:t>
            </w:r>
          </w:p>
        </w:tc>
      </w:tr>
      <w:tr w14:paraId="45561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D4EE52C">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适用专业</w:t>
            </w:r>
          </w:p>
        </w:tc>
        <w:tc>
          <w:tcPr>
            <w:tcW w:w="2130" w:type="dxa"/>
          </w:tcPr>
          <w:p w14:paraId="241AE72A">
            <w:pPr>
              <w:widowControl/>
              <w:jc w:val="center"/>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社会工作</w:t>
            </w:r>
          </w:p>
        </w:tc>
        <w:tc>
          <w:tcPr>
            <w:tcW w:w="2131" w:type="dxa"/>
          </w:tcPr>
          <w:p w14:paraId="732BCC5A">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适用年级</w:t>
            </w:r>
          </w:p>
        </w:tc>
        <w:tc>
          <w:tcPr>
            <w:tcW w:w="2131" w:type="dxa"/>
          </w:tcPr>
          <w:p w14:paraId="126FEEFE">
            <w:pPr>
              <w:widowControl/>
              <w:jc w:val="center"/>
              <w:rPr>
                <w:rFonts w:hint="eastAsia" w:ascii="仿宋_GB2312" w:hAnsi="仿宋_GB2312" w:eastAsia="仿宋_GB2312" w:cs="仿宋_GB2312"/>
                <w:color w:val="000000"/>
                <w:kern w:val="0"/>
                <w:sz w:val="36"/>
                <w:szCs w:val="36"/>
                <w:lang w:val="en-US" w:eastAsia="zh-CN" w:bidi="ar"/>
              </w:rPr>
            </w:pPr>
            <w:r>
              <w:rPr>
                <w:rFonts w:hint="eastAsia" w:ascii="仿宋_GB2312" w:hAnsi="仿宋_GB2312" w:eastAsia="仿宋_GB2312" w:cs="仿宋_GB2312"/>
                <w:color w:val="000000"/>
                <w:kern w:val="0"/>
                <w:sz w:val="28"/>
                <w:szCs w:val="28"/>
                <w:lang w:val="en-US" w:eastAsia="zh-CN" w:bidi="ar"/>
              </w:rPr>
              <w:t>大一</w:t>
            </w:r>
          </w:p>
        </w:tc>
      </w:tr>
      <w:tr w14:paraId="391B0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9746E6E">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制订人</w:t>
            </w:r>
          </w:p>
        </w:tc>
        <w:tc>
          <w:tcPr>
            <w:tcW w:w="2130" w:type="dxa"/>
          </w:tcPr>
          <w:p w14:paraId="3FB3A8C6">
            <w:pPr>
              <w:widowControl/>
              <w:jc w:val="center"/>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许菊香</w:t>
            </w:r>
          </w:p>
        </w:tc>
        <w:tc>
          <w:tcPr>
            <w:tcW w:w="2131" w:type="dxa"/>
          </w:tcPr>
          <w:p w14:paraId="087DF24C">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时间</w:t>
            </w:r>
          </w:p>
        </w:tc>
        <w:tc>
          <w:tcPr>
            <w:tcW w:w="2131" w:type="dxa"/>
          </w:tcPr>
          <w:p w14:paraId="361B5A4F">
            <w:pPr>
              <w:widowControl/>
              <w:jc w:val="center"/>
              <w:rPr>
                <w:rFonts w:hint="default" w:ascii="仿宋_GB2312" w:hAnsi="仿宋_GB2312" w:eastAsia="仿宋_GB2312" w:cs="仿宋_GB2312"/>
                <w:color w:val="000000"/>
                <w:kern w:val="0"/>
                <w:sz w:val="36"/>
                <w:szCs w:val="36"/>
                <w:lang w:val="en-US" w:eastAsia="zh-CN" w:bidi="ar"/>
              </w:rPr>
            </w:pPr>
          </w:p>
        </w:tc>
      </w:tr>
      <w:tr w14:paraId="48793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restart"/>
            <w:vAlign w:val="center"/>
          </w:tcPr>
          <w:p w14:paraId="7D5A625F">
            <w:pPr>
              <w:widowControl/>
              <w:jc w:val="center"/>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课程目标</w:t>
            </w:r>
          </w:p>
        </w:tc>
        <w:tc>
          <w:tcPr>
            <w:tcW w:w="6392" w:type="dxa"/>
            <w:gridSpan w:val="3"/>
          </w:tcPr>
          <w:p w14:paraId="1F8D987C">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知识与技能：使学生能正确掌握</w:t>
            </w:r>
            <w:r>
              <w:rPr>
                <w:rFonts w:hint="eastAsia" w:ascii="仿宋_GB2312" w:hAnsi="仿宋_GB2312" w:eastAsia="仿宋_GB2312" w:cs="仿宋_GB2312"/>
                <w:color w:val="000000"/>
                <w:kern w:val="0"/>
                <w:sz w:val="28"/>
                <w:szCs w:val="28"/>
                <w:lang w:val="en-US" w:eastAsia="zh-CN" w:bidi="ar"/>
              </w:rPr>
              <w:t>个案工作</w:t>
            </w:r>
            <w:r>
              <w:rPr>
                <w:rFonts w:hint="eastAsia" w:ascii="仿宋_GB2312" w:hAnsi="仿宋_GB2312" w:eastAsia="仿宋_GB2312" w:cs="仿宋_GB2312"/>
                <w:color w:val="000000"/>
                <w:kern w:val="0"/>
                <w:sz w:val="28"/>
                <w:szCs w:val="28"/>
                <w:lang w:bidi="ar"/>
              </w:rPr>
              <w:t>知识，获得</w:t>
            </w:r>
            <w:r>
              <w:rPr>
                <w:rFonts w:hint="eastAsia" w:ascii="仿宋_GB2312" w:hAnsi="仿宋_GB2312" w:eastAsia="仿宋_GB2312" w:cs="仿宋_GB2312"/>
                <w:color w:val="000000"/>
                <w:kern w:val="0"/>
                <w:sz w:val="28"/>
                <w:szCs w:val="28"/>
                <w:lang w:val="en-US" w:eastAsia="zh-CN" w:bidi="ar"/>
              </w:rPr>
              <w:t>个案工作</w:t>
            </w:r>
            <w:r>
              <w:rPr>
                <w:rFonts w:hint="eastAsia" w:ascii="仿宋_GB2312" w:hAnsi="仿宋_GB2312" w:eastAsia="仿宋_GB2312" w:cs="仿宋_GB2312"/>
                <w:color w:val="000000"/>
                <w:kern w:val="0"/>
                <w:sz w:val="28"/>
                <w:szCs w:val="28"/>
                <w:lang w:bidi="ar"/>
              </w:rPr>
              <w:t>技能。</w:t>
            </w:r>
          </w:p>
        </w:tc>
      </w:tr>
      <w:tr w14:paraId="7379E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tcPr>
          <w:p w14:paraId="0F9DCC33">
            <w:pPr>
              <w:widowControl/>
              <w:jc w:val="distribute"/>
              <w:rPr>
                <w:rFonts w:ascii="仿宋_GB2312" w:hAnsi="仿宋_GB2312" w:eastAsia="仿宋_GB2312" w:cs="仿宋_GB2312"/>
                <w:color w:val="000000"/>
                <w:kern w:val="0"/>
                <w:sz w:val="28"/>
                <w:szCs w:val="28"/>
                <w:lang w:bidi="ar"/>
              </w:rPr>
            </w:pPr>
          </w:p>
        </w:tc>
        <w:tc>
          <w:tcPr>
            <w:tcW w:w="6392" w:type="dxa"/>
            <w:gridSpan w:val="3"/>
          </w:tcPr>
          <w:p w14:paraId="73C40858">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过程与方法：使学生能按要求有目的、有层次地掌握知识，掌握方法。</w:t>
            </w:r>
          </w:p>
        </w:tc>
      </w:tr>
      <w:tr w14:paraId="6DDAD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tcPr>
          <w:p w14:paraId="363C6081">
            <w:pPr>
              <w:widowControl/>
              <w:jc w:val="distribute"/>
              <w:rPr>
                <w:rFonts w:ascii="仿宋_GB2312" w:hAnsi="仿宋_GB2312" w:eastAsia="仿宋_GB2312" w:cs="仿宋_GB2312"/>
                <w:color w:val="000000"/>
                <w:kern w:val="0"/>
                <w:sz w:val="28"/>
                <w:szCs w:val="28"/>
                <w:lang w:bidi="ar"/>
              </w:rPr>
            </w:pPr>
          </w:p>
        </w:tc>
        <w:tc>
          <w:tcPr>
            <w:tcW w:w="6392" w:type="dxa"/>
            <w:gridSpan w:val="3"/>
          </w:tcPr>
          <w:p w14:paraId="1A106125">
            <w:pPr>
              <w:widowControl/>
              <w:jc w:val="left"/>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bidi="ar"/>
              </w:rPr>
              <w:t>情感态度与价值观：培养学生树立正确的人生观、世界观、价值观，</w:t>
            </w:r>
            <w:r>
              <w:rPr>
                <w:rFonts w:hint="eastAsia" w:ascii="仿宋_GB2312" w:hAnsi="仿宋_GB2312" w:eastAsia="仿宋_GB2312" w:cs="仿宋_GB2312"/>
                <w:color w:val="000000"/>
                <w:kern w:val="0"/>
                <w:sz w:val="28"/>
                <w:szCs w:val="28"/>
                <w:lang w:val="en-US" w:eastAsia="zh-CN" w:bidi="ar"/>
              </w:rPr>
              <w:t>培养学生专业伦理与职业道德。</w:t>
            </w:r>
          </w:p>
        </w:tc>
      </w:tr>
      <w:tr w14:paraId="78CC1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A637986">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eastAsia="zh-CN" w:bidi="ar"/>
              </w:rPr>
              <w:t>申报类型</w:t>
            </w:r>
          </w:p>
        </w:tc>
        <w:tc>
          <w:tcPr>
            <w:tcW w:w="6392" w:type="dxa"/>
            <w:gridSpan w:val="3"/>
          </w:tcPr>
          <w:p w14:paraId="42E61FBC">
            <w:pPr>
              <w:widowControl/>
              <w:jc w:val="center"/>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eastAsia="zh-CN" w:bidi="ar"/>
              </w:rPr>
              <w:sym w:font="Wingdings 2" w:char="0052"/>
            </w:r>
            <w:r>
              <w:rPr>
                <w:rFonts w:hint="eastAsia" w:ascii="仿宋_GB2312" w:hAnsi="仿宋_GB2312" w:eastAsia="仿宋_GB2312" w:cs="仿宋_GB2312"/>
                <w:color w:val="000000"/>
                <w:kern w:val="0"/>
                <w:sz w:val="28"/>
                <w:szCs w:val="28"/>
                <w:lang w:eastAsia="zh-CN" w:bidi="ar"/>
              </w:rPr>
              <w:t>申报认定</w:t>
            </w:r>
            <w:r>
              <w:rPr>
                <w:rFonts w:hint="eastAsia" w:ascii="仿宋_GB2312" w:hAnsi="仿宋_GB2312" w:eastAsia="仿宋_GB2312" w:cs="仿宋_GB2312"/>
                <w:color w:val="000000"/>
                <w:kern w:val="0"/>
                <w:sz w:val="28"/>
                <w:szCs w:val="28"/>
                <w:lang w:val="en-US" w:eastAsia="zh-CN" w:bidi="ar"/>
              </w:rPr>
              <w:t xml:space="preserve">     </w:t>
            </w:r>
            <w:r>
              <w:rPr>
                <w:rFonts w:hint="eastAsia" w:ascii="仿宋_GB2312" w:hAnsi="仿宋_GB2312" w:eastAsia="仿宋_GB2312" w:cs="仿宋_GB2312"/>
                <w:color w:val="000000"/>
                <w:kern w:val="0"/>
                <w:sz w:val="28"/>
                <w:szCs w:val="28"/>
                <w:lang w:eastAsia="zh-CN" w:bidi="ar"/>
              </w:rPr>
              <w:sym w:font="Wingdings 2" w:char="00A3"/>
            </w:r>
            <w:r>
              <w:rPr>
                <w:rFonts w:hint="eastAsia" w:ascii="仿宋_GB2312" w:hAnsi="仿宋_GB2312" w:eastAsia="仿宋_GB2312" w:cs="仿宋_GB2312"/>
                <w:color w:val="000000"/>
                <w:kern w:val="0"/>
                <w:sz w:val="28"/>
                <w:szCs w:val="28"/>
                <w:lang w:val="en-US" w:eastAsia="zh-CN" w:bidi="ar"/>
              </w:rPr>
              <w:t>申报立项</w:t>
            </w:r>
          </w:p>
        </w:tc>
      </w:tr>
    </w:tbl>
    <w:p w14:paraId="2B26C814">
      <w:pPr>
        <w:pStyle w:val="2"/>
        <w:ind w:left="0" w:leftChars="0" w:firstLine="0" w:firstLineChars="0"/>
      </w:pPr>
    </w:p>
    <w:p w14:paraId="48DFE4E0">
      <w:pPr>
        <w:widowControl/>
        <w:spacing w:before="156" w:beforeLines="50" w:after="156" w:afterLines="50" w:line="360" w:lineRule="auto"/>
        <w:jc w:val="both"/>
        <w:rPr>
          <w:rFonts w:hint="eastAsia" w:ascii="黑体" w:hAnsi="黑体" w:eastAsia="黑体" w:cs="黑体"/>
          <w:color w:val="000000"/>
          <w:kern w:val="0"/>
          <w:sz w:val="28"/>
          <w:szCs w:val="28"/>
          <w:lang w:bidi="ar"/>
        </w:rPr>
      </w:pPr>
    </w:p>
    <w:p w14:paraId="03DEDD26">
      <w:pPr>
        <w:widowControl/>
        <w:spacing w:before="156" w:beforeLines="50" w:after="156" w:afterLines="50" w:line="360" w:lineRule="auto"/>
        <w:jc w:val="center"/>
        <w:rPr>
          <w:rFonts w:hint="eastAsia" w:ascii="黑体" w:hAnsi="黑体" w:eastAsia="黑体" w:cs="黑体"/>
          <w:color w:val="000000"/>
          <w:kern w:val="0"/>
          <w:sz w:val="28"/>
          <w:szCs w:val="28"/>
          <w:lang w:bidi="ar"/>
        </w:rPr>
      </w:pPr>
      <w:r>
        <w:rPr>
          <w:rFonts w:hint="eastAsia" w:ascii="黑体" w:hAnsi="黑体" w:eastAsia="黑体" w:cs="黑体"/>
          <w:color w:val="000000"/>
          <w:kern w:val="0"/>
          <w:sz w:val="28"/>
          <w:szCs w:val="28"/>
          <w:lang w:bidi="ar"/>
        </w:rPr>
        <w:t>项目（案例）</w:t>
      </w:r>
      <w:r>
        <w:rPr>
          <w:rFonts w:hint="eastAsia" w:ascii="黑体" w:hAnsi="黑体" w:eastAsia="黑体" w:cs="黑体"/>
          <w:color w:val="000000"/>
          <w:kern w:val="0"/>
          <w:sz w:val="28"/>
          <w:szCs w:val="28"/>
          <w:lang w:eastAsia="zh-CN" w:bidi="ar"/>
        </w:rPr>
        <w:t>名称</w:t>
      </w:r>
      <w:r>
        <w:rPr>
          <w:rFonts w:hint="eastAsia" w:ascii="黑体" w:hAnsi="黑体" w:eastAsia="黑体" w:cs="黑体"/>
          <w:color w:val="000000"/>
          <w:kern w:val="0"/>
          <w:sz w:val="28"/>
          <w:szCs w:val="28"/>
          <w:lang w:bidi="ar"/>
        </w:rPr>
        <w:t>：童心同心乐成长——福利院儿童个案服务案例</w:t>
      </w:r>
    </w:p>
    <w:p w14:paraId="31012010">
      <w:pPr>
        <w:widowControl/>
        <w:numPr>
          <w:ilvl w:val="0"/>
          <w:numId w:val="1"/>
        </w:numPr>
        <w:spacing w:before="156" w:beforeLines="50" w:after="156" w:afterLines="50" w:line="360" w:lineRule="auto"/>
        <w:jc w:val="left"/>
        <w:rPr>
          <w:rFonts w:ascii="黑体" w:hAnsi="黑体" w:eastAsia="黑体" w:cs="黑体"/>
          <w:color w:val="000000"/>
          <w:kern w:val="0"/>
          <w:sz w:val="28"/>
          <w:szCs w:val="28"/>
          <w:lang w:bidi="ar"/>
        </w:rPr>
      </w:pPr>
      <w:r>
        <w:rPr>
          <w:rFonts w:hint="eastAsia" w:ascii="黑体" w:hAnsi="黑体" w:eastAsia="黑体" w:cs="宋体"/>
          <w:bCs/>
          <w:color w:val="000000"/>
          <w:kern w:val="0"/>
          <w:sz w:val="28"/>
          <w:szCs w:val="28"/>
          <w:lang w:bidi="ar"/>
        </w:rPr>
        <w:t>教学目标</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7D20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166317DA">
            <w:pPr>
              <w:pStyle w:val="2"/>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通过本课程的学习，学生应达到以下目标：</w:t>
            </w:r>
          </w:p>
          <w:p w14:paraId="7C20D244">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目标1：了解个案工作的定义、特点和历史；了解个案工作的具体实施领域。了解西方个案工作的哲学基础；了解西方国家和我国社会工作的专业价值与专业伦理；使学生学习在实践中如何实现专业价值和专业伦理的内化。</w:t>
            </w:r>
          </w:p>
          <w:p w14:paraId="3345DFA7">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目标2：了解对个案工作者素质的要求；了解个案工作者在知识结构、实践能力和精神素质等方面的要求。</w:t>
            </w:r>
          </w:p>
          <w:p w14:paraId="4E7159F9">
            <w:pPr>
              <w:pStyle w:val="2"/>
              <w:ind w:firstLine="480" w:firstLineChars="200"/>
              <w:rPr>
                <w:sz w:val="20"/>
                <w:lang w:bidi="ar"/>
              </w:rPr>
            </w:pPr>
            <w:r>
              <w:rPr>
                <w:rFonts w:hint="eastAsia" w:ascii="宋体" w:hAnsi="宋体" w:eastAsia="宋体" w:cs="仿宋_GB2312"/>
                <w:iCs/>
                <w:color w:val="000000"/>
                <w:kern w:val="0"/>
                <w:sz w:val="24"/>
                <w:szCs w:val="24"/>
                <w:lang w:bidi="ar"/>
              </w:rPr>
              <w:t>目标3：了解在个案工作中的沟通、记录和评估技巧；了解在个案工作实践中如何运用这些基本技巧；了解和掌握个案工作关系的建立技巧；了解和掌握个案工作过程的各个阶段的工作内容；了解如何在个案工作实践中运用程序控制的技巧。了解和认识个案工作关系的重要意义；掌握基本的工作模式；专业反思。</w:t>
            </w:r>
          </w:p>
        </w:tc>
      </w:tr>
    </w:tbl>
    <w:p w14:paraId="7EA048F9">
      <w:pPr>
        <w:pStyle w:val="2"/>
        <w:rPr>
          <w:lang w:bidi="ar"/>
        </w:rPr>
      </w:pPr>
    </w:p>
    <w:p w14:paraId="47DDDC22">
      <w:pPr>
        <w:widowControl/>
        <w:numPr>
          <w:ilvl w:val="0"/>
          <w:numId w:val="2"/>
        </w:numPr>
        <w:spacing w:before="156" w:beforeLines="50" w:after="156" w:afterLines="50" w:line="360" w:lineRule="auto"/>
        <w:jc w:val="left"/>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项目/案例内容</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0D6D5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31755BB3">
            <w:pPr>
              <w:pStyle w:val="2"/>
              <w:ind w:firstLine="482" w:firstLineChars="200"/>
              <w:jc w:val="center"/>
              <w:rPr>
                <w:rFonts w:hint="eastAsia" w:ascii="宋体" w:hAnsi="宋体" w:eastAsia="宋体" w:cs="仿宋_GB2312"/>
                <w:b/>
                <w:bCs/>
                <w:iCs/>
                <w:color w:val="000000"/>
                <w:kern w:val="0"/>
                <w:sz w:val="24"/>
                <w:szCs w:val="24"/>
                <w:lang w:bidi="ar"/>
              </w:rPr>
            </w:pPr>
            <w:r>
              <w:rPr>
                <w:rFonts w:hint="eastAsia" w:ascii="宋体" w:hAnsi="宋体" w:eastAsia="宋体" w:cs="仿宋_GB2312"/>
                <w:b/>
                <w:bCs/>
                <w:iCs/>
                <w:color w:val="000000"/>
                <w:kern w:val="0"/>
                <w:sz w:val="24"/>
                <w:szCs w:val="24"/>
                <w:lang w:bidi="ar"/>
              </w:rPr>
              <w:t>童心同心乐成长——福利院儿童个案服务案例</w:t>
            </w:r>
          </w:p>
          <w:p w14:paraId="3F7C3D2A">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一、背景介绍</w:t>
            </w:r>
          </w:p>
          <w:p w14:paraId="3A653A46">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（一）项目简介</w:t>
            </w:r>
          </w:p>
          <w:p w14:paraId="6004DCFF">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为解决好孤残儿童存在的问题，切实满足他们的需求，促进他们的健康成长和正常的社会化，铜陵市明德社会工作事务所承接了福彩公益金“蒲公英成长计划——福利院孤残儿童社会工作服务项目”，项目是针对院舍孤残儿童的特殊情况，采用“1+1+1”形式，即“督导+社工+义工”的服务模式，提供一系列的学业辅导、情感辅导、生活支持的成长支援服务，具备预防性、发展性和治疗性三方面的服务性质。</w:t>
            </w:r>
          </w:p>
          <w:p w14:paraId="78C3A817">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（二）服务对象背景介绍</w:t>
            </w:r>
          </w:p>
          <w:p w14:paraId="0D87E009">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1.服务对象个人基本情况</w:t>
            </w:r>
          </w:p>
          <w:p w14:paraId="2E42B8E3">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服务对象姓桂，女，今年14岁，患有孤独症（一种较为严重的发育障碍性疾病）不能像正常孩子一样上学。日常生活中，生活不能自理，大小便需要保育员的提醒，行动能力有限，没有人陪同时易摔倒。服务对象还有自残和攻击他人的行为，与人交往中会不自觉的对他人进行攻击。服务对象语言表达能力不强，表达的内容有限，但是喜欢结识新朋友，每次看到有外来的人，服务对象就会表现得很兴奋，并且主动上前与陌生人问好，但是缺乏与新朋友的相处基本的认识，在进行问好的内容之后，服务对象就会喜欢重复同一话题和动作，这种情况仅限于面对外来的人，服务对象与在同一间房间里的其他小朋友没有互动，有时候会有攻击小朋友的行为。</w:t>
            </w:r>
          </w:p>
          <w:p w14:paraId="55D76AB6">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2.家庭情况</w:t>
            </w:r>
          </w:p>
          <w:p w14:paraId="3FEEBAAB">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服务对象家庭健全，并且父母都在铜陵本地，都是上班族。服务对象是家中唯一的孩子，是被父母寄养在福利院，白天会待在福利院和其他小朋友一起生活，由保育员统一照料，晚上会被父母接回家休息，早上再送来福利院。</w:t>
            </w:r>
          </w:p>
          <w:p w14:paraId="02E1B1A5">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二、分析预估</w:t>
            </w:r>
          </w:p>
          <w:p w14:paraId="70CFDC44">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（一）收集资料</w:t>
            </w:r>
          </w:p>
          <w:p w14:paraId="6B192A6B">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社会工作者通过多种途径来收集资料，以便更加全面的了解服务对象。主要通过访谈、观察、咨询与查询评估量表的方式来进行资料收集与情况判断。</w:t>
            </w:r>
          </w:p>
          <w:p w14:paraId="29628B44">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社会工作者与服务对象进行沟通交流，通过观察服务对象的语言和非语言行为，了解信息；与福利院的保育员和社工进行交流，对服务对象在生活中的表现精确把握，收集需要注意的事项。社会工作者在初次见面和以后的接触中，观察服务对象的行为，细致的记录下来，形成社会工作者自己的观察记录。同时，社会工作者也积极的向福利院医生进行咨询，询问从医学上了解该群体特征，学习如何面对该群体。</w:t>
            </w:r>
          </w:p>
          <w:p w14:paraId="065CF1F2">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（二）问题界定</w:t>
            </w:r>
          </w:p>
          <w:p w14:paraId="718B623E">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1.行为问题</w:t>
            </w:r>
          </w:p>
          <w:p w14:paraId="4AE8878D">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（1）服务对象脸部，手部有多处伤痕，有新伤与旧伤，自我伤残行为时间较长且程度较严重。</w:t>
            </w:r>
          </w:p>
          <w:p w14:paraId="5F8F6B6B">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（2）服务对象在与他人的交往中，对他人也有攻击倾向，如掐人和忽然拍打他人行为。</w:t>
            </w:r>
          </w:p>
          <w:p w14:paraId="6A81BC7E">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2.社会交流障碍</w:t>
            </w:r>
          </w:p>
          <w:p w14:paraId="65922989">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服务对象虽然表达能力不强，但喜欢表达，爱好交流与他人相处，但不懂与他人相处的方式与内容，只会重复同一动作与话题。</w:t>
            </w:r>
          </w:p>
          <w:p w14:paraId="14098F2E">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3.环境问题</w:t>
            </w:r>
          </w:p>
          <w:p w14:paraId="48E39232">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（1）服务对象的生活环境较为单一，生活较为单调，文娱活动缺乏。</w:t>
            </w:r>
          </w:p>
          <w:p w14:paraId="6931B7FC">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（2）服务对象与父母相处时间相对较少，服务对象感受亲情关怀的不足，家庭环境作用的缺失。</w:t>
            </w:r>
          </w:p>
          <w:p w14:paraId="640C5EB4">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（三）服务对象资源分析</w:t>
            </w:r>
          </w:p>
          <w:p w14:paraId="3084FECA">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 xml:space="preserve">1.服务对象家中只有服务对象一个孩子，对待她比较用心，父母每次都是明确地告诉服务对象他们是去上班，才不能照顾服务对象，服务对象相比与福利院其他小朋友也懂得较多，认识26字英文字母并且知道基础的英文单词。 </w:t>
            </w:r>
          </w:p>
          <w:p w14:paraId="684BC980">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2.福利院的保育员说到服务对象在众多的儿童中相对较乖，对待服务对象态度也较温和，在日常生活中也有着保育员的全天照顾。</w:t>
            </w:r>
          </w:p>
          <w:p w14:paraId="14222308">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3.服务对象的生活环境中，有其他小朋友一起生活，能够接触到较多的同辈群体。</w:t>
            </w:r>
          </w:p>
          <w:p w14:paraId="299570B1">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4.服务对象的性格较为活泼，喜欢与他人交流，且记忆力较好，受到许多人的夸奖。</w:t>
            </w:r>
          </w:p>
          <w:p w14:paraId="14D626A9">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三、服务计划</w:t>
            </w:r>
          </w:p>
          <w:p w14:paraId="7F23F9D7">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（一）服务目的与目标</w:t>
            </w:r>
          </w:p>
          <w:p w14:paraId="556F0C3D">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1.服务目的</w:t>
            </w:r>
          </w:p>
          <w:p w14:paraId="2F1CBE6F">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通过对服务对象进行社工服务，关怀服务对象，增加服务对象的生活乐趣，促进服务对象健康的成长，营造关怀特殊儿童的社会氛围。</w:t>
            </w:r>
          </w:p>
          <w:p w14:paraId="16C8BF43">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2.服务目标</w:t>
            </w:r>
          </w:p>
          <w:p w14:paraId="7543519D">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（1）扩大支持网络。服务对象与其同房间的小朋友有着较长时间的接触，但因各自的特殊原因，无法进行良好交流，应增强服务对象与同辈群体的互动，注重培养服务对象与同辈群体正确的交流方式。</w:t>
            </w:r>
          </w:p>
          <w:p w14:paraId="74EA8839">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（2）培养正确的日常习惯。服务对象的情况特殊性，正确的日常生活习惯是最切实可行的，也是最为需要的。</w:t>
            </w:r>
          </w:p>
          <w:p w14:paraId="39F76DF8">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（3）增强服务对象感受到亲情的关怀。从服务对象的家庭着手，增强父母对服务对象的问题的处理能力。</w:t>
            </w:r>
          </w:p>
          <w:p w14:paraId="036AAF8C">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（4）尽力减少自残及攻击他人的行为。服务对象的自我伤残和攻击他人的行为较为严重，但是该行为持续时间长，难以根除，要在活动中尽量减少服务对象这种意识。</w:t>
            </w:r>
          </w:p>
          <w:p w14:paraId="36687763">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（二）服务策略</w:t>
            </w:r>
          </w:p>
          <w:p w14:paraId="6A18F6E8">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1.理论依据</w:t>
            </w:r>
          </w:p>
          <w:p w14:paraId="7E47A74E">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（1）需要理论</w:t>
            </w:r>
          </w:p>
          <w:p w14:paraId="032FC07E">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需要是人类为了生存、福祉和自我实现的生理、心理、经济、文化和社会要求。从某种意义上说，需要可以看成是人类一切活动的出发点和归宿。人类的需要有不同的类型，布拉德肖(J.Bradshaw)认为人类需要可以分为四种类型，分别是感觉性需要，表达性需要，规范性需要，比较性需要。感觉性需要强调的是个人来表达其感觉到的需要。它是个人知觉到的需要，也是个人过去对于问题的经验。它属于一种个人主观的感受，是个人真正意识到的需要。表达性需要指的是将感觉性需要转换成个人表达出来的需要，表现出个人实际需要什么。规范性需要是由社会工作者或社会科学研究人员根据研究所界定的最低需要标准而定的。比较性需要是规范性需要的延生，依据同类型或类似的群体或个人的需要，以他们的需要为标准来进行比较与参考，进而确定需要。在本次服务中，服务对象因年龄、生理状况的原因，他的表达性需求不能够通过自身很好的实现，需要社会工作者介入去实现他的规范性需求。</w:t>
            </w:r>
          </w:p>
          <w:p w14:paraId="33F2B8E3">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（2）操作条件反射理论</w:t>
            </w:r>
          </w:p>
          <w:p w14:paraId="475FF30F">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斯金纳提出的操作性条件反射，认为在一定刺激情景中，有机体某种反应结果能满足某种需要，以后在相同的情境中其反应概率就会提高。在操作性条件反射中任何能增加反应出现概率的事件都可以称之为强化。强化物分为两种，一种是正强化物，呈现他们就会增加反应出现的概率。另一种是负强化物，撤销他们就会增加反应出现的概率。</w:t>
            </w:r>
          </w:p>
          <w:p w14:paraId="5A146CFE">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（3）社会学习理论</w:t>
            </w:r>
          </w:p>
          <w:p w14:paraId="415680B4">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班杜拉认为人们不仅能够通过直接经验学习，还能进行替代学习，也就是通过观察他人而学习。行动者在活动中不仅观察他人行为，也观察他人行为产生的后果。行动者并不需要经历自身的行为的结果，而可以通过观察榜样行为的结果来获得替代性的强化。</w:t>
            </w:r>
          </w:p>
          <w:p w14:paraId="2EC5DFE3">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社会工作者主要从服务对象本身进行直接介入与从服务对象的环境入手，间接介入。</w:t>
            </w:r>
          </w:p>
          <w:p w14:paraId="6FF04C05">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2.直接介入</w:t>
            </w:r>
          </w:p>
          <w:p w14:paraId="5C859F42">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（1）社会工作者以陪伴为主，在服务过程中与案主进行治疗性沟通，在日常活动中逐步培养服务对象的相关意识。</w:t>
            </w:r>
          </w:p>
          <w:p w14:paraId="13B882B3">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（2）社会工作者与其他社会工作者尽量争取在一起开展个案活动，加强不同服务对象之间的互动，培养良好的相处模式。</w:t>
            </w:r>
          </w:p>
          <w:p w14:paraId="143F0F31">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（3）实行奖惩制度，在服务对象做出良好的行为，有良好的表现时，社会工作者要及时给予夸奖表扬行为。反之，则采取相应的惩罚行动。</w:t>
            </w:r>
          </w:p>
          <w:p w14:paraId="20C6321C">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3、间接介入</w:t>
            </w:r>
          </w:p>
          <w:p w14:paraId="372760E2">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与服务对象的父母取得联系，共同致力于服务对象的改变，增强服务对象感受到来自父母的亲情关怀。</w:t>
            </w:r>
          </w:p>
          <w:p w14:paraId="3B492CFD">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注：过程中，要以服务对象为中心，但不可有纵容服务对象的行为。</w:t>
            </w:r>
          </w:p>
          <w:p w14:paraId="4355D813">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（三）服务程序</w:t>
            </w:r>
          </w:p>
          <w:p w14:paraId="11AED48D">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开展个案工作是一个动态的过程。社会工作者依据需要理论，行为主义理论及社会学习理论向服务对象提供直接和间接的服务。</w:t>
            </w:r>
          </w:p>
          <w:p w14:paraId="76D2CC6C">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四、服务计划实施过程</w:t>
            </w:r>
          </w:p>
          <w:p w14:paraId="7377FC85">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对服务对象进行了为期半年的个案辅导，提供了十二次的个案服务。根据服务对象的个人情况，有目的有计划的对服务对象开展服务。</w:t>
            </w:r>
          </w:p>
          <w:p w14:paraId="2782D896">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（一）接案阶段：第一次个案服务</w:t>
            </w:r>
          </w:p>
          <w:p w14:paraId="10FEA77E">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社会工作者要与服务对象有一对一的认同感，双方建立信任的关系桥梁，创造一个安全的交往氛围。注重与服务对象进行沟通，并告诉服务对象以后的服务时间和本人是她的服务者。在与服务对象的接触过程中，要一直陪着服务对象身边，一边可以保证服务对象的安全，一边培养服务对象对社会工作者的熟悉感。同时，尽量配合服务对象的行动，在合理的范围内，可以依从服务对象的要求。</w:t>
            </w:r>
          </w:p>
          <w:p w14:paraId="06310634">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（二）预估阶段：第二次个案服务</w:t>
            </w:r>
          </w:p>
          <w:p w14:paraId="3EA8A749">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通过与服务对象本人、福利院保育员、医生、专职社会工作者进行访谈、咨询，全面了解服务对象的基本情况与生活环境情况，确定服务对象自残与攻击他人行为、生活环境单调、不懂人际交往等问题。</w:t>
            </w:r>
          </w:p>
          <w:p w14:paraId="092DF893">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（三）制定计划阶段：第三次个案服务</w:t>
            </w:r>
          </w:p>
          <w:p w14:paraId="2432930E">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界定了服务对象的问题，征询了督导与医生的意见，采取直接介入和间接介入两种策略对服务对象进行服务，制定了扩大服务对象支持网络、培养正确的日常习惯、尽力减少自残及攻击他人的行为、增强服务对象感受到亲情的关怀等目标。</w:t>
            </w:r>
          </w:p>
          <w:p w14:paraId="7A086C81">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（四）介入阶段：第四次至第十次个案服务</w:t>
            </w:r>
          </w:p>
          <w:p w14:paraId="2BC0C325">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1.第四次至第五次个案服务</w:t>
            </w:r>
          </w:p>
          <w:p w14:paraId="28028B83">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社会工作者着手利用表扬与打手心等强化物对服务对象的自我伤残和攻击他人行为进行纠正。社会工作者着手对服务对象的自我伤残和攻击他人行为进行纠正。在实务过程中，询问服务对象对抠自己和打别人行为的看法，服务对象表示这种行为是不对的，不应该做的。社会工作者对他这种想法给予了肯定，并且进行夸奖。但是，在这同时，服务对象会不自觉的抠自己，社会工作者及时制止，捉住服务对象的手，服务对象会马上承认错误，社会工作者对服务对象的行为进行批评，并且告诉她，如果下次再发现这种行为，就要打手心。服务对象听到后，立马说不会了。过了一会儿，服务对象又想抠自己，社会工作者就看着她，她抬头对着社会工作者说：我不能抠自己，会疼，妈妈会伤心。社会工作者微笑着表扬着服务对象，为服务对象竖起大拇指，服务对象看到后，也学着自己对自己做，开心地跳起来。社会工作者赶紧注意服务对象的安全，服务对象保持这个手势向其他的小朋友展示，咧着嘴笑。社会工作者用这种奖励手势来鼓励服务对象减少自我伤害的次数，并且潜移默化培养她爱护自己的意识。</w:t>
            </w:r>
          </w:p>
          <w:p w14:paraId="1D9941DF">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2.第六次至第七次个案服务</w:t>
            </w:r>
          </w:p>
          <w:p w14:paraId="23D05F38">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社会工作者以培养服务对象与同辈群体的和睦相处和培养良好习惯为重点。服务对象患有孤独症，但是性格相对来说较为活泼，喜欢说话。在活动中，社会工作者在进行服务时，有意与其他社会工作者合作，将服务对象和房间里的其他小朋友在一起活动，如玩跷跷板，两人木马。社会工作者带领服务对象与其他的小朋友进行沟通，其他的小朋友也有各自的社会工作者，通常的活动是共同坐摇椅。在这个过程中，服务对象通常会主动向我们介绍其他小朋友的名字，每当这个时候社会工作者就会夸奖她。服务对象喜欢找社会工作者们聊天，不怎么与同辈群体聊天。这时，社会工作者将服务对象的话题及面对的人转向其他小朋友，让有的不爱说话渐渐变得活跃起来。在建立沟通桥梁的时，告诉服务对象基本的事项，如对人说话要注视对方，别人没有听到时，不可以攻击的方式引起注意，要微笑示人等等。在服务中，社会工作者会经常以集体活动来加强服务对象们之间的互动，如多个社会工作者和服务对象们一起手拉手转圈圈，服务对象们会特别开心而且会非常配合，有时会自己创新一些姿势在转圈圈时表现，让他们手拉手时告诉他们都是好朋友，并且社会工作者们也会示范良好的交往方式，在娱乐的过程中进行学习。不仅如此，集体活动时，我们会穿插一些基本的日常生活的事项，如早上起床要刷牙，吃饭之前要洗手，见到熟人要问好等，我们会边说边比划，服务对象们会模仿我们，并且重复我们的语言，几次活动的重复，他们会清楚的记得一些日常的习惯。</w:t>
            </w:r>
          </w:p>
          <w:p w14:paraId="0DBE4E22">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3.第八次至第十次个案服务</w:t>
            </w:r>
          </w:p>
          <w:p w14:paraId="72234458">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在这几次的服务中，以服务对象的陪伴为主，同时积极与家庭取得联系，共同帮助服务对象。在福利院保育员的帮助下，联系到了服务对象的父母。在表明身份之后，得到了服务对象父母的信任，和他们共同探讨了服务对象的情况。服务对象的父母表示，由于孩子的先天的不足，十分的无奈与伤心。社会工作者安慰其父母，等到服务对象的父母心情平和的时候讨论服务工作。服务对象的父母对于我的工作是支持的态度，社会工作者首先与服务对象的父母分享了我的服务计划，听取他们的意见，其父母都同意。在确定计划后，社会工作者希望服务对象的父母能够在家中多以夸奖和赞赏的方式对待服务对象，在日常的生活交流中，要慢慢培养服务对象对正确行为观念的认知。同时，社会工作者与服务对象的父母积极联系，在每次服务结束后，社会工作者与服务对象的父母分享今天服务对象的表现，记录服务对象每一个进步的点滴，给予服务对象和其父母的信心。不仅如此，还与服务对象的父母分享服务的主题，让父母在会到家中能够及时地帮助服务对象强化这种概念，与社会工作者双重的影响服务对象，达到服务的目标。通过这一系列的共同努力，用服务对象喜欢接受的方式，让她感受到来自家庭的关怀。</w:t>
            </w:r>
          </w:p>
          <w:p w14:paraId="3B645ECD">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（五）结案阶段：第十一次个案服务</w:t>
            </w:r>
          </w:p>
          <w:p w14:paraId="47426801">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在本次服务中，在陪伴的过程中，社会工作者告诉服务对象以后不能每周六来看望她，我们的专业关系就要结束的消息。让服务对象做好心理准备并及时做好离别情感的处理。</w:t>
            </w:r>
          </w:p>
          <w:p w14:paraId="5F4FF0C8">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（六）评估阶段：第十二次个案服务</w:t>
            </w:r>
          </w:p>
          <w:p w14:paraId="08D486A1">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在陪伴的过程中，观察到服务对象的攻击他人的行为减少，与福利院其他小朋友能良好互动、知晓基本的生活习惯、家庭良好环境氛围的建立，个案服务取得了良好的服务成效。</w:t>
            </w:r>
          </w:p>
          <w:p w14:paraId="040FCC55">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（七）跟踪调查阶段</w:t>
            </w:r>
          </w:p>
          <w:p w14:paraId="203EE174">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个案服务的结束，社会工作者通过回福利院看望服务对象、从福利院的保育员询问服务对象情况、与老师沟通，讨论服务对象后期的服务计划几个方面来对服务对象进行适当性的服务。</w:t>
            </w:r>
          </w:p>
          <w:p w14:paraId="3A6BF3C4">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五、总结评估</w:t>
            </w:r>
          </w:p>
          <w:p w14:paraId="0AC11593">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（一）结案总结</w:t>
            </w:r>
          </w:p>
          <w:p w14:paraId="37314056">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对服务对象进行了为期半年的个案辅导，提供了十二次的个案服务。社会工作者依据自身知识，根据服务对象的基本问题及需求，制定了一系列的辅导目标，如：扩大服务对象支持网络。增强服务对象与同辈群体的互动，服务对象与同房间的小朋友有着较长时间的接触，应注重服务对象与同辈群体正确的交流方式；培养正确的日常习惯；尽力减少自残及攻击他人的行为；进一步拉近服务对象与父母的关系，增强服务对象感受到亲情的关怀。在实施过程中，以尊重的态度与服务对象的长时间接触，获得了服务对象的信任，创造出轻松的氛围。对于服务对象的自我伤残与攻击他人的行为，社工通过奖惩制度，让服务对象观察，社会工作者示范一系列方法，使服务对象的不良行为得以改善。在改善不良行为的同时，对服务对象进行了正确交往方式知识的教育，使其懂得一些基本的交往礼仪与内容。在服务对象家庭这一方面，社会工作者与服务对象的父母取得了良好的沟通交流，双向的对服务对象进行影响。</w:t>
            </w:r>
          </w:p>
          <w:p w14:paraId="7E7155F1">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（二）评估</w:t>
            </w:r>
          </w:p>
          <w:p w14:paraId="77D4A0A9">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 xml:space="preserve">服务对象的现状：服务对象的精神面貌较之以前，有了较大的改变。从一开始的喜欢与人接触，却不懂得如何与人相处，到现在的知道基本的礼仪，能和其他人进行简单的互动，服务对象的自我伤残和攻击他人的行为频率明显减少。在对待服务对象父母这一方面，其父母对社会工作者表示了感谢，并且家庭方面对于服务对象的态度有了更加乐观的看法。服务对象在谈及父母时，相较于以前也是会更加的开心，会不自觉的笑着和社会工作者探讨，也会主动分享有关她与父母的事情给我听。 </w:t>
            </w:r>
          </w:p>
          <w:p w14:paraId="2B069879">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六、专业反思</w:t>
            </w:r>
          </w:p>
          <w:p w14:paraId="19E76CF6">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在开展服务的过程中，社会工作者谨记社会工作方法及各项基本职业道德准则，为服务对象提供帮助。但是，社会工作者在一开始忽略了服务对象的特殊情况，将其与普通小朋友相比较，当活动开展之后却没有达到要求时情绪低落，并对下一步的计划表示怀疑。这种情绪在服务中是可有的，但是，专业的社会工作者要及时调整，主动向督导寻求帮助，不能影响服务进程。</w:t>
            </w:r>
          </w:p>
          <w:p w14:paraId="28CEDFCD">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社会工作者不仅应该增加自己的实践经验，还要努力学习专业知识，在理论层次中拔高自己的知识高度，让理论知识与实践有机的结合起来，让社会工作者的服务更加专业化。</w:t>
            </w:r>
          </w:p>
          <w:p w14:paraId="30124A40">
            <w:pPr>
              <w:pStyle w:val="2"/>
              <w:ind w:firstLine="480" w:firstLineChars="200"/>
              <w:rPr>
                <w:rFonts w:hint="eastAsia"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服务过程中，服务对象和其他的有关人员会积极的配合社会工作者，在开展服务的同时，也收获了许多快乐与经验。服务对象与社会工作者在快乐的基调中共同改变，依照社会工作者自己的观点，达到了助人自助的效果，对社会工作者而言是不可多得的好机会。</w:t>
            </w:r>
          </w:p>
          <w:p w14:paraId="76FD6F5D">
            <w:pPr>
              <w:pStyle w:val="2"/>
              <w:ind w:left="0" w:leftChars="0" w:firstLine="0" w:firstLineChars="0"/>
              <w:rPr>
                <w:sz w:val="20"/>
                <w:lang w:bidi="ar"/>
              </w:rPr>
            </w:pPr>
          </w:p>
        </w:tc>
      </w:tr>
    </w:tbl>
    <w:p w14:paraId="4B62DB32">
      <w:pPr>
        <w:widowControl/>
        <w:numPr>
          <w:ilvl w:val="0"/>
          <w:numId w:val="2"/>
        </w:numPr>
        <w:spacing w:before="156" w:beforeLines="50" w:after="156" w:afterLines="50" w:line="360" w:lineRule="auto"/>
        <w:jc w:val="left"/>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教学实施</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39F2B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3F30091C">
            <w:pPr>
              <w:pStyle w:val="2"/>
              <w:numPr>
                <w:ilvl w:val="0"/>
                <w:numId w:val="3"/>
              </w:numPr>
              <w:ind w:firstLine="480" w:firstLineChars="200"/>
              <w:rPr>
                <w:rFonts w:hint="eastAsia" w:ascii="宋体" w:hAnsi="宋体" w:eastAsia="宋体" w:cs="仿宋_GB2312"/>
                <w:iCs/>
                <w:color w:val="000000"/>
                <w:kern w:val="0"/>
                <w:sz w:val="24"/>
                <w:szCs w:val="24"/>
                <w:lang w:val="en-US" w:eastAsia="zh-CN" w:bidi="ar"/>
              </w:rPr>
            </w:pPr>
            <w:r>
              <w:rPr>
                <w:rFonts w:hint="eastAsia" w:ascii="宋体" w:hAnsi="宋体" w:eastAsia="宋体" w:cs="仿宋_GB2312"/>
                <w:iCs/>
                <w:color w:val="000000"/>
                <w:kern w:val="0"/>
                <w:sz w:val="24"/>
                <w:szCs w:val="24"/>
                <w:lang w:val="en-US" w:eastAsia="zh-CN" w:bidi="ar"/>
              </w:rPr>
              <w:t>打造案例，形成素材</w:t>
            </w:r>
          </w:p>
          <w:p w14:paraId="7308C3F6">
            <w:pPr>
              <w:pStyle w:val="2"/>
              <w:numPr>
                <w:ilvl w:val="0"/>
                <w:numId w:val="0"/>
              </w:numPr>
              <w:rPr>
                <w:rFonts w:hint="default" w:ascii="宋体" w:hAnsi="宋体" w:eastAsia="宋体" w:cs="仿宋_GB2312"/>
                <w:iCs/>
                <w:color w:val="000000"/>
                <w:kern w:val="0"/>
                <w:sz w:val="24"/>
                <w:szCs w:val="24"/>
                <w:lang w:val="en-US" w:eastAsia="zh-CN" w:bidi="ar"/>
              </w:rPr>
            </w:pPr>
            <w:r>
              <w:rPr>
                <w:rFonts w:hint="eastAsia" w:ascii="宋体" w:hAnsi="宋体" w:eastAsia="宋体" w:cs="仿宋_GB2312"/>
                <w:iCs/>
                <w:color w:val="000000"/>
                <w:kern w:val="0"/>
                <w:sz w:val="24"/>
                <w:szCs w:val="24"/>
                <w:lang w:val="en-US" w:eastAsia="zh-CN" w:bidi="ar"/>
              </w:rPr>
              <w:t xml:space="preserve">    社会工作优秀案例是社会工作领域中的典范，它们展示了社会工作在解决社会问题、帮助弱势群体以及促进社会和谐等方面的积极作用。这些案例不仅具有实际应用价值，还可以为其他社会工作者提供借鉴和启示。本案例依托授课教师创办的社工机构所承接的安徽省福彩公益金项目“蒲公英成长计划”，通过总结项目中实际开展的个案服务，收集第一手资料，总结实务经验撰写而成，本案例已完成资料收集、分析预估、服务计划、介入服务和评估结案等工作，全面实现预期目标，有效满足服务对象需求，解决服务对象问题，具备社会工作专业要素，体现社会工作专业理念，运用社会工作专业方法和技巧，发挥社会工作专业作用。具有完整性、时效性、真实性、专业性、效益性和示范性。</w:t>
            </w:r>
          </w:p>
          <w:p w14:paraId="500AEB28">
            <w:pPr>
              <w:pStyle w:val="2"/>
              <w:ind w:firstLine="480" w:firstLineChars="200"/>
              <w:rPr>
                <w:rFonts w:hint="eastAsia" w:ascii="宋体" w:hAnsi="宋体" w:eastAsia="宋体" w:cs="仿宋_GB2312"/>
                <w:iCs/>
                <w:color w:val="000000"/>
                <w:kern w:val="0"/>
                <w:sz w:val="24"/>
                <w:szCs w:val="24"/>
                <w:lang w:val="en-US" w:eastAsia="zh-CN" w:bidi="ar"/>
              </w:rPr>
            </w:pPr>
            <w:r>
              <w:rPr>
                <w:rFonts w:hint="eastAsia" w:ascii="宋体" w:hAnsi="宋体" w:eastAsia="宋体" w:cs="仿宋_GB2312"/>
                <w:iCs/>
                <w:color w:val="000000"/>
                <w:kern w:val="0"/>
                <w:sz w:val="24"/>
                <w:szCs w:val="24"/>
                <w:lang w:val="en-US" w:eastAsia="zh-CN" w:bidi="ar"/>
              </w:rPr>
              <w:t>（2）展示案例，启发思考</w:t>
            </w:r>
          </w:p>
          <w:p w14:paraId="4CA2A546">
            <w:pPr>
              <w:pStyle w:val="2"/>
              <w:ind w:firstLine="480" w:firstLineChars="200"/>
              <w:rPr>
                <w:rFonts w:hint="eastAsia" w:ascii="宋体" w:hAnsi="宋体" w:eastAsia="宋体" w:cs="仿宋_GB2312"/>
                <w:iCs/>
                <w:color w:val="000000"/>
                <w:kern w:val="0"/>
                <w:sz w:val="24"/>
                <w:szCs w:val="24"/>
                <w:lang w:val="en-US" w:eastAsia="zh-CN" w:bidi="ar"/>
              </w:rPr>
            </w:pPr>
            <w:r>
              <w:rPr>
                <w:rFonts w:hint="eastAsia" w:ascii="宋体" w:hAnsi="宋体" w:eastAsia="宋体" w:cs="仿宋_GB2312"/>
                <w:iCs/>
                <w:color w:val="000000"/>
                <w:kern w:val="0"/>
                <w:sz w:val="24"/>
                <w:szCs w:val="24"/>
                <w:lang w:val="en-US" w:eastAsia="zh-CN" w:bidi="ar"/>
              </w:rPr>
              <w:t>一是做好准备工作，要吃透教材和案例，设计好案例的展示方式，确定案例的焦点或主题，以便上课时能详尽描述给学生。</w:t>
            </w:r>
          </w:p>
          <w:p w14:paraId="01B9E515">
            <w:pPr>
              <w:pStyle w:val="2"/>
              <w:ind w:firstLine="480" w:firstLineChars="200"/>
              <w:rPr>
                <w:rFonts w:hint="eastAsia" w:ascii="宋体" w:hAnsi="宋体" w:eastAsia="宋体" w:cs="仿宋_GB2312"/>
                <w:iCs/>
                <w:color w:val="000000"/>
                <w:kern w:val="0"/>
                <w:sz w:val="24"/>
                <w:szCs w:val="24"/>
                <w:lang w:val="en-US" w:eastAsia="zh-CN" w:bidi="ar"/>
              </w:rPr>
            </w:pPr>
            <w:r>
              <w:rPr>
                <w:rFonts w:hint="eastAsia" w:ascii="宋体" w:hAnsi="宋体" w:eastAsia="宋体" w:cs="仿宋_GB2312"/>
                <w:iCs/>
                <w:color w:val="000000"/>
                <w:kern w:val="0"/>
                <w:sz w:val="24"/>
                <w:szCs w:val="24"/>
                <w:lang w:val="en-US" w:eastAsia="zh-CN" w:bidi="ar"/>
              </w:rPr>
              <w:t>二是课前教师要根据案例和教材内容，设置能体现教学重、难点的问题，让学生带着案例问题去探索课本理论知识，尝试运用理论知识去解决案例问题；或让学生在生动形象的教学情境中，去感悟探究发现问题、提出问题，并寻找解决问题的方法。</w:t>
            </w:r>
          </w:p>
          <w:p w14:paraId="63D93508">
            <w:pPr>
              <w:pStyle w:val="2"/>
              <w:ind w:firstLine="480" w:firstLineChars="200"/>
              <w:rPr>
                <w:rFonts w:hint="eastAsia" w:ascii="宋体" w:hAnsi="宋体" w:eastAsia="宋体" w:cs="仿宋_GB2312"/>
                <w:iCs/>
                <w:color w:val="000000"/>
                <w:kern w:val="0"/>
                <w:sz w:val="24"/>
                <w:szCs w:val="24"/>
                <w:lang w:val="en-US" w:eastAsia="zh-CN" w:bidi="ar"/>
              </w:rPr>
            </w:pPr>
            <w:r>
              <w:rPr>
                <w:rFonts w:hint="eastAsia" w:ascii="宋体" w:hAnsi="宋体" w:eastAsia="宋体" w:cs="仿宋_GB2312"/>
                <w:iCs/>
                <w:color w:val="000000"/>
                <w:kern w:val="0"/>
                <w:sz w:val="24"/>
                <w:szCs w:val="24"/>
                <w:lang w:val="en-US" w:eastAsia="zh-CN" w:bidi="ar"/>
              </w:rPr>
              <w:t>三是设置的问题要符合学生的认知水平和思维能力。设置问题由浅入深，由易到难，由课内到课外，由案例到教材内容，难度适中，有针对性，寓“理”于“问题”、寓“理”于“情境”之中。</w:t>
            </w:r>
          </w:p>
          <w:p w14:paraId="4BCCED44">
            <w:pPr>
              <w:pStyle w:val="2"/>
              <w:ind w:firstLine="480" w:firstLineChars="200"/>
              <w:rPr>
                <w:rFonts w:hint="eastAsia" w:ascii="宋体" w:hAnsi="宋体" w:eastAsia="宋体" w:cs="仿宋_GB2312"/>
                <w:iCs/>
                <w:color w:val="000000"/>
                <w:kern w:val="0"/>
                <w:sz w:val="24"/>
                <w:szCs w:val="24"/>
                <w:lang w:val="en-US" w:eastAsia="zh-CN" w:bidi="ar"/>
              </w:rPr>
            </w:pPr>
            <w:r>
              <w:rPr>
                <w:rFonts w:hint="eastAsia" w:ascii="宋体" w:hAnsi="宋体" w:eastAsia="宋体" w:cs="仿宋_GB2312"/>
                <w:iCs/>
                <w:color w:val="000000"/>
                <w:kern w:val="0"/>
                <w:sz w:val="24"/>
                <w:szCs w:val="24"/>
                <w:lang w:val="en-US" w:eastAsia="zh-CN" w:bidi="ar"/>
              </w:rPr>
              <w:t>（3）探讨案例，解决问题</w:t>
            </w:r>
          </w:p>
          <w:p w14:paraId="23078AC5">
            <w:pPr>
              <w:pStyle w:val="2"/>
              <w:ind w:firstLine="480" w:firstLineChars="200"/>
              <w:rPr>
                <w:rFonts w:hint="eastAsia" w:ascii="宋体" w:hAnsi="宋体" w:eastAsia="宋体" w:cs="仿宋_GB2312"/>
                <w:iCs/>
                <w:color w:val="000000"/>
                <w:kern w:val="0"/>
                <w:sz w:val="24"/>
                <w:szCs w:val="24"/>
                <w:lang w:val="en-US" w:eastAsia="zh-CN" w:bidi="ar"/>
              </w:rPr>
            </w:pPr>
            <w:r>
              <w:rPr>
                <w:rFonts w:hint="eastAsia" w:ascii="宋体" w:hAnsi="宋体" w:eastAsia="宋体" w:cs="仿宋_GB2312"/>
                <w:iCs/>
                <w:color w:val="000000"/>
                <w:kern w:val="0"/>
                <w:sz w:val="24"/>
                <w:szCs w:val="24"/>
                <w:lang w:val="en-US" w:eastAsia="zh-CN" w:bidi="ar"/>
              </w:rPr>
              <w:t>组织学生对案例进行讨论是案例教学法的关键。课前教师精选一个典型案例，然后根据教学目的，提出若干问题，激发学生的探究兴趣，让学生运用相关理论知识、概念或拓展知识对案例展开自主探究、分析、讨论。具体的操作方式可以灵活多样，如小组讨论、集体讨论、模拟演练等。之后进行总结与复盘，针对学生讨论中不能解决的问题在全班讨论或辩论，教师加以引导启发，使学生在自主探究与讨论中互相启迪，从中得到启发教育或产生新的知识，培养能力，达到以“例”明“理”，以“理”释“例”，以“例”明“德”，以“理”导“行”的目的，在实行智育的同时实施德育，既教书又育人。</w:t>
            </w:r>
          </w:p>
          <w:p w14:paraId="6F72A6F8">
            <w:pPr>
              <w:pStyle w:val="2"/>
              <w:ind w:left="0" w:leftChars="0" w:firstLine="0" w:firstLineChars="0"/>
              <w:rPr>
                <w:sz w:val="20"/>
                <w:lang w:bidi="ar"/>
              </w:rPr>
            </w:pPr>
          </w:p>
        </w:tc>
      </w:tr>
    </w:tbl>
    <w:p w14:paraId="07581E9F">
      <w:pPr>
        <w:widowControl/>
        <w:spacing w:before="156" w:beforeLines="50" w:after="156" w:afterLines="50" w:line="360" w:lineRule="auto"/>
        <w:jc w:val="left"/>
        <w:rPr>
          <w:rFonts w:hint="default" w:ascii="黑体" w:hAnsi="黑体" w:eastAsia="黑体" w:cs="宋体"/>
          <w:bCs/>
          <w:color w:val="000000"/>
          <w:kern w:val="0"/>
          <w:sz w:val="28"/>
          <w:szCs w:val="28"/>
          <w:lang w:val="en-US" w:eastAsia="zh-CN" w:bidi="ar"/>
        </w:rPr>
      </w:pPr>
      <w:r>
        <w:rPr>
          <w:rFonts w:hint="eastAsia" w:ascii="黑体" w:hAnsi="黑体" w:eastAsia="黑体" w:cs="宋体"/>
          <w:bCs/>
          <w:color w:val="000000"/>
          <w:kern w:val="0"/>
          <w:sz w:val="28"/>
          <w:szCs w:val="28"/>
          <w:lang w:bidi="ar"/>
        </w:rPr>
        <w:t>4.</w:t>
      </w:r>
      <w:r>
        <w:rPr>
          <w:rFonts w:hint="eastAsia" w:ascii="黑体" w:hAnsi="黑体" w:eastAsia="黑体" w:cs="宋体"/>
          <w:bCs/>
          <w:color w:val="000000"/>
          <w:kern w:val="0"/>
          <w:sz w:val="28"/>
          <w:szCs w:val="28"/>
          <w:lang w:val="en-US" w:eastAsia="zh-CN" w:bidi="ar"/>
        </w:rPr>
        <w:t>教学成果</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6"/>
      </w:tblGrid>
      <w:tr w14:paraId="297F6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3F57F14D">
            <w:pPr>
              <w:widowControl/>
              <w:ind w:firstLine="480" w:firstLineChars="200"/>
              <w:jc w:val="left"/>
              <w:rPr>
                <w:rFonts w:hint="eastAsia" w:ascii="宋体" w:hAnsi="宋体" w:eastAsia="宋体" w:cs="仿宋_GB2312"/>
                <w:iCs/>
                <w:color w:val="000000"/>
                <w:kern w:val="0"/>
                <w:sz w:val="24"/>
                <w:szCs w:val="24"/>
                <w:lang w:val="en-US" w:eastAsia="zh-CN" w:bidi="ar"/>
              </w:rPr>
            </w:pPr>
            <w:r>
              <w:rPr>
                <w:rFonts w:hint="eastAsia" w:ascii="宋体" w:hAnsi="宋体" w:eastAsia="宋体" w:cs="仿宋_GB2312"/>
                <w:iCs/>
                <w:color w:val="000000"/>
                <w:kern w:val="0"/>
                <w:sz w:val="24"/>
                <w:szCs w:val="24"/>
                <w:lang w:val="en-US" w:eastAsia="zh-CN" w:bidi="ar"/>
              </w:rPr>
              <w:t>（1）《个案工作》课程为省级教学示范课和校级精品课程。</w:t>
            </w:r>
          </w:p>
          <w:p w14:paraId="2092588A">
            <w:pPr>
              <w:pStyle w:val="2"/>
              <w:ind w:left="0" w:leftChars="0" w:firstLine="480" w:firstLineChars="200"/>
              <w:rPr>
                <w:rFonts w:hint="default" w:ascii="宋体" w:hAnsi="宋体" w:eastAsia="宋体" w:cs="仿宋_GB2312"/>
                <w:iCs/>
                <w:color w:val="000000"/>
                <w:kern w:val="0"/>
                <w:sz w:val="24"/>
                <w:szCs w:val="24"/>
                <w:lang w:val="en-US" w:eastAsia="zh-CN" w:bidi="ar"/>
              </w:rPr>
            </w:pPr>
            <w:r>
              <w:rPr>
                <w:rFonts w:hint="eastAsia" w:ascii="宋体" w:hAnsi="宋体" w:eastAsia="宋体" w:cs="仿宋_GB2312"/>
                <w:iCs/>
                <w:color w:val="000000"/>
                <w:kern w:val="0"/>
                <w:sz w:val="24"/>
                <w:szCs w:val="24"/>
                <w:lang w:val="en-US" w:eastAsia="zh-CN" w:bidi="ar"/>
              </w:rPr>
              <w:t>（2）本案例入选铜陵市首届社会工作服务优秀案例选集，并荣获安徽省首届社会工作服务优秀案例二等奖，被安徽省民政厅官网专题专栏“2022年江淮社工周”宣传周活动作为优秀案例公开展示，代表本领域社会工作服务开展的较高水平，对同类服务具有一定的借鉴和示范意义。</w:t>
            </w:r>
          </w:p>
          <w:p w14:paraId="74EE16A8">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763135" cy="3811905"/>
                  <wp:effectExtent l="0" t="0" r="12065" b="1079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4763135" cy="3811905"/>
                          </a:xfrm>
                          <a:prstGeom prst="rect">
                            <a:avLst/>
                          </a:prstGeom>
                          <a:noFill/>
                          <a:ln w="9525">
                            <a:noFill/>
                          </a:ln>
                        </pic:spPr>
                      </pic:pic>
                    </a:graphicData>
                  </a:graphic>
                </wp:inline>
              </w:drawing>
            </w:r>
          </w:p>
          <w:p w14:paraId="6DB3FDE2">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5142865" cy="2470785"/>
                  <wp:effectExtent l="0" t="0" r="635" b="571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5"/>
                          <a:stretch>
                            <a:fillRect/>
                          </a:stretch>
                        </pic:blipFill>
                        <pic:spPr>
                          <a:xfrm>
                            <a:off x="0" y="0"/>
                            <a:ext cx="5142865" cy="2470785"/>
                          </a:xfrm>
                          <a:prstGeom prst="rect">
                            <a:avLst/>
                          </a:prstGeom>
                          <a:noFill/>
                          <a:ln w="9525">
                            <a:noFill/>
                          </a:ln>
                        </pic:spPr>
                      </pic:pic>
                    </a:graphicData>
                  </a:graphic>
                </wp:inline>
              </w:drawing>
            </w:r>
          </w:p>
          <w:p w14:paraId="6697E51B">
            <w:pPr>
              <w:pStyle w:val="2"/>
            </w:pPr>
          </w:p>
          <w:p w14:paraId="6A28496E">
            <w:pPr>
              <w:pStyle w:val="2"/>
              <w:ind w:firstLine="400"/>
              <w:rPr>
                <w:sz w:val="20"/>
                <w:lang w:bidi="ar"/>
              </w:rPr>
            </w:pPr>
          </w:p>
          <w:p w14:paraId="000AC22F">
            <w:pPr>
              <w:rPr>
                <w:kern w:val="0"/>
                <w:sz w:val="20"/>
                <w:szCs w:val="20"/>
                <w:lang w:bidi="ar"/>
              </w:rPr>
            </w:pPr>
          </w:p>
        </w:tc>
      </w:tr>
    </w:tbl>
    <w:p w14:paraId="16D4329F">
      <w:pPr>
        <w:spacing w:before="156" w:beforeLines="50" w:after="156" w:afterLines="50"/>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5．编写负责人所在院意见</w:t>
      </w:r>
    </w:p>
    <w:tbl>
      <w:tblPr>
        <w:tblStyle w:val="5"/>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7"/>
      </w:tblGrid>
      <w:tr w14:paraId="50812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7" w:hRule="atLeast"/>
          <w:jc w:val="center"/>
        </w:trPr>
        <w:tc>
          <w:tcPr>
            <w:tcW w:w="8217" w:type="dxa"/>
          </w:tcPr>
          <w:p w14:paraId="4DBB75D1">
            <w:pPr>
              <w:rPr>
                <w:rFonts w:ascii="宋体" w:hAnsi="宋体"/>
                <w:color w:val="000000"/>
                <w:sz w:val="24"/>
              </w:rPr>
            </w:pPr>
          </w:p>
          <w:p w14:paraId="022B78A7">
            <w:pPr>
              <w:rPr>
                <w:rFonts w:ascii="宋体" w:hAnsi="宋体"/>
                <w:color w:val="000000"/>
                <w:sz w:val="24"/>
              </w:rPr>
            </w:pPr>
          </w:p>
          <w:p w14:paraId="364D971D">
            <w:pPr>
              <w:rPr>
                <w:rFonts w:ascii="宋体" w:hAnsi="宋体"/>
                <w:color w:val="000000"/>
                <w:sz w:val="24"/>
              </w:rPr>
            </w:pPr>
          </w:p>
          <w:p w14:paraId="62D3F011">
            <w:pPr>
              <w:rPr>
                <w:rFonts w:ascii="宋体" w:hAnsi="宋体"/>
                <w:color w:val="000000"/>
                <w:sz w:val="24"/>
              </w:rPr>
            </w:pPr>
          </w:p>
          <w:p w14:paraId="6C9C041F">
            <w:pPr>
              <w:rPr>
                <w:rFonts w:ascii="宋体" w:hAnsi="宋体"/>
                <w:color w:val="000000"/>
                <w:sz w:val="24"/>
              </w:rPr>
            </w:pPr>
          </w:p>
          <w:p w14:paraId="0E7ACDF7">
            <w:pPr>
              <w:rPr>
                <w:rFonts w:ascii="宋体" w:hAnsi="宋体"/>
                <w:color w:val="000000"/>
                <w:sz w:val="24"/>
              </w:rPr>
            </w:pPr>
          </w:p>
          <w:p w14:paraId="7B2B45D7">
            <w:pPr>
              <w:rPr>
                <w:rFonts w:ascii="宋体" w:hAnsi="宋体"/>
                <w:color w:val="000000"/>
                <w:sz w:val="24"/>
              </w:rPr>
            </w:pPr>
          </w:p>
          <w:p w14:paraId="779271BA">
            <w:pPr>
              <w:rPr>
                <w:rFonts w:ascii="宋体" w:hAnsi="宋体"/>
                <w:color w:val="000000"/>
                <w:sz w:val="24"/>
              </w:rPr>
            </w:pPr>
          </w:p>
          <w:p w14:paraId="05E362D6">
            <w:pPr>
              <w:rPr>
                <w:rFonts w:ascii="宋体" w:hAnsi="宋体"/>
                <w:color w:val="000000"/>
                <w:sz w:val="24"/>
              </w:rPr>
            </w:pPr>
          </w:p>
          <w:p w14:paraId="1283F030">
            <w:pPr>
              <w:rPr>
                <w:rFonts w:ascii="宋体" w:hAnsi="宋体"/>
                <w:color w:val="000000"/>
                <w:sz w:val="24"/>
              </w:rPr>
            </w:pPr>
          </w:p>
          <w:p w14:paraId="7BBFAA0D">
            <w:pPr>
              <w:tabs>
                <w:tab w:val="left" w:pos="2591"/>
              </w:tabs>
              <w:rPr>
                <w:rFonts w:ascii="宋体" w:hAnsi="宋体" w:eastAsia="宋体"/>
                <w:color w:val="000000"/>
                <w:sz w:val="24"/>
              </w:rPr>
            </w:pPr>
            <w:r>
              <w:rPr>
                <w:rFonts w:hint="eastAsia" w:ascii="宋体" w:hAnsi="宋体"/>
                <w:color w:val="000000"/>
                <w:sz w:val="24"/>
              </w:rPr>
              <w:t xml:space="preserve">                     </w:t>
            </w:r>
            <w:r>
              <w:rPr>
                <w:rFonts w:hint="eastAsia" w:ascii="宋体" w:hAnsi="宋体" w:eastAsia="宋体"/>
                <w:color w:val="000000"/>
                <w:sz w:val="24"/>
              </w:rPr>
              <w:t xml:space="preserve">单位负责人（签字）：              单位（盖章）：                     </w:t>
            </w:r>
          </w:p>
          <w:p w14:paraId="06BC3BCF">
            <w:pPr>
              <w:rPr>
                <w:rFonts w:ascii="宋体" w:hAnsi="宋体" w:eastAsia="宋体"/>
                <w:color w:val="000000"/>
                <w:sz w:val="24"/>
              </w:rPr>
            </w:pPr>
          </w:p>
          <w:p w14:paraId="0EED8DB3">
            <w:pPr>
              <w:rPr>
                <w:rFonts w:ascii="宋体" w:hAnsi="宋体"/>
                <w:color w:val="000000"/>
                <w:sz w:val="24"/>
              </w:rPr>
            </w:pPr>
            <w:r>
              <w:rPr>
                <w:rFonts w:hint="eastAsia" w:ascii="宋体" w:hAnsi="宋体" w:eastAsia="宋体"/>
                <w:color w:val="000000"/>
                <w:sz w:val="24"/>
              </w:rPr>
              <w:t xml:space="preserve">                                                      年   月   日</w:t>
            </w:r>
          </w:p>
        </w:tc>
      </w:tr>
    </w:tbl>
    <w:p w14:paraId="6AD5332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3E434A"/>
    <w:multiLevelType w:val="singleLevel"/>
    <w:tmpl w:val="DD3E434A"/>
    <w:lvl w:ilvl="0" w:tentative="0">
      <w:start w:val="1"/>
      <w:numFmt w:val="decimal"/>
      <w:suff w:val="nothing"/>
      <w:lvlText w:val="（%1）"/>
      <w:lvlJc w:val="left"/>
    </w:lvl>
  </w:abstractNum>
  <w:abstractNum w:abstractNumId="1">
    <w:nsid w:val="4D0AEB7C"/>
    <w:multiLevelType w:val="singleLevel"/>
    <w:tmpl w:val="4D0AEB7C"/>
    <w:lvl w:ilvl="0" w:tentative="0">
      <w:start w:val="1"/>
      <w:numFmt w:val="decimal"/>
      <w:lvlText w:val="%1."/>
      <w:lvlJc w:val="left"/>
      <w:pPr>
        <w:tabs>
          <w:tab w:val="left" w:pos="312"/>
        </w:tabs>
      </w:pPr>
    </w:lvl>
  </w:abstractNum>
  <w:abstractNum w:abstractNumId="2">
    <w:nsid w:val="58A5880F"/>
    <w:multiLevelType w:val="singleLevel"/>
    <w:tmpl w:val="58A5880F"/>
    <w:lvl w:ilvl="0" w:tentative="0">
      <w:start w:val="2"/>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E0MjI1YWZhYzE3NjFjZWQ4YjU3NDE3NjFhYTNhNmUifQ=="/>
  </w:docVars>
  <w:rsids>
    <w:rsidRoot w:val="00750B6B"/>
    <w:rsid w:val="000D311C"/>
    <w:rsid w:val="002179A0"/>
    <w:rsid w:val="0038748C"/>
    <w:rsid w:val="006240BC"/>
    <w:rsid w:val="00750B6B"/>
    <w:rsid w:val="008E68AA"/>
    <w:rsid w:val="009D4F87"/>
    <w:rsid w:val="00B56FE4"/>
    <w:rsid w:val="00CB789A"/>
    <w:rsid w:val="00DF7241"/>
    <w:rsid w:val="00ED23A0"/>
    <w:rsid w:val="10254F95"/>
    <w:rsid w:val="1B23471C"/>
    <w:rsid w:val="31970953"/>
    <w:rsid w:val="3C4619D9"/>
    <w:rsid w:val="40B677D2"/>
    <w:rsid w:val="43A7763B"/>
    <w:rsid w:val="4B175905"/>
    <w:rsid w:val="509D2A40"/>
    <w:rsid w:val="53C259F6"/>
    <w:rsid w:val="678410C0"/>
    <w:rsid w:val="6EB74327"/>
    <w:rsid w:val="7395275D"/>
    <w:rsid w:val="79713B8A"/>
    <w:rsid w:val="7C057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rPr>
      <w:rFonts w:ascii="Times New Roman" w:hAnsi="Times New Roman"/>
      <w:color w:val="000000"/>
      <w:kern w:val="0"/>
      <w:szCs w:val="21"/>
    </w:r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3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autoRedefine/>
    <w:qFormat/>
    <w:uiPriority w:val="34"/>
    <w:pPr>
      <w:ind w:firstLine="420" w:firstLineChars="200"/>
    </w:pPr>
  </w:style>
  <w:style w:type="character" w:customStyle="1" w:styleId="9">
    <w:name w:val="页眉 Char"/>
    <w:basedOn w:val="7"/>
    <w:link w:val="4"/>
    <w:autoRedefine/>
    <w:qFormat/>
    <w:uiPriority w:val="99"/>
    <w:rPr>
      <w:sz w:val="18"/>
      <w:szCs w:val="18"/>
    </w:rPr>
  </w:style>
  <w:style w:type="character" w:customStyle="1" w:styleId="10">
    <w:name w:val="页脚 Char"/>
    <w:basedOn w:val="7"/>
    <w:link w:val="3"/>
    <w:autoRedefine/>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7728</Words>
  <Characters>7776</Characters>
  <Lines>27</Lines>
  <Paragraphs>29</Paragraphs>
  <TotalTime>241</TotalTime>
  <ScaleCrop>false</ScaleCrop>
  <LinksUpToDate>false</LinksUpToDate>
  <CharactersWithSpaces>7986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2022-10-20T09:32:00Z</dcterms:created>
  <dc:creator>Zhou</dc:creator>
  <cp:lastModifiedBy>lenovo</cp:lastModifiedBy>
  <cp:lastPrinted>2024-02-28T06:23:00Z</cp:lastPrinted>
  <dcterms:modified xsi:type="dcterms:W3CDTF">2024-06-25T06:17:22Z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E77A37C907274C708358A71FF5827B3C_13</vt:lpwstr>
  </property>
</Properties>
</file>