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EDA6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sz w:val="24"/>
          <w:szCs w:val="24"/>
          <w:lang w:val="en-US" w:eastAsia="zh-CN"/>
        </w:rPr>
      </w:pPr>
      <w:r>
        <w:rPr>
          <w:rFonts w:hint="eastAsia"/>
          <w:sz w:val="24"/>
          <w:szCs w:val="24"/>
          <w:lang w:eastAsia="zh-CN"/>
        </w:rPr>
        <w:t>【</w:t>
      </w:r>
      <w:r>
        <w:rPr>
          <w:rFonts w:hint="eastAsia"/>
          <w:sz w:val="24"/>
          <w:szCs w:val="24"/>
        </w:rPr>
        <w:t>课程名称</w:t>
      </w:r>
      <w:r>
        <w:rPr>
          <w:rFonts w:hint="eastAsia"/>
          <w:sz w:val="24"/>
          <w:szCs w:val="24"/>
          <w:lang w:eastAsia="zh-CN"/>
        </w:rPr>
        <w:t>】</w:t>
      </w:r>
      <w:r>
        <w:rPr>
          <w:rFonts w:hint="eastAsia"/>
          <w:sz w:val="24"/>
          <w:szCs w:val="24"/>
        </w:rPr>
        <w:t>：</w:t>
      </w:r>
      <w:r>
        <w:rPr>
          <w:rFonts w:hint="eastAsia"/>
          <w:sz w:val="24"/>
          <w:szCs w:val="24"/>
          <w:lang w:val="en-US" w:eastAsia="zh-CN"/>
        </w:rPr>
        <w:t>人工智能</w:t>
      </w:r>
    </w:p>
    <w:p w14:paraId="1354D409">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sz w:val="24"/>
          <w:szCs w:val="24"/>
          <w:lang w:val="en-US" w:eastAsia="zh-CN"/>
        </w:rPr>
      </w:pPr>
      <w:r>
        <w:rPr>
          <w:rFonts w:hint="eastAsia"/>
          <w:sz w:val="24"/>
          <w:szCs w:val="24"/>
          <w:lang w:eastAsia="zh-CN"/>
        </w:rPr>
        <w:t>【</w:t>
      </w:r>
      <w:r>
        <w:rPr>
          <w:rFonts w:hint="eastAsia"/>
          <w:sz w:val="24"/>
          <w:szCs w:val="24"/>
          <w:lang w:val="en-US" w:eastAsia="zh-CN"/>
        </w:rPr>
        <w:t>案例</w:t>
      </w:r>
      <w:r>
        <w:rPr>
          <w:rFonts w:hint="eastAsia"/>
          <w:sz w:val="24"/>
          <w:szCs w:val="24"/>
        </w:rPr>
        <w:t>名称</w:t>
      </w:r>
      <w:r>
        <w:rPr>
          <w:rFonts w:hint="eastAsia"/>
          <w:sz w:val="24"/>
          <w:szCs w:val="24"/>
          <w:lang w:eastAsia="zh-CN"/>
        </w:rPr>
        <w:t>】</w:t>
      </w:r>
      <w:r>
        <w:rPr>
          <w:rFonts w:hint="eastAsia"/>
          <w:sz w:val="24"/>
          <w:szCs w:val="24"/>
        </w:rPr>
        <w:t>：虚拟数字人智能问答综合案例</w:t>
      </w:r>
    </w:p>
    <w:p w14:paraId="61BE5C0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sz w:val="24"/>
          <w:szCs w:val="24"/>
        </w:rPr>
      </w:pPr>
      <w:r>
        <w:rPr>
          <w:rFonts w:hint="eastAsia"/>
          <w:sz w:val="24"/>
          <w:szCs w:val="24"/>
          <w:lang w:eastAsia="zh-CN"/>
        </w:rPr>
        <w:t>【</w:t>
      </w:r>
      <w:r>
        <w:rPr>
          <w:rFonts w:hint="eastAsia"/>
          <w:sz w:val="24"/>
          <w:szCs w:val="24"/>
          <w:lang w:val="en-US" w:eastAsia="zh-CN"/>
        </w:rPr>
        <w:t>教学</w:t>
      </w:r>
      <w:r>
        <w:rPr>
          <w:rFonts w:hint="eastAsia"/>
          <w:sz w:val="24"/>
          <w:szCs w:val="24"/>
        </w:rPr>
        <w:t>目标</w:t>
      </w:r>
      <w:r>
        <w:rPr>
          <w:rFonts w:hint="eastAsia"/>
          <w:sz w:val="24"/>
          <w:szCs w:val="24"/>
          <w:lang w:eastAsia="zh-CN"/>
        </w:rPr>
        <w:t>】</w:t>
      </w:r>
      <w:r>
        <w:rPr>
          <w:rFonts w:hint="eastAsia"/>
          <w:sz w:val="24"/>
          <w:szCs w:val="24"/>
        </w:rPr>
        <w:t>：</w:t>
      </w:r>
    </w:p>
    <w:p w14:paraId="6ED58DE1">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sz w:val="24"/>
          <w:szCs w:val="24"/>
          <w:lang w:eastAsia="zh-CN"/>
        </w:rPr>
      </w:pPr>
      <w:r>
        <w:rPr>
          <w:rFonts w:hint="eastAsia"/>
          <w:sz w:val="24"/>
          <w:szCs w:val="24"/>
          <w:lang w:eastAsia="zh-CN"/>
        </w:rPr>
        <w:t>利用虚拟仿真技术，构建虚拟数字人智能问答综合案例，模拟仿真与数字人之间的询问和回答过程，主要目的为达到如下教学目标：</w:t>
      </w:r>
    </w:p>
    <w:p w14:paraId="20CE325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sz w:val="24"/>
          <w:szCs w:val="24"/>
          <w:lang w:eastAsia="zh-CN"/>
        </w:rPr>
      </w:pPr>
      <w:r>
        <w:rPr>
          <w:rFonts w:hint="eastAsia"/>
          <w:sz w:val="24"/>
          <w:szCs w:val="24"/>
          <w:lang w:eastAsia="zh-CN"/>
        </w:rPr>
        <w:t>（1）能够建立对人工智能知识体系的轮廓性认识，了解人工智能发展历程、关键技术、计算模式和产业发展；</w:t>
      </w:r>
    </w:p>
    <w:p w14:paraId="671CEBFF">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sz w:val="24"/>
          <w:szCs w:val="24"/>
          <w:lang w:eastAsia="zh-CN"/>
        </w:rPr>
      </w:pPr>
      <w:r>
        <w:rPr>
          <w:rFonts w:hint="eastAsia"/>
          <w:sz w:val="24"/>
          <w:szCs w:val="24"/>
          <w:lang w:eastAsia="zh-CN"/>
        </w:rPr>
        <w:t>（2）熟练掌握 unity 3D 平台的安装和使用方法，掌握 MySql 数据库的基本原理和编程方法，掌握 LLM，GPT，分词等大语言模型和算法的基本原理和编程方法。</w:t>
      </w:r>
    </w:p>
    <w:p w14:paraId="60EA4AB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sz w:val="24"/>
          <w:szCs w:val="24"/>
          <w:lang w:eastAsia="zh-CN"/>
        </w:rPr>
      </w:pPr>
      <w:r>
        <w:rPr>
          <w:rFonts w:hint="eastAsia"/>
          <w:sz w:val="24"/>
          <w:szCs w:val="24"/>
          <w:lang w:eastAsia="zh-CN"/>
        </w:rPr>
        <w:t>（3）能够通过查阅相关文献、开发文档等技术资料获取人工智能技术发展趋势和主流技术，具备自主学习能力。</w:t>
      </w:r>
    </w:p>
    <w:p w14:paraId="18486F9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sz w:val="24"/>
          <w:szCs w:val="24"/>
          <w:lang w:eastAsia="zh-CN"/>
        </w:rPr>
      </w:pPr>
      <w:r>
        <w:rPr>
          <w:rFonts w:hint="eastAsia"/>
          <w:sz w:val="24"/>
          <w:szCs w:val="24"/>
          <w:lang w:eastAsia="zh-CN"/>
        </w:rPr>
        <w:t>（4）具有认真严谨、探索创新的科学态度和素养，能够考虑到法律、社会和环境影响，具备软件工程师职业素质。</w:t>
      </w:r>
    </w:p>
    <w:p w14:paraId="666AE8D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sz w:val="24"/>
          <w:szCs w:val="24"/>
          <w:lang w:eastAsia="zh-CN"/>
        </w:rPr>
      </w:pPr>
      <w:r>
        <w:rPr>
          <w:rFonts w:hint="eastAsia"/>
          <w:sz w:val="24"/>
          <w:szCs w:val="24"/>
          <w:lang w:eastAsia="zh-CN"/>
        </w:rPr>
        <w:t>（5）使学生拥有系统工程思维，强化创新意识、批判思维、知识能力素养，明确职业道德和社会责任。</w:t>
      </w:r>
    </w:p>
    <w:p w14:paraId="61E5B55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sz w:val="24"/>
          <w:szCs w:val="24"/>
        </w:rPr>
      </w:pPr>
      <w:r>
        <w:rPr>
          <w:rFonts w:hint="eastAsia"/>
          <w:sz w:val="24"/>
          <w:szCs w:val="24"/>
          <w:lang w:eastAsia="zh-CN"/>
        </w:rPr>
        <w:t>【</w:t>
      </w:r>
      <w:r>
        <w:rPr>
          <w:rFonts w:hint="eastAsia"/>
          <w:sz w:val="24"/>
          <w:szCs w:val="24"/>
        </w:rPr>
        <w:t>教学</w:t>
      </w:r>
      <w:r>
        <w:rPr>
          <w:rFonts w:hint="eastAsia"/>
          <w:sz w:val="24"/>
          <w:szCs w:val="24"/>
          <w:lang w:val="en-US" w:eastAsia="zh-CN"/>
        </w:rPr>
        <w:t>课时</w:t>
      </w:r>
      <w:r>
        <w:rPr>
          <w:rFonts w:hint="eastAsia"/>
          <w:sz w:val="24"/>
          <w:szCs w:val="24"/>
        </w:rPr>
        <w:t>设计</w:t>
      </w:r>
      <w:r>
        <w:rPr>
          <w:rFonts w:hint="eastAsia"/>
          <w:sz w:val="24"/>
          <w:szCs w:val="24"/>
          <w:lang w:eastAsia="zh-CN"/>
        </w:rPr>
        <w:t>】</w:t>
      </w:r>
      <w:r>
        <w:rPr>
          <w:rFonts w:hint="eastAsia"/>
          <w:sz w:val="24"/>
          <w:szCs w:val="24"/>
        </w:rPr>
        <w:t>：</w:t>
      </w:r>
    </w:p>
    <w:p w14:paraId="4F75CE7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sz w:val="24"/>
          <w:szCs w:val="24"/>
        </w:rPr>
      </w:pPr>
      <w:r>
        <w:rPr>
          <w:rFonts w:hint="eastAsia"/>
          <w:sz w:val="24"/>
          <w:szCs w:val="24"/>
        </w:rPr>
        <w:t>（1）案例所属课程课时：</w:t>
      </w:r>
      <w:r>
        <w:rPr>
          <w:rFonts w:hint="eastAsia"/>
          <w:sz w:val="24"/>
          <w:szCs w:val="24"/>
          <w:lang w:val="en-US" w:eastAsia="zh-CN"/>
        </w:rPr>
        <w:t>32</w:t>
      </w:r>
      <w:r>
        <w:rPr>
          <w:rFonts w:hint="eastAsia"/>
          <w:sz w:val="24"/>
          <w:szCs w:val="24"/>
        </w:rPr>
        <w:t>学时</w:t>
      </w:r>
    </w:p>
    <w:p w14:paraId="2ABCBD7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sz w:val="24"/>
          <w:szCs w:val="24"/>
        </w:rPr>
      </w:pPr>
      <w:r>
        <w:rPr>
          <w:rFonts w:hint="eastAsia"/>
          <w:sz w:val="24"/>
          <w:szCs w:val="24"/>
        </w:rPr>
        <w:t>（2）该案例所占课时：8学时</w:t>
      </w:r>
    </w:p>
    <w:p w14:paraId="535B171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sz w:val="24"/>
          <w:szCs w:val="24"/>
        </w:rPr>
      </w:pPr>
      <w:r>
        <w:rPr>
          <w:rFonts w:hint="eastAsia"/>
          <w:sz w:val="24"/>
          <w:szCs w:val="24"/>
          <w:lang w:eastAsia="zh-CN"/>
        </w:rPr>
        <w:t>【</w:t>
      </w:r>
      <w:r>
        <w:rPr>
          <w:rFonts w:hint="eastAsia"/>
          <w:sz w:val="24"/>
          <w:szCs w:val="24"/>
        </w:rPr>
        <w:t>教学</w:t>
      </w:r>
      <w:r>
        <w:rPr>
          <w:rFonts w:hint="eastAsia"/>
          <w:sz w:val="24"/>
          <w:szCs w:val="24"/>
          <w:lang w:val="en-US" w:eastAsia="zh-CN"/>
        </w:rPr>
        <w:t>任务分解</w:t>
      </w:r>
      <w:r>
        <w:rPr>
          <w:rFonts w:hint="eastAsia"/>
          <w:sz w:val="24"/>
          <w:szCs w:val="24"/>
          <w:lang w:eastAsia="zh-CN"/>
        </w:rPr>
        <w:t>】</w:t>
      </w:r>
      <w:r>
        <w:rPr>
          <w:rFonts w:hint="eastAsia"/>
          <w:sz w:val="24"/>
          <w:szCs w:val="24"/>
        </w:rPr>
        <w:t>：</w:t>
      </w:r>
    </w:p>
    <w:tbl>
      <w:tblPr>
        <w:tblStyle w:val="3"/>
        <w:tblpPr w:leftFromText="180" w:rightFromText="180" w:vertAnchor="text" w:horzAnchor="page" w:tblpX="1965" w:tblpY="44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2126"/>
        <w:gridCol w:w="992"/>
        <w:gridCol w:w="1475"/>
        <w:gridCol w:w="850"/>
        <w:gridCol w:w="1985"/>
      </w:tblGrid>
      <w:tr w14:paraId="70ADE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72" w:type="dxa"/>
            <w:vAlign w:val="center"/>
          </w:tcPr>
          <w:p w14:paraId="4F1DBE0E">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步骤序号</w:t>
            </w:r>
          </w:p>
        </w:tc>
        <w:tc>
          <w:tcPr>
            <w:tcW w:w="2126" w:type="dxa"/>
            <w:vAlign w:val="center"/>
          </w:tcPr>
          <w:p w14:paraId="33142152">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步骤目标要求</w:t>
            </w:r>
          </w:p>
        </w:tc>
        <w:tc>
          <w:tcPr>
            <w:tcW w:w="992" w:type="dxa"/>
            <w:vAlign w:val="center"/>
          </w:tcPr>
          <w:p w14:paraId="3909B8C6">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步骤合理用时</w:t>
            </w:r>
          </w:p>
        </w:tc>
        <w:tc>
          <w:tcPr>
            <w:tcW w:w="1475" w:type="dxa"/>
            <w:vAlign w:val="center"/>
          </w:tcPr>
          <w:p w14:paraId="48060790">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目标达成度赋分模型</w:t>
            </w:r>
          </w:p>
        </w:tc>
        <w:tc>
          <w:tcPr>
            <w:tcW w:w="850" w:type="dxa"/>
            <w:vAlign w:val="center"/>
          </w:tcPr>
          <w:p w14:paraId="26B4786C">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步骤满分</w:t>
            </w:r>
          </w:p>
        </w:tc>
        <w:tc>
          <w:tcPr>
            <w:tcW w:w="1985" w:type="dxa"/>
            <w:vAlign w:val="center"/>
          </w:tcPr>
          <w:p w14:paraId="0ABAFA98">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成绩类型</w:t>
            </w:r>
          </w:p>
        </w:tc>
      </w:tr>
      <w:tr w14:paraId="5754B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772" w:type="dxa"/>
            <w:vAlign w:val="center"/>
          </w:tcPr>
          <w:p w14:paraId="38E8D463">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2126" w:type="dxa"/>
            <w:vAlign w:val="center"/>
          </w:tcPr>
          <w:p w14:paraId="0A343B61">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知识学习模块选择学习语音大模型种类</w:t>
            </w:r>
          </w:p>
        </w:tc>
        <w:tc>
          <w:tcPr>
            <w:tcW w:w="992" w:type="dxa"/>
            <w:vAlign w:val="center"/>
          </w:tcPr>
          <w:p w14:paraId="77637650">
            <w:pPr>
              <w:adjustRightInd w:val="0"/>
              <w:snapToGrid w:val="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0.5</w:t>
            </w:r>
          </w:p>
        </w:tc>
        <w:tc>
          <w:tcPr>
            <w:tcW w:w="1475" w:type="dxa"/>
            <w:vAlign w:val="center"/>
          </w:tcPr>
          <w:p w14:paraId="6D425513">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1-5分</w:t>
            </w:r>
          </w:p>
        </w:tc>
        <w:tc>
          <w:tcPr>
            <w:tcW w:w="850" w:type="dxa"/>
            <w:vAlign w:val="center"/>
          </w:tcPr>
          <w:p w14:paraId="02C80280">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1985" w:type="dxa"/>
            <w:vMerge w:val="restart"/>
            <w:vAlign w:val="center"/>
          </w:tcPr>
          <w:p w14:paraId="1E313AF8">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sym w:font="Wingdings 2" w:char="F052"/>
            </w:r>
            <w:r>
              <w:rPr>
                <w:rFonts w:hint="default" w:ascii="Times New Roman" w:hAnsi="Times New Roman" w:eastAsia="宋体" w:cs="Times New Roman"/>
                <w:sz w:val="21"/>
                <w:szCs w:val="21"/>
              </w:rPr>
              <w:t>操作成绩</w:t>
            </w:r>
          </w:p>
          <w:p w14:paraId="64019332">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sym w:font="Wingdings 2" w:char="F052"/>
            </w:r>
            <w:r>
              <w:rPr>
                <w:rFonts w:hint="default" w:ascii="Times New Roman" w:hAnsi="Times New Roman" w:eastAsia="宋体" w:cs="Times New Roman"/>
                <w:sz w:val="21"/>
                <w:szCs w:val="21"/>
              </w:rPr>
              <w:t>实验报告</w:t>
            </w:r>
          </w:p>
          <w:p w14:paraId="628A50EF">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sym w:font="Wingdings 2" w:char="F052"/>
            </w:r>
            <w:r>
              <w:rPr>
                <w:rFonts w:hint="default" w:ascii="Times New Roman" w:hAnsi="Times New Roman" w:eastAsia="宋体" w:cs="Times New Roman"/>
                <w:sz w:val="21"/>
                <w:szCs w:val="21"/>
              </w:rPr>
              <w:t>预习成绩</w:t>
            </w:r>
          </w:p>
          <w:p w14:paraId="2F7BD64B">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sym w:font="Wingdings 2" w:char="F052"/>
            </w:r>
            <w:r>
              <w:rPr>
                <w:rFonts w:hint="default" w:ascii="Times New Roman" w:hAnsi="Times New Roman" w:eastAsia="宋体" w:cs="Times New Roman"/>
                <w:sz w:val="21"/>
                <w:szCs w:val="21"/>
              </w:rPr>
              <w:t>教师评价报告</w:t>
            </w:r>
          </w:p>
        </w:tc>
      </w:tr>
      <w:tr w14:paraId="6EE84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72" w:type="dxa"/>
            <w:vAlign w:val="center"/>
          </w:tcPr>
          <w:p w14:paraId="23FD741B">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2126" w:type="dxa"/>
            <w:vAlign w:val="center"/>
          </w:tcPr>
          <w:p w14:paraId="6A382C37">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知识学习模块选择学习分词方法</w:t>
            </w:r>
          </w:p>
        </w:tc>
        <w:tc>
          <w:tcPr>
            <w:tcW w:w="992" w:type="dxa"/>
            <w:vAlign w:val="center"/>
          </w:tcPr>
          <w:p w14:paraId="0DEFAE28">
            <w:pPr>
              <w:adjustRightInd w:val="0"/>
              <w:snapToGrid w:val="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0.5</w:t>
            </w:r>
          </w:p>
        </w:tc>
        <w:tc>
          <w:tcPr>
            <w:tcW w:w="1475" w:type="dxa"/>
            <w:vAlign w:val="center"/>
          </w:tcPr>
          <w:p w14:paraId="62E9E601">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1-5分</w:t>
            </w:r>
          </w:p>
        </w:tc>
        <w:tc>
          <w:tcPr>
            <w:tcW w:w="850" w:type="dxa"/>
            <w:vAlign w:val="center"/>
          </w:tcPr>
          <w:p w14:paraId="3DC8061F">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1985" w:type="dxa"/>
            <w:vMerge w:val="continue"/>
            <w:vAlign w:val="center"/>
          </w:tcPr>
          <w:p w14:paraId="7D908AED">
            <w:pPr>
              <w:adjustRightInd w:val="0"/>
              <w:snapToGrid w:val="0"/>
              <w:jc w:val="left"/>
              <w:rPr>
                <w:rFonts w:hint="default" w:ascii="Times New Roman" w:hAnsi="Times New Roman" w:eastAsia="宋体" w:cs="Times New Roman"/>
                <w:sz w:val="21"/>
                <w:szCs w:val="21"/>
              </w:rPr>
            </w:pPr>
          </w:p>
        </w:tc>
      </w:tr>
      <w:tr w14:paraId="1AECE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72" w:type="dxa"/>
            <w:vAlign w:val="center"/>
          </w:tcPr>
          <w:p w14:paraId="15DE25C0">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2126" w:type="dxa"/>
            <w:vAlign w:val="center"/>
          </w:tcPr>
          <w:p w14:paraId="26370867">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知识学习模块选定基于隐马尔可夫模型分词算法了解其参数及性能</w:t>
            </w:r>
          </w:p>
        </w:tc>
        <w:tc>
          <w:tcPr>
            <w:tcW w:w="992" w:type="dxa"/>
            <w:vAlign w:val="center"/>
          </w:tcPr>
          <w:p w14:paraId="3AAC8AD8">
            <w:pPr>
              <w:adjustRightInd w:val="0"/>
              <w:snapToGrid w:val="0"/>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val="en-US" w:eastAsia="zh-CN"/>
              </w:rPr>
              <w:t>1</w:t>
            </w:r>
          </w:p>
        </w:tc>
        <w:tc>
          <w:tcPr>
            <w:tcW w:w="1475" w:type="dxa"/>
            <w:vAlign w:val="center"/>
          </w:tcPr>
          <w:p w14:paraId="56F32D92">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1-10分</w:t>
            </w:r>
          </w:p>
        </w:tc>
        <w:tc>
          <w:tcPr>
            <w:tcW w:w="850" w:type="dxa"/>
            <w:vAlign w:val="center"/>
          </w:tcPr>
          <w:p w14:paraId="72FE46FC">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w:t>
            </w:r>
          </w:p>
        </w:tc>
        <w:tc>
          <w:tcPr>
            <w:tcW w:w="1985" w:type="dxa"/>
            <w:vMerge w:val="continue"/>
            <w:vAlign w:val="center"/>
          </w:tcPr>
          <w:p w14:paraId="75E62629">
            <w:pPr>
              <w:adjustRightInd w:val="0"/>
              <w:snapToGrid w:val="0"/>
              <w:jc w:val="left"/>
              <w:rPr>
                <w:rFonts w:hint="default" w:ascii="Times New Roman" w:hAnsi="Times New Roman" w:eastAsia="宋体" w:cs="Times New Roman"/>
                <w:sz w:val="21"/>
                <w:szCs w:val="21"/>
              </w:rPr>
            </w:pPr>
          </w:p>
        </w:tc>
      </w:tr>
      <w:tr w14:paraId="3B498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72" w:type="dxa"/>
            <w:vAlign w:val="center"/>
          </w:tcPr>
          <w:p w14:paraId="7C7AA3D9">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2126" w:type="dxa"/>
            <w:vAlign w:val="center"/>
          </w:tcPr>
          <w:p w14:paraId="44D67BB3">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知识学习模块选定基于N最短路径的分词算法了解其参数及性能</w:t>
            </w:r>
          </w:p>
        </w:tc>
        <w:tc>
          <w:tcPr>
            <w:tcW w:w="992" w:type="dxa"/>
            <w:vAlign w:val="center"/>
          </w:tcPr>
          <w:p w14:paraId="46A7AE91">
            <w:pPr>
              <w:adjustRightInd w:val="0"/>
              <w:snapToGrid w:val="0"/>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val="en-US" w:eastAsia="zh-CN"/>
              </w:rPr>
              <w:t>1</w:t>
            </w:r>
          </w:p>
        </w:tc>
        <w:tc>
          <w:tcPr>
            <w:tcW w:w="1475" w:type="dxa"/>
            <w:vAlign w:val="center"/>
          </w:tcPr>
          <w:p w14:paraId="382B236F">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1-10分</w:t>
            </w:r>
          </w:p>
        </w:tc>
        <w:tc>
          <w:tcPr>
            <w:tcW w:w="850" w:type="dxa"/>
            <w:vAlign w:val="center"/>
          </w:tcPr>
          <w:p w14:paraId="6F1AB4D0">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w:t>
            </w:r>
          </w:p>
        </w:tc>
        <w:tc>
          <w:tcPr>
            <w:tcW w:w="1985" w:type="dxa"/>
            <w:vMerge w:val="continue"/>
            <w:vAlign w:val="center"/>
          </w:tcPr>
          <w:p w14:paraId="17100A03">
            <w:pPr>
              <w:adjustRightInd w:val="0"/>
              <w:snapToGrid w:val="0"/>
              <w:jc w:val="left"/>
              <w:rPr>
                <w:rFonts w:hint="default" w:ascii="Times New Roman" w:hAnsi="Times New Roman" w:eastAsia="宋体" w:cs="Times New Roman"/>
                <w:sz w:val="21"/>
                <w:szCs w:val="21"/>
              </w:rPr>
            </w:pPr>
          </w:p>
        </w:tc>
      </w:tr>
      <w:tr w14:paraId="6CE6D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72" w:type="dxa"/>
            <w:vAlign w:val="center"/>
          </w:tcPr>
          <w:p w14:paraId="0ECFA096">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2126" w:type="dxa"/>
            <w:vAlign w:val="center"/>
          </w:tcPr>
          <w:p w14:paraId="79AACFD9">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知识学习模块选定基于CRF的分词算法了解其参数及性能</w:t>
            </w:r>
          </w:p>
        </w:tc>
        <w:tc>
          <w:tcPr>
            <w:tcW w:w="992" w:type="dxa"/>
            <w:vAlign w:val="center"/>
          </w:tcPr>
          <w:p w14:paraId="12958500">
            <w:pPr>
              <w:adjustRightInd w:val="0"/>
              <w:snapToGrid w:val="0"/>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val="en-US" w:eastAsia="zh-CN"/>
              </w:rPr>
              <w:t>1</w:t>
            </w:r>
          </w:p>
        </w:tc>
        <w:tc>
          <w:tcPr>
            <w:tcW w:w="1475" w:type="dxa"/>
            <w:vAlign w:val="center"/>
          </w:tcPr>
          <w:p w14:paraId="18E49D43">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1-10分</w:t>
            </w:r>
          </w:p>
        </w:tc>
        <w:tc>
          <w:tcPr>
            <w:tcW w:w="850" w:type="dxa"/>
            <w:vAlign w:val="center"/>
          </w:tcPr>
          <w:p w14:paraId="51F4E1C8">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w:t>
            </w:r>
          </w:p>
        </w:tc>
        <w:tc>
          <w:tcPr>
            <w:tcW w:w="1985" w:type="dxa"/>
            <w:vMerge w:val="continue"/>
            <w:vAlign w:val="center"/>
          </w:tcPr>
          <w:p w14:paraId="66E4D6E8">
            <w:pPr>
              <w:adjustRightInd w:val="0"/>
              <w:snapToGrid w:val="0"/>
              <w:jc w:val="left"/>
              <w:rPr>
                <w:rFonts w:hint="default" w:ascii="Times New Roman" w:hAnsi="Times New Roman" w:eastAsia="宋体" w:cs="Times New Roman"/>
                <w:sz w:val="21"/>
                <w:szCs w:val="21"/>
              </w:rPr>
            </w:pPr>
          </w:p>
        </w:tc>
      </w:tr>
      <w:tr w14:paraId="7FABA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72" w:type="dxa"/>
            <w:vAlign w:val="center"/>
          </w:tcPr>
          <w:p w14:paraId="3CB95D2F">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p>
        </w:tc>
        <w:tc>
          <w:tcPr>
            <w:tcW w:w="2126" w:type="dxa"/>
            <w:vAlign w:val="center"/>
          </w:tcPr>
          <w:p w14:paraId="6E14C0DD">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知识学习模块选定基于LSTM的分词算法了解其参数及性能</w:t>
            </w:r>
          </w:p>
        </w:tc>
        <w:tc>
          <w:tcPr>
            <w:tcW w:w="992" w:type="dxa"/>
            <w:vAlign w:val="center"/>
          </w:tcPr>
          <w:p w14:paraId="3FDE3735">
            <w:pPr>
              <w:adjustRightInd w:val="0"/>
              <w:snapToGrid w:val="0"/>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val="en-US" w:eastAsia="zh-CN"/>
              </w:rPr>
              <w:t>1</w:t>
            </w:r>
          </w:p>
        </w:tc>
        <w:tc>
          <w:tcPr>
            <w:tcW w:w="1475" w:type="dxa"/>
            <w:vAlign w:val="center"/>
          </w:tcPr>
          <w:p w14:paraId="276EA2E2">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1-10分</w:t>
            </w:r>
          </w:p>
        </w:tc>
        <w:tc>
          <w:tcPr>
            <w:tcW w:w="850" w:type="dxa"/>
            <w:vAlign w:val="center"/>
          </w:tcPr>
          <w:p w14:paraId="58CDBF2B">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w:t>
            </w:r>
          </w:p>
        </w:tc>
        <w:tc>
          <w:tcPr>
            <w:tcW w:w="1985" w:type="dxa"/>
            <w:vMerge w:val="continue"/>
            <w:vAlign w:val="center"/>
          </w:tcPr>
          <w:p w14:paraId="4B12B1EB">
            <w:pPr>
              <w:adjustRightInd w:val="0"/>
              <w:snapToGrid w:val="0"/>
              <w:jc w:val="left"/>
              <w:rPr>
                <w:rFonts w:hint="default" w:ascii="Times New Roman" w:hAnsi="Times New Roman" w:eastAsia="宋体" w:cs="Times New Roman"/>
                <w:sz w:val="21"/>
                <w:szCs w:val="21"/>
              </w:rPr>
            </w:pPr>
          </w:p>
        </w:tc>
      </w:tr>
      <w:tr w14:paraId="1D54C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72" w:type="dxa"/>
            <w:vAlign w:val="center"/>
          </w:tcPr>
          <w:p w14:paraId="4CC5C041">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w:t>
            </w:r>
          </w:p>
        </w:tc>
        <w:tc>
          <w:tcPr>
            <w:tcW w:w="2126" w:type="dxa"/>
            <w:vAlign w:val="center"/>
          </w:tcPr>
          <w:p w14:paraId="09432A03">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知识学习模块选定基于BiLSTM的分词算法了解其参数及性能</w:t>
            </w:r>
          </w:p>
        </w:tc>
        <w:tc>
          <w:tcPr>
            <w:tcW w:w="992" w:type="dxa"/>
            <w:vAlign w:val="center"/>
          </w:tcPr>
          <w:p w14:paraId="63F7A268">
            <w:pPr>
              <w:adjustRightInd w:val="0"/>
              <w:snapToGrid w:val="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0.5</w:t>
            </w:r>
          </w:p>
        </w:tc>
        <w:tc>
          <w:tcPr>
            <w:tcW w:w="1475" w:type="dxa"/>
            <w:vAlign w:val="center"/>
          </w:tcPr>
          <w:p w14:paraId="275ED63B">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1-10分</w:t>
            </w:r>
          </w:p>
        </w:tc>
        <w:tc>
          <w:tcPr>
            <w:tcW w:w="850" w:type="dxa"/>
            <w:vAlign w:val="center"/>
          </w:tcPr>
          <w:p w14:paraId="7AEFA871">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w:t>
            </w:r>
          </w:p>
        </w:tc>
        <w:tc>
          <w:tcPr>
            <w:tcW w:w="1985" w:type="dxa"/>
            <w:vMerge w:val="continue"/>
            <w:vAlign w:val="center"/>
          </w:tcPr>
          <w:p w14:paraId="3DDD0223">
            <w:pPr>
              <w:adjustRightInd w:val="0"/>
              <w:snapToGrid w:val="0"/>
              <w:jc w:val="left"/>
              <w:rPr>
                <w:rFonts w:hint="default" w:ascii="Times New Roman" w:hAnsi="Times New Roman" w:eastAsia="宋体" w:cs="Times New Roman"/>
                <w:sz w:val="21"/>
                <w:szCs w:val="21"/>
              </w:rPr>
            </w:pPr>
          </w:p>
        </w:tc>
      </w:tr>
      <w:tr w14:paraId="0762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72" w:type="dxa"/>
            <w:vAlign w:val="center"/>
          </w:tcPr>
          <w:p w14:paraId="7A6690AB">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w:t>
            </w:r>
          </w:p>
        </w:tc>
        <w:tc>
          <w:tcPr>
            <w:tcW w:w="2126" w:type="dxa"/>
            <w:vAlign w:val="center"/>
          </w:tcPr>
          <w:p w14:paraId="254C5C22">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实践操作模块语音转文字功能操作</w:t>
            </w:r>
          </w:p>
        </w:tc>
        <w:tc>
          <w:tcPr>
            <w:tcW w:w="992" w:type="dxa"/>
            <w:vAlign w:val="center"/>
          </w:tcPr>
          <w:p w14:paraId="36D0DA01">
            <w:pPr>
              <w:adjustRightInd w:val="0"/>
              <w:snapToGrid w:val="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0.5</w:t>
            </w:r>
          </w:p>
        </w:tc>
        <w:tc>
          <w:tcPr>
            <w:tcW w:w="1475" w:type="dxa"/>
            <w:vAlign w:val="center"/>
          </w:tcPr>
          <w:p w14:paraId="6ACCFB50">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1-5分</w:t>
            </w:r>
          </w:p>
        </w:tc>
        <w:tc>
          <w:tcPr>
            <w:tcW w:w="850" w:type="dxa"/>
            <w:vAlign w:val="center"/>
          </w:tcPr>
          <w:p w14:paraId="169E38F8">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1985" w:type="dxa"/>
            <w:vMerge w:val="continue"/>
            <w:vAlign w:val="center"/>
          </w:tcPr>
          <w:p w14:paraId="220273AE">
            <w:pPr>
              <w:adjustRightInd w:val="0"/>
              <w:snapToGrid w:val="0"/>
              <w:jc w:val="left"/>
              <w:rPr>
                <w:rFonts w:hint="default" w:ascii="Times New Roman" w:hAnsi="Times New Roman" w:eastAsia="宋体" w:cs="Times New Roman"/>
                <w:sz w:val="21"/>
                <w:szCs w:val="21"/>
              </w:rPr>
            </w:pPr>
          </w:p>
        </w:tc>
      </w:tr>
      <w:tr w14:paraId="40C1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72" w:type="dxa"/>
            <w:vAlign w:val="center"/>
          </w:tcPr>
          <w:p w14:paraId="5A78C864">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w:t>
            </w:r>
          </w:p>
        </w:tc>
        <w:tc>
          <w:tcPr>
            <w:tcW w:w="2126" w:type="dxa"/>
            <w:vAlign w:val="center"/>
          </w:tcPr>
          <w:p w14:paraId="7981047B">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实践操作模块文字转语音功能操作</w:t>
            </w:r>
          </w:p>
        </w:tc>
        <w:tc>
          <w:tcPr>
            <w:tcW w:w="992" w:type="dxa"/>
            <w:vAlign w:val="center"/>
          </w:tcPr>
          <w:p w14:paraId="5E340671">
            <w:pPr>
              <w:adjustRightInd w:val="0"/>
              <w:snapToGrid w:val="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0.5</w:t>
            </w:r>
          </w:p>
        </w:tc>
        <w:tc>
          <w:tcPr>
            <w:tcW w:w="1475" w:type="dxa"/>
            <w:vAlign w:val="center"/>
          </w:tcPr>
          <w:p w14:paraId="641AFF08">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1-5分</w:t>
            </w:r>
          </w:p>
        </w:tc>
        <w:tc>
          <w:tcPr>
            <w:tcW w:w="850" w:type="dxa"/>
            <w:vAlign w:val="center"/>
          </w:tcPr>
          <w:p w14:paraId="28C200F3">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1985" w:type="dxa"/>
            <w:vMerge w:val="continue"/>
            <w:vAlign w:val="center"/>
          </w:tcPr>
          <w:p w14:paraId="1160F408">
            <w:pPr>
              <w:adjustRightInd w:val="0"/>
              <w:snapToGrid w:val="0"/>
              <w:jc w:val="left"/>
              <w:rPr>
                <w:rFonts w:hint="default" w:ascii="Times New Roman" w:hAnsi="Times New Roman" w:eastAsia="宋体" w:cs="Times New Roman"/>
                <w:sz w:val="21"/>
                <w:szCs w:val="21"/>
              </w:rPr>
            </w:pPr>
          </w:p>
        </w:tc>
      </w:tr>
      <w:tr w14:paraId="02BE7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72" w:type="dxa"/>
            <w:vAlign w:val="center"/>
          </w:tcPr>
          <w:p w14:paraId="23BE75E3">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w:t>
            </w:r>
          </w:p>
        </w:tc>
        <w:tc>
          <w:tcPr>
            <w:tcW w:w="2126" w:type="dxa"/>
            <w:vAlign w:val="center"/>
          </w:tcPr>
          <w:p w14:paraId="6CAB4108">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实践操作模块智能问答功能操作</w:t>
            </w:r>
          </w:p>
        </w:tc>
        <w:tc>
          <w:tcPr>
            <w:tcW w:w="992" w:type="dxa"/>
            <w:vAlign w:val="center"/>
          </w:tcPr>
          <w:p w14:paraId="67B6D156">
            <w:pPr>
              <w:adjustRightInd w:val="0"/>
              <w:snapToGrid w:val="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0.5</w:t>
            </w:r>
          </w:p>
        </w:tc>
        <w:tc>
          <w:tcPr>
            <w:tcW w:w="1475" w:type="dxa"/>
            <w:vAlign w:val="center"/>
          </w:tcPr>
          <w:p w14:paraId="7845696E">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1-5分</w:t>
            </w:r>
          </w:p>
        </w:tc>
        <w:tc>
          <w:tcPr>
            <w:tcW w:w="850" w:type="dxa"/>
            <w:vAlign w:val="center"/>
          </w:tcPr>
          <w:p w14:paraId="2093E174">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1985" w:type="dxa"/>
            <w:vMerge w:val="continue"/>
            <w:vAlign w:val="center"/>
          </w:tcPr>
          <w:p w14:paraId="1E27E737">
            <w:pPr>
              <w:adjustRightInd w:val="0"/>
              <w:snapToGrid w:val="0"/>
              <w:jc w:val="left"/>
              <w:rPr>
                <w:rFonts w:hint="default" w:ascii="Times New Roman" w:hAnsi="Times New Roman" w:eastAsia="宋体" w:cs="Times New Roman"/>
                <w:sz w:val="21"/>
                <w:szCs w:val="21"/>
              </w:rPr>
            </w:pPr>
          </w:p>
        </w:tc>
      </w:tr>
      <w:tr w14:paraId="6B6A6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72" w:type="dxa"/>
            <w:vAlign w:val="center"/>
          </w:tcPr>
          <w:p w14:paraId="130D745A">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w:t>
            </w:r>
          </w:p>
        </w:tc>
        <w:tc>
          <w:tcPr>
            <w:tcW w:w="2126" w:type="dxa"/>
            <w:vAlign w:val="center"/>
          </w:tcPr>
          <w:p w14:paraId="569BB380">
            <w:pPr>
              <w:adjustRightInd w:val="0"/>
              <w:snapToGrid w:val="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考核与报告模块完成考核</w:t>
            </w:r>
          </w:p>
        </w:tc>
        <w:tc>
          <w:tcPr>
            <w:tcW w:w="992" w:type="dxa"/>
            <w:vAlign w:val="center"/>
          </w:tcPr>
          <w:p w14:paraId="246897E3">
            <w:pPr>
              <w:adjustRightInd w:val="0"/>
              <w:snapToGrid w:val="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0.5</w:t>
            </w:r>
          </w:p>
        </w:tc>
        <w:tc>
          <w:tcPr>
            <w:tcW w:w="1475" w:type="dxa"/>
            <w:vAlign w:val="center"/>
          </w:tcPr>
          <w:p w14:paraId="5C90710E">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1-10分</w:t>
            </w:r>
          </w:p>
        </w:tc>
        <w:tc>
          <w:tcPr>
            <w:tcW w:w="850" w:type="dxa"/>
            <w:vAlign w:val="center"/>
          </w:tcPr>
          <w:p w14:paraId="1FD703F4">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w:t>
            </w:r>
          </w:p>
        </w:tc>
        <w:tc>
          <w:tcPr>
            <w:tcW w:w="1985" w:type="dxa"/>
            <w:vMerge w:val="continue"/>
            <w:vAlign w:val="center"/>
          </w:tcPr>
          <w:p w14:paraId="6B642B55">
            <w:pPr>
              <w:adjustRightInd w:val="0"/>
              <w:snapToGrid w:val="0"/>
              <w:jc w:val="left"/>
              <w:rPr>
                <w:rFonts w:hint="default" w:ascii="Times New Roman" w:hAnsi="Times New Roman" w:eastAsia="宋体" w:cs="Times New Roman"/>
                <w:sz w:val="21"/>
                <w:szCs w:val="21"/>
              </w:rPr>
            </w:pPr>
          </w:p>
        </w:tc>
      </w:tr>
      <w:tr w14:paraId="24919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72" w:type="dxa"/>
            <w:vAlign w:val="center"/>
          </w:tcPr>
          <w:p w14:paraId="14015695">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12</w:t>
            </w:r>
          </w:p>
        </w:tc>
        <w:tc>
          <w:tcPr>
            <w:tcW w:w="2126" w:type="dxa"/>
            <w:vAlign w:val="center"/>
          </w:tcPr>
          <w:p w14:paraId="20CE72A5">
            <w:pPr>
              <w:adjustRightInd w:val="0"/>
              <w:snapToGrid w:val="0"/>
              <w:rPr>
                <w:rFonts w:hint="default" w:ascii="Times New Roman" w:hAnsi="Times New Roman" w:eastAsia="宋体" w:cs="Times New Roman"/>
                <w:sz w:val="21"/>
                <w:szCs w:val="21"/>
              </w:rPr>
            </w:pPr>
            <w:bookmarkStart w:id="0" w:name="_GoBack"/>
            <w:r>
              <w:rPr>
                <w:rFonts w:hint="default" w:ascii="Times New Roman" w:hAnsi="Times New Roman" w:eastAsia="宋体" w:cs="Times New Roman"/>
                <w:sz w:val="21"/>
                <w:szCs w:val="21"/>
              </w:rPr>
              <w:t>考核与报告模块填写实验报告</w:t>
            </w:r>
            <w:bookmarkEnd w:id="0"/>
          </w:p>
        </w:tc>
        <w:tc>
          <w:tcPr>
            <w:tcW w:w="992" w:type="dxa"/>
            <w:vAlign w:val="center"/>
          </w:tcPr>
          <w:p w14:paraId="3D93A288">
            <w:pPr>
              <w:adjustRightInd w:val="0"/>
              <w:snapToGrid w:val="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0.5</w:t>
            </w:r>
          </w:p>
        </w:tc>
        <w:tc>
          <w:tcPr>
            <w:tcW w:w="1475" w:type="dxa"/>
            <w:vAlign w:val="center"/>
          </w:tcPr>
          <w:p w14:paraId="2F2068F0">
            <w:pPr>
              <w:adjustRightInd w:val="0"/>
              <w:snapToGrid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1-15分</w:t>
            </w:r>
          </w:p>
        </w:tc>
        <w:tc>
          <w:tcPr>
            <w:tcW w:w="850" w:type="dxa"/>
            <w:vAlign w:val="center"/>
          </w:tcPr>
          <w:p w14:paraId="1B45B9C5">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15</w:t>
            </w:r>
          </w:p>
        </w:tc>
        <w:tc>
          <w:tcPr>
            <w:tcW w:w="1985" w:type="dxa"/>
            <w:vMerge w:val="continue"/>
            <w:vAlign w:val="center"/>
          </w:tcPr>
          <w:p w14:paraId="6739BAC2">
            <w:pPr>
              <w:adjustRightInd w:val="0"/>
              <w:snapToGrid w:val="0"/>
              <w:jc w:val="left"/>
              <w:rPr>
                <w:rFonts w:hint="default" w:ascii="Times New Roman" w:hAnsi="Times New Roman" w:eastAsia="宋体" w:cs="Times New Roman"/>
                <w:sz w:val="21"/>
                <w:szCs w:val="21"/>
              </w:rPr>
            </w:pPr>
          </w:p>
        </w:tc>
      </w:tr>
    </w:tbl>
    <w:p w14:paraId="1814BAF8">
      <w:pPr>
        <w:pStyle w:val="2"/>
        <w:ind w:left="0" w:leftChars="0" w:firstLine="0" w:firstLineChars="0"/>
        <w:rPr>
          <w:rFonts w:hint="eastAsia"/>
          <w:sz w:val="24"/>
          <w:szCs w:val="24"/>
        </w:rPr>
      </w:pPr>
    </w:p>
    <w:p w14:paraId="0CCCEC7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sz w:val="24"/>
          <w:szCs w:val="24"/>
        </w:rPr>
      </w:pPr>
      <w:r>
        <w:rPr>
          <w:rFonts w:hint="eastAsia"/>
          <w:sz w:val="24"/>
          <w:szCs w:val="24"/>
          <w:lang w:eastAsia="zh-CN"/>
        </w:rPr>
        <w:t>【</w:t>
      </w:r>
      <w:r>
        <w:rPr>
          <w:rFonts w:hint="default" w:ascii="Times New Roman" w:hAnsi="Times New Roman" w:eastAsia="宋体" w:cs="Times New Roman"/>
          <w:b/>
          <w:bCs/>
          <w:color w:val="000000"/>
          <w:sz w:val="21"/>
          <w:szCs w:val="21"/>
        </w:rPr>
        <w:t>案例教学实施方法</w:t>
      </w:r>
      <w:r>
        <w:rPr>
          <w:rFonts w:hint="eastAsia"/>
          <w:sz w:val="24"/>
          <w:szCs w:val="24"/>
          <w:lang w:eastAsia="zh-CN"/>
        </w:rPr>
        <w:t>】</w:t>
      </w:r>
      <w:r>
        <w:rPr>
          <w:rFonts w:hint="eastAsia"/>
          <w:sz w:val="24"/>
          <w:szCs w:val="24"/>
        </w:rPr>
        <w:t>：</w:t>
      </w:r>
    </w:p>
    <w:p w14:paraId="585A82C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案例教学采用多种教学方法，包括教师讲解、视频演示、学生互动和自主探究等。在教学过程中，教师可以示范演示不同参数设置、不同模型选择对问答效果准确率的影响，通过与学生进行互动，引导学生进行实验操作和思考。同时，学生可以通过自主探究和合作学习等方式，在实验中提高自己对智能问答系统原理的认知和理解。</w:t>
      </w:r>
    </w:p>
    <w:p w14:paraId="0F672B6A">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sz w:val="24"/>
          <w:szCs w:val="24"/>
        </w:rPr>
      </w:pPr>
      <w:r>
        <w:rPr>
          <w:rFonts w:hint="eastAsia"/>
          <w:sz w:val="24"/>
          <w:szCs w:val="24"/>
          <w:lang w:eastAsia="zh-CN"/>
        </w:rPr>
        <w:t>【</w:t>
      </w:r>
      <w:r>
        <w:rPr>
          <w:rFonts w:hint="default" w:ascii="Times New Roman" w:hAnsi="Times New Roman" w:eastAsia="宋体" w:cs="Times New Roman"/>
          <w:b/>
          <w:bCs/>
          <w:color w:val="000000"/>
          <w:sz w:val="21"/>
          <w:szCs w:val="21"/>
        </w:rPr>
        <w:t>案例实施有效路径</w:t>
      </w:r>
      <w:r>
        <w:rPr>
          <w:rFonts w:hint="eastAsia"/>
          <w:sz w:val="24"/>
          <w:szCs w:val="24"/>
          <w:lang w:eastAsia="zh-CN"/>
        </w:rPr>
        <w:t>】</w:t>
      </w:r>
      <w:r>
        <w:rPr>
          <w:rFonts w:hint="eastAsia"/>
          <w:sz w:val="24"/>
          <w:szCs w:val="24"/>
        </w:rPr>
        <w:t>：</w:t>
      </w:r>
    </w:p>
    <w:p w14:paraId="1FFAF82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本案例教学过程采用预习、检验预习成功、指导实验过程、评价实验结果、分析实验结果并持续改进下一周期的教学过程的闭环流程。具体包括以下步骤。</w:t>
      </w:r>
    </w:p>
    <w:p w14:paraId="0B68954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（1）教师提前下发课程任务。教师在课程一周前，通过教学系统创建课程任务，包括明确的课程目标、要求、考核标准并提供相关参考资料，并将任务推送给学生。</w:t>
      </w:r>
    </w:p>
    <w:p w14:paraId="4A6077C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（2）学生接收课程任务，预习课程内容。学生通过教学系统接收、查看、了解课程任务，根据任务要求完成前期项目调研、复习相关知识和技术等准备工作，以保障在课程上具有能力有序开展实验。</w:t>
      </w:r>
    </w:p>
    <w:p w14:paraId="261E70A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（3）教师考察学生预习情况，并进行评价。教师依据其下发的实验开展所需知识和能力，设计线上考试、前置实验操作等考核方式，对学生的预习成果进行评估。</w:t>
      </w:r>
    </w:p>
    <w:p w14:paraId="5D3C9BA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教师指导实验过程。在实验过程中，教师强调软件工程规范，并针对项目的需求分析、设计、实现等设计引导性问题，启发学生自主思考；针对学生遇到的问题及时解答或给出提示，激发学生兴趣和创新意识，注重培养学生分析问题、解决问题的能力和团队合作能力；对学生的过程表现及时记录，作为过程评价依据。</w:t>
      </w:r>
    </w:p>
    <w:p w14:paraId="0DA3E38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（5）教师根据学生课程任务完成情况进行结果性评价。教师依据考核标准，根据课程任务完成的进度和效果对每个学生的课程实验结果进行评分。</w:t>
      </w:r>
    </w:p>
    <w:p w14:paraId="6D05B59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（6）教师通过汇总预习、过程和结果评价数据，对学生个体及总体学习效果进行分析，总结教学过程中的优缺点，以此改进下一个周期的实验教学过程进行。</w:t>
      </w:r>
    </w:p>
    <w:p w14:paraId="4ABD8D5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 w:val="24"/>
          <w:szCs w:val="24"/>
        </w:rPr>
      </w:pPr>
      <w:r>
        <w:rPr>
          <w:rFonts w:hint="default" w:ascii="Times New Roman" w:hAnsi="Times New Roman" w:eastAsia="宋体" w:cs="Times New Roman"/>
          <w:sz w:val="21"/>
          <w:szCs w:val="21"/>
        </w:rPr>
        <w:t>实验方法主要采用控制变量法，在整个实验过程中，通过对每个参数值进行修改，观察实验结果的变化情况，并分析总结变化规律，依此获取最佳的实验效果。</w:t>
      </w:r>
    </w:p>
    <w:p w14:paraId="4500A8E4">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sz w:val="24"/>
          <w:szCs w:val="24"/>
        </w:rPr>
      </w:pPr>
      <w:r>
        <w:rPr>
          <w:rFonts w:hint="eastAsia"/>
          <w:sz w:val="24"/>
          <w:szCs w:val="24"/>
          <w:lang w:eastAsia="zh-CN"/>
        </w:rPr>
        <w:t>【</w:t>
      </w:r>
      <w:r>
        <w:rPr>
          <w:rFonts w:hint="eastAsia"/>
          <w:sz w:val="24"/>
          <w:szCs w:val="24"/>
        </w:rPr>
        <w:t>评估与考核</w:t>
      </w:r>
      <w:r>
        <w:rPr>
          <w:rFonts w:hint="eastAsia"/>
          <w:sz w:val="24"/>
          <w:szCs w:val="24"/>
          <w:lang w:eastAsia="zh-CN"/>
        </w:rPr>
        <w:t>】</w:t>
      </w:r>
      <w:r>
        <w:rPr>
          <w:rFonts w:hint="eastAsia"/>
          <w:sz w:val="24"/>
          <w:szCs w:val="24"/>
        </w:rPr>
        <w:t>：</w:t>
      </w:r>
    </w:p>
    <w:p w14:paraId="55A7248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sz w:val="24"/>
          <w:szCs w:val="24"/>
          <w:lang w:val="en-US" w:eastAsia="zh-CN"/>
        </w:rPr>
      </w:pPr>
      <w:r>
        <w:rPr>
          <w:rFonts w:hint="eastAsia"/>
          <w:sz w:val="24"/>
          <w:szCs w:val="24"/>
          <w:lang w:val="en-US" w:eastAsia="zh-CN"/>
        </w:rPr>
        <w:t>成绩构成：操作成绩、实验报告成绩，预习成绩，教师评价成绩</w:t>
      </w:r>
    </w:p>
    <w:p w14:paraId="386015DD">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sz w:val="24"/>
          <w:szCs w:val="24"/>
          <w:lang w:val="en-US" w:eastAsia="zh-CN"/>
        </w:rPr>
      </w:pPr>
      <w:r>
        <w:rPr>
          <w:rFonts w:hint="eastAsia"/>
          <w:sz w:val="24"/>
          <w:szCs w:val="24"/>
          <w:lang w:val="en-US" w:eastAsia="zh-CN"/>
        </w:rPr>
        <w:t>考核内容</w:t>
      </w:r>
    </w:p>
    <w:p w14:paraId="517CFCD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sz w:val="24"/>
          <w:szCs w:val="24"/>
        </w:rPr>
      </w:pPr>
      <w:r>
        <w:rPr>
          <w:rFonts w:hint="eastAsia"/>
          <w:sz w:val="24"/>
          <w:szCs w:val="24"/>
          <w:lang w:eastAsia="zh-CN"/>
        </w:rPr>
        <w:t>（</w:t>
      </w:r>
      <w:r>
        <w:rPr>
          <w:rFonts w:hint="eastAsia"/>
          <w:sz w:val="24"/>
          <w:szCs w:val="24"/>
          <w:lang w:val="en-US" w:eastAsia="zh-CN"/>
        </w:rPr>
        <w:t>1</w:t>
      </w:r>
      <w:r>
        <w:rPr>
          <w:rFonts w:hint="eastAsia"/>
          <w:sz w:val="24"/>
          <w:szCs w:val="24"/>
          <w:lang w:eastAsia="zh-CN"/>
        </w:rPr>
        <w:t>）</w:t>
      </w:r>
      <w:r>
        <w:rPr>
          <w:rFonts w:hint="eastAsia"/>
          <w:sz w:val="24"/>
          <w:szCs w:val="24"/>
        </w:rPr>
        <w:t>项目完成度：</w:t>
      </w:r>
      <w:r>
        <w:rPr>
          <w:rFonts w:hint="eastAsia"/>
          <w:sz w:val="24"/>
          <w:szCs w:val="24"/>
          <w:lang w:val="en-US" w:eastAsia="zh-CN"/>
        </w:rPr>
        <w:t>案例</w:t>
      </w:r>
      <w:r>
        <w:rPr>
          <w:rFonts w:hint="eastAsia"/>
          <w:sz w:val="24"/>
          <w:szCs w:val="24"/>
        </w:rPr>
        <w:t>操作。</w:t>
      </w:r>
    </w:p>
    <w:p w14:paraId="19E8675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sz w:val="24"/>
          <w:szCs w:val="24"/>
        </w:rPr>
      </w:pPr>
      <w:r>
        <w:rPr>
          <w:rFonts w:hint="eastAsia"/>
          <w:sz w:val="24"/>
          <w:szCs w:val="24"/>
          <w:lang w:eastAsia="zh-CN"/>
        </w:rPr>
        <w:t>（</w:t>
      </w:r>
      <w:r>
        <w:rPr>
          <w:rFonts w:hint="eastAsia"/>
          <w:sz w:val="24"/>
          <w:szCs w:val="24"/>
          <w:lang w:val="en-US" w:eastAsia="zh-CN"/>
        </w:rPr>
        <w:t>2</w:t>
      </w:r>
      <w:r>
        <w:rPr>
          <w:rFonts w:hint="eastAsia"/>
          <w:sz w:val="24"/>
          <w:szCs w:val="24"/>
          <w:lang w:eastAsia="zh-CN"/>
        </w:rPr>
        <w:t>）</w:t>
      </w:r>
      <w:r>
        <w:rPr>
          <w:rFonts w:hint="eastAsia"/>
          <w:sz w:val="24"/>
          <w:szCs w:val="24"/>
        </w:rPr>
        <w:t>团队协作与文档：团队合作、文档完整性与规范性。</w:t>
      </w:r>
    </w:p>
    <w:p w14:paraId="0EC7831B">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eastAsiaTheme="minorEastAsia"/>
          <w:sz w:val="24"/>
          <w:szCs w:val="24"/>
          <w:lang w:val="en-US" w:eastAsia="zh-CN"/>
        </w:rPr>
      </w:pPr>
      <w:r>
        <w:rPr>
          <w:rFonts w:hint="eastAsia"/>
          <w:sz w:val="24"/>
          <w:szCs w:val="24"/>
          <w:lang w:eastAsia="zh-CN"/>
        </w:rPr>
        <w:t>（</w:t>
      </w:r>
      <w:r>
        <w:rPr>
          <w:rFonts w:hint="eastAsia"/>
          <w:sz w:val="24"/>
          <w:szCs w:val="24"/>
          <w:lang w:val="en-US" w:eastAsia="zh-CN"/>
        </w:rPr>
        <w:t>3</w:t>
      </w:r>
      <w:r>
        <w:rPr>
          <w:rFonts w:hint="eastAsia"/>
          <w:sz w:val="24"/>
          <w:szCs w:val="24"/>
          <w:lang w:eastAsia="zh-CN"/>
        </w:rPr>
        <w:t>）</w:t>
      </w:r>
      <w:r>
        <w:rPr>
          <w:rFonts w:hint="eastAsia"/>
          <w:sz w:val="24"/>
          <w:szCs w:val="24"/>
          <w:lang w:val="en-US" w:eastAsia="zh-CN"/>
        </w:rPr>
        <w:t>课前提问：学生预习情况</w:t>
      </w:r>
    </w:p>
    <w:p w14:paraId="1BDD47B4">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sz w:val="24"/>
          <w:szCs w:val="24"/>
        </w:rPr>
      </w:pPr>
      <w:r>
        <w:rPr>
          <w:rFonts w:hint="eastAsia"/>
          <w:sz w:val="24"/>
          <w:szCs w:val="24"/>
          <w:lang w:eastAsia="zh-CN"/>
        </w:rPr>
        <w:t>（</w:t>
      </w:r>
      <w:r>
        <w:rPr>
          <w:rFonts w:hint="eastAsia"/>
          <w:sz w:val="24"/>
          <w:szCs w:val="24"/>
          <w:lang w:val="en-US" w:eastAsia="zh-CN"/>
        </w:rPr>
        <w:t>4</w:t>
      </w:r>
      <w:r>
        <w:rPr>
          <w:rFonts w:hint="eastAsia"/>
          <w:sz w:val="24"/>
          <w:szCs w:val="24"/>
          <w:lang w:eastAsia="zh-CN"/>
        </w:rPr>
        <w:t>）</w:t>
      </w:r>
      <w:r>
        <w:rPr>
          <w:rFonts w:hint="eastAsia"/>
          <w:sz w:val="24"/>
          <w:szCs w:val="24"/>
        </w:rPr>
        <w:t>现场演示与答辩：项目演示、问题解答能力</w:t>
      </w:r>
      <w:r>
        <w:rPr>
          <w:rFonts w:hint="eastAsia"/>
          <w:sz w:val="24"/>
          <w:szCs w:val="24"/>
          <w:lang w:eastAsia="zh-CN"/>
        </w:rPr>
        <w:t>，</w:t>
      </w:r>
      <w:r>
        <w:rPr>
          <w:rFonts w:hint="eastAsia"/>
          <w:sz w:val="24"/>
          <w:szCs w:val="24"/>
          <w:lang w:val="en-US" w:eastAsia="zh-CN"/>
        </w:rPr>
        <w:t>项目</w:t>
      </w:r>
      <w:r>
        <w:rPr>
          <w:rFonts w:hint="eastAsia"/>
          <w:sz w:val="24"/>
          <w:szCs w:val="24"/>
        </w:rPr>
        <w:t>创新与扩展</w:t>
      </w:r>
      <w:r>
        <w:rPr>
          <w:rFonts w:hint="eastAsia"/>
          <w:sz w:val="24"/>
          <w:szCs w:val="24"/>
          <w:lang w:val="en-US" w:eastAsia="zh-CN"/>
        </w:rPr>
        <w:t>情况</w:t>
      </w:r>
      <w:r>
        <w:rPr>
          <w:rFonts w:hint="eastAsia"/>
          <w:sz w:val="24"/>
          <w:szCs w:val="24"/>
        </w:rPr>
        <w:t>。</w:t>
      </w:r>
    </w:p>
    <w:p w14:paraId="2948B68F">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eastAsiaTheme="minorEastAsia"/>
          <w:sz w:val="24"/>
          <w:szCs w:val="24"/>
          <w:lang w:val="en-US" w:eastAsia="zh-CN"/>
        </w:rPr>
      </w:pPr>
      <w:r>
        <w:rPr>
          <w:rFonts w:hint="eastAsia"/>
          <w:sz w:val="24"/>
          <w:szCs w:val="24"/>
          <w:lang w:eastAsia="zh-CN"/>
        </w:rPr>
        <w:t>【</w:t>
      </w:r>
      <w:r>
        <w:rPr>
          <w:rFonts w:hint="eastAsia"/>
          <w:sz w:val="24"/>
          <w:szCs w:val="24"/>
          <w:lang w:val="en-US" w:eastAsia="zh-CN"/>
        </w:rPr>
        <w:t>总结】：</w:t>
      </w:r>
    </w:p>
    <w:p w14:paraId="14D5544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本实验课程集认知学习、操作练习、考核评价、开放探究于一体，实现与线下教学相结合的分段式教学，为学生提供从演示到探究的多层级内容，教学设计较为合理。</w:t>
      </w:r>
    </w:p>
    <w:p w14:paraId="3956E05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围绕课程教学目标，线上虚拟实验与线下生产检定实践相结合。实验采用线上、线下教学和线上实验相结合；线上实验与线上、线下讨论相结合的教学方式。</w:t>
      </w:r>
    </w:p>
    <w:p w14:paraId="279DE48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知识学习、开放探究、考核评价一体化。本实验课程以学生为中心，集认知学习、操作练习、考核评价、开放探究为一体，围绕实验目标将实验、实践过程划分为实验教学、实验测试、实验过程和实验评价等模块，实现理论与实践并重、基础与前沿并重、过程评价与结果评价并重。</w:t>
      </w:r>
    </w:p>
    <w:p w14:paraId="7A6B4EB5">
      <w:pPr>
        <w:pStyle w:val="2"/>
        <w:ind w:left="0" w:leftChars="0" w:firstLine="0" w:firstLineChars="0"/>
        <w:rPr>
          <w:rFonts w:hint="eastAsia"/>
        </w:rPr>
      </w:pPr>
    </w:p>
    <w:p w14:paraId="0A680603">
      <w:pPr>
        <w:rPr>
          <w:rFonts w:hint="eastAsia"/>
        </w:rPr>
      </w:pPr>
    </w:p>
    <w:p w14:paraId="3459064A">
      <w:pPr>
        <w:rPr>
          <w:rFonts w:hint="eastAsia"/>
        </w:rPr>
      </w:pPr>
    </w:p>
    <w:p w14:paraId="2661FD52">
      <w:pPr>
        <w:rPr>
          <w:rFonts w:hint="eastAsia"/>
        </w:rPr>
      </w:pPr>
    </w:p>
    <w:p w14:paraId="794210A3">
      <w:pPr>
        <w:rPr>
          <w:rFonts w:hint="eastAsia"/>
        </w:rPr>
      </w:pPr>
    </w:p>
    <w:p w14:paraId="15E8171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4OWZjMTY5M2QwMDVjZGY0ZTgzYTE2Y2Q3NWI0MWEifQ=="/>
  </w:docVars>
  <w:rsids>
    <w:rsidRoot w:val="00000000"/>
    <w:rsid w:val="050C7003"/>
    <w:rsid w:val="09CD06DC"/>
    <w:rsid w:val="36E901F2"/>
    <w:rsid w:val="61655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Times New Roman" w:hAnsi="Times New Roman"/>
      <w:color w:val="000000"/>
      <w:kern w:val="0"/>
      <w:szCs w:val="21"/>
    </w:rPr>
  </w:style>
  <w:style w:type="table" w:styleId="4">
    <w:name w:val="Table Grid"/>
    <w:basedOn w:val="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1986</Words>
  <Characters>2063</Characters>
  <Lines>0</Lines>
  <Paragraphs>0</Paragraphs>
  <TotalTime>4</TotalTime>
  <ScaleCrop>false</ScaleCrop>
  <LinksUpToDate>false</LinksUpToDate>
  <CharactersWithSpaces>2069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2024-07-02T01:55:00Z</dcterms:created>
  <dc:creator>Administrator</dc:creator>
  <cp:lastModifiedBy>陈明</cp:lastModifiedBy>
  <dcterms:modified xsi:type="dcterms:W3CDTF">2024-07-02T03:30:42Z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C8E5847A9752430CB1F42FE95069D536_12</vt:lpwstr>
  </property>
</Properties>
</file>