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firstLineChars="0"/>
        <w:rPr>
          <w:rFonts w:ascii="仿宋" w:hAnsi="仿宋" w:eastAsia="仿宋"/>
          <w:sz w:val="32"/>
          <w:szCs w:val="32"/>
        </w:rPr>
      </w:pPr>
      <w:r>
        <w:rPr>
          <w:rFonts w:hint="eastAsia" w:ascii="仿宋" w:hAnsi="仿宋" w:eastAsia="仿宋"/>
          <w:sz w:val="32"/>
          <w:szCs w:val="32"/>
        </w:rPr>
        <w:t>附件</w:t>
      </w:r>
      <w:r>
        <w:rPr>
          <w:rFonts w:ascii="仿宋" w:hAnsi="仿宋" w:eastAsia="仿宋"/>
          <w:sz w:val="32"/>
          <w:szCs w:val="32"/>
        </w:rPr>
        <w:t>2</w:t>
      </w:r>
    </w:p>
    <w:p/>
    <w:p>
      <w:pPr>
        <w:pStyle w:val="2"/>
        <w:rPr>
          <w:lang w:bidi="ar"/>
        </w:rPr>
      </w:pPr>
    </w:p>
    <w:p>
      <w:pPr>
        <w:widowControl/>
        <w:jc w:val="center"/>
        <w:rPr>
          <w:rFonts w:ascii="黑体" w:hAnsi="宋体" w:eastAsia="黑体" w:cs="黑体"/>
          <w:color w:val="000000"/>
          <w:kern w:val="0"/>
          <w:sz w:val="52"/>
          <w:szCs w:val="52"/>
          <w:lang w:bidi="ar"/>
        </w:rPr>
      </w:pPr>
      <w:r>
        <w:rPr>
          <w:rFonts w:hint="eastAsia" w:ascii="黑体" w:hAnsi="宋体" w:eastAsia="黑体" w:cs="黑体"/>
          <w:color w:val="000000"/>
          <w:kern w:val="0"/>
          <w:sz w:val="52"/>
          <w:szCs w:val="52"/>
          <w:lang w:eastAsia="zh-CN" w:bidi="ar"/>
        </w:rPr>
        <w:t>铜陵</w:t>
      </w:r>
      <w:r>
        <w:rPr>
          <w:rFonts w:hint="eastAsia" w:ascii="黑体" w:hAnsi="宋体" w:eastAsia="黑体" w:cs="黑体"/>
          <w:color w:val="000000"/>
          <w:kern w:val="0"/>
          <w:sz w:val="52"/>
          <w:szCs w:val="52"/>
          <w:lang w:bidi="ar"/>
        </w:rPr>
        <w:t>学院真实项目案例库</w:t>
      </w:r>
    </w:p>
    <w:p>
      <w:pPr>
        <w:jc w:val="center"/>
        <w:rPr>
          <w:b/>
          <w:sz w:val="36"/>
        </w:rPr>
      </w:pPr>
    </w:p>
    <w:p>
      <w:pPr>
        <w:jc w:val="center"/>
        <w:rPr>
          <w:b/>
          <w:sz w:val="36"/>
        </w:rPr>
      </w:pPr>
    </w:p>
    <w:p>
      <w:pPr>
        <w:jc w:val="center"/>
        <w:rPr>
          <w:b/>
          <w:sz w:val="72"/>
        </w:rPr>
      </w:pPr>
      <w:r>
        <w:rPr>
          <w:rFonts w:hint="eastAsia"/>
          <w:b/>
          <w:sz w:val="72"/>
        </w:rPr>
        <w:t>申  报  书</w:t>
      </w:r>
    </w:p>
    <w:p/>
    <w:p/>
    <w:p/>
    <w:p>
      <w:pPr>
        <w:ind w:firstLine="1500" w:firstLineChars="500"/>
        <w:rPr>
          <w:rFonts w:hint="eastAsia"/>
          <w:sz w:val="30"/>
        </w:rPr>
      </w:pPr>
      <w:r>
        <w:rPr>
          <w:rFonts w:hint="eastAsia"/>
          <w:sz w:val="30"/>
        </w:rPr>
        <w:t xml:space="preserve">课程名称： </w:t>
      </w:r>
      <w:r>
        <w:rPr>
          <w:sz w:val="30"/>
        </w:rPr>
        <w:t xml:space="preserve">    </w:t>
      </w:r>
      <w:r>
        <w:rPr>
          <w:rFonts w:hint="eastAsia"/>
          <w:sz w:val="30"/>
          <w:u w:val="single"/>
        </w:rPr>
        <w:t xml:space="preserve"> </w:t>
      </w:r>
      <w:r>
        <w:rPr>
          <w:rFonts w:hint="eastAsia"/>
          <w:sz w:val="30"/>
          <w:u w:val="single"/>
          <w:lang w:val="en-US" w:eastAsia="zh-CN"/>
        </w:rPr>
        <w:t xml:space="preserve">     管理会计           </w:t>
      </w:r>
      <w:r>
        <w:rPr>
          <w:rFonts w:hint="eastAsia"/>
          <w:sz w:val="30"/>
          <w:lang w:val="en-US" w:eastAsia="zh-CN"/>
        </w:rPr>
        <w:t xml:space="preserve">  </w:t>
      </w:r>
    </w:p>
    <w:p>
      <w:pPr>
        <w:ind w:firstLine="1500" w:firstLineChars="500"/>
        <w:rPr>
          <w:rFonts w:hint="eastAsia"/>
          <w:sz w:val="30"/>
        </w:rPr>
      </w:pPr>
    </w:p>
    <w:p>
      <w:pPr>
        <w:ind w:firstLine="1500" w:firstLineChars="500"/>
        <w:rPr>
          <w:rFonts w:hint="default"/>
          <w:sz w:val="30"/>
          <w:lang w:val="en-US"/>
        </w:rPr>
      </w:pPr>
      <w:r>
        <w:rPr>
          <w:rFonts w:hint="eastAsia"/>
          <w:sz w:val="30"/>
        </w:rPr>
        <w:t>编写负责人姓名：</w:t>
      </w:r>
      <w:r>
        <w:rPr>
          <w:rFonts w:hint="eastAsia"/>
          <w:sz w:val="30"/>
          <w:u w:val="single"/>
          <w:lang w:val="en-US" w:eastAsia="zh-CN"/>
        </w:rPr>
        <w:t xml:space="preserve">       张艳             </w:t>
      </w:r>
    </w:p>
    <w:p>
      <w:pPr>
        <w:ind w:firstLine="1500" w:firstLineChars="500"/>
        <w:rPr>
          <w:rFonts w:hint="eastAsia"/>
          <w:sz w:val="30"/>
        </w:rPr>
      </w:pPr>
    </w:p>
    <w:p>
      <w:pPr>
        <w:ind w:firstLine="1500" w:firstLineChars="500"/>
        <w:rPr>
          <w:sz w:val="30"/>
        </w:rPr>
      </w:pPr>
      <w:r>
        <w:rPr>
          <w:rFonts w:hint="eastAsia"/>
          <w:sz w:val="30"/>
        </w:rPr>
        <w:t xml:space="preserve">联系电话：      </w:t>
      </w:r>
      <w:r>
        <w:rPr>
          <w:rFonts w:hint="eastAsia"/>
          <w:sz w:val="30"/>
          <w:u w:val="single"/>
          <w:lang w:val="en-US" w:eastAsia="zh-CN"/>
        </w:rPr>
        <w:t xml:space="preserve">   17756233329         </w:t>
      </w:r>
    </w:p>
    <w:p>
      <w:pPr>
        <w:ind w:firstLine="1500" w:firstLineChars="500"/>
        <w:rPr>
          <w:rFonts w:hint="eastAsia"/>
          <w:sz w:val="30"/>
        </w:rPr>
      </w:pPr>
    </w:p>
    <w:p>
      <w:pPr>
        <w:ind w:firstLine="1500" w:firstLineChars="500"/>
        <w:rPr>
          <w:rFonts w:hint="default"/>
          <w:sz w:val="30"/>
          <w:u w:val="single"/>
          <w:lang w:val="en-US"/>
        </w:rPr>
      </w:pPr>
      <w:r>
        <w:rPr>
          <w:rFonts w:hint="eastAsia"/>
          <w:sz w:val="30"/>
        </w:rPr>
        <w:t xml:space="preserve">院（部）名称：  </w:t>
      </w:r>
      <w:r>
        <w:rPr>
          <w:rFonts w:hint="eastAsia"/>
          <w:sz w:val="30"/>
          <w:u w:val="single"/>
          <w:lang w:val="en-US" w:eastAsia="zh-CN"/>
        </w:rPr>
        <w:t xml:space="preserve">    会计学院           </w:t>
      </w:r>
    </w:p>
    <w:p>
      <w:pPr>
        <w:ind w:firstLine="1500" w:firstLineChars="500"/>
        <w:rPr>
          <w:sz w:val="30"/>
          <w:u w:val="single"/>
        </w:rPr>
      </w:pPr>
    </w:p>
    <w:p>
      <w:pPr>
        <w:spacing w:line="276" w:lineRule="auto"/>
        <w:jc w:val="center"/>
        <w:rPr>
          <w:rFonts w:hint="eastAsia"/>
          <w:b/>
          <w:sz w:val="30"/>
        </w:rPr>
      </w:pPr>
    </w:p>
    <w:p>
      <w:pPr>
        <w:spacing w:line="276" w:lineRule="auto"/>
        <w:jc w:val="center"/>
        <w:rPr>
          <w:b/>
          <w:sz w:val="30"/>
        </w:rPr>
      </w:pPr>
      <w:r>
        <w:rPr>
          <w:rFonts w:hint="eastAsia"/>
          <w:b/>
          <w:sz w:val="30"/>
        </w:rPr>
        <w:t>二</w:t>
      </w:r>
      <w:r>
        <w:rPr>
          <w:rFonts w:hint="eastAsia" w:ascii="宋体" w:hAnsi="宋体"/>
          <w:b/>
          <w:sz w:val="30"/>
        </w:rPr>
        <w:t>〇二</w:t>
      </w:r>
      <w:r>
        <w:rPr>
          <w:rFonts w:hint="eastAsia" w:ascii="宋体" w:hAnsi="宋体"/>
          <w:b/>
          <w:sz w:val="30"/>
          <w:lang w:eastAsia="zh-CN"/>
        </w:rPr>
        <w:t>四</w:t>
      </w:r>
      <w:r>
        <w:rPr>
          <w:rFonts w:hint="eastAsia"/>
          <w:b/>
          <w:sz w:val="30"/>
        </w:rPr>
        <w:t>年</w:t>
      </w:r>
      <w:r>
        <w:rPr>
          <w:rFonts w:hint="eastAsia"/>
          <w:b/>
          <w:sz w:val="30"/>
          <w:lang w:eastAsia="zh-CN"/>
        </w:rPr>
        <w:t>一</w:t>
      </w:r>
      <w:r>
        <w:rPr>
          <w:rFonts w:hint="eastAsia"/>
          <w:b/>
          <w:sz w:val="30"/>
        </w:rPr>
        <w:t>月</w:t>
      </w:r>
    </w:p>
    <w:p>
      <w:pPr>
        <w:pStyle w:val="2"/>
        <w:sectPr>
          <w:pgSz w:w="11906" w:h="16838"/>
          <w:pgMar w:top="1440" w:right="1800" w:bottom="1440" w:left="1800" w:header="851" w:footer="992" w:gutter="0"/>
          <w:cols w:space="425" w:num="1"/>
          <w:docGrid w:type="lines" w:linePitch="312" w:charSpace="0"/>
        </w:sectPr>
      </w:pPr>
    </w:p>
    <w:p>
      <w:pPr>
        <w:widowControl/>
        <w:jc w:val="center"/>
        <w:rPr>
          <w:rFonts w:ascii="黑体" w:hAnsi="黑体" w:eastAsia="黑体" w:cs="黑体"/>
          <w:b/>
          <w:bCs/>
          <w:color w:val="000000"/>
          <w:kern w:val="0"/>
          <w:sz w:val="32"/>
          <w:szCs w:val="32"/>
          <w:lang w:bidi="ar"/>
        </w:rPr>
      </w:pPr>
      <w:r>
        <w:rPr>
          <w:rFonts w:hint="eastAsia" w:ascii="黑体" w:hAnsi="黑体" w:eastAsia="黑体" w:cs="黑体"/>
          <w:b/>
          <w:bCs/>
          <w:color w:val="000000"/>
          <w:kern w:val="0"/>
          <w:sz w:val="32"/>
          <w:szCs w:val="32"/>
          <w:lang w:bidi="ar"/>
        </w:rPr>
        <w:t>《</w:t>
      </w:r>
      <w:r>
        <w:rPr>
          <w:rFonts w:hint="eastAsia" w:ascii="黑体" w:hAnsi="黑体" w:eastAsia="黑体" w:cs="黑体"/>
          <w:b/>
          <w:bCs/>
          <w:color w:val="000000"/>
          <w:kern w:val="0"/>
          <w:sz w:val="32"/>
          <w:szCs w:val="32"/>
          <w:lang w:val="en-US" w:eastAsia="zh-CN" w:bidi="ar"/>
        </w:rPr>
        <w:t>管理会计</w:t>
      </w:r>
      <w:r>
        <w:rPr>
          <w:rFonts w:hint="eastAsia" w:ascii="黑体" w:hAnsi="黑体" w:eastAsia="黑体" w:cs="黑体"/>
          <w:b/>
          <w:bCs/>
          <w:color w:val="000000"/>
          <w:kern w:val="0"/>
          <w:sz w:val="32"/>
          <w:szCs w:val="32"/>
          <w:lang w:bidi="ar"/>
        </w:rPr>
        <w:t>》课程真实项目案例库</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9"/>
        <w:gridCol w:w="2129"/>
        <w:gridCol w:w="2131"/>
        <w:gridCol w:w="2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课程名称</w:t>
            </w:r>
          </w:p>
        </w:tc>
        <w:tc>
          <w:tcPr>
            <w:tcW w:w="1249" w:type="pct"/>
            <w:vAlign w:val="center"/>
          </w:tcPr>
          <w:p>
            <w:pPr>
              <w:widowControl/>
              <w:jc w:val="center"/>
              <w:rPr>
                <w:rFonts w:ascii="仿宋_GB2312" w:hAnsi="仿宋_GB2312" w:eastAsia="仿宋_GB2312" w:cs="仿宋_GB2312"/>
                <w:color w:val="000000"/>
                <w:kern w:val="0"/>
                <w:sz w:val="24"/>
                <w:szCs w:val="24"/>
                <w:lang w:bidi="ar"/>
              </w:rPr>
            </w:pPr>
            <w:r>
              <w:rPr>
                <w:rFonts w:hint="eastAsia" w:ascii="仿宋_GB2312" w:hAnsi="仿宋_GB2312" w:eastAsia="仿宋_GB2312" w:cs="仿宋_GB2312"/>
                <w:color w:val="000000"/>
                <w:kern w:val="0"/>
                <w:sz w:val="24"/>
                <w:szCs w:val="24"/>
                <w:lang w:val="en-US" w:eastAsia="zh-CN" w:bidi="ar"/>
              </w:rPr>
              <w:t>管理会计</w:t>
            </w:r>
          </w:p>
        </w:tc>
        <w:tc>
          <w:tcPr>
            <w:tcW w:w="1250" w:type="pct"/>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学时</w:t>
            </w:r>
          </w:p>
        </w:tc>
        <w:tc>
          <w:tcPr>
            <w:tcW w:w="1250" w:type="pct"/>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适用专业</w:t>
            </w:r>
          </w:p>
        </w:tc>
        <w:tc>
          <w:tcPr>
            <w:tcW w:w="1249" w:type="pct"/>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会计学、法学</w:t>
            </w:r>
          </w:p>
        </w:tc>
        <w:tc>
          <w:tcPr>
            <w:tcW w:w="1250" w:type="pct"/>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适用年级</w:t>
            </w:r>
          </w:p>
        </w:tc>
        <w:tc>
          <w:tcPr>
            <w:tcW w:w="1250" w:type="pct"/>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本科三年级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制订人</w:t>
            </w:r>
          </w:p>
        </w:tc>
        <w:tc>
          <w:tcPr>
            <w:tcW w:w="1249" w:type="pct"/>
            <w:vAlign w:val="center"/>
          </w:tcPr>
          <w:p>
            <w:pPr>
              <w:widowControl/>
              <w:jc w:val="center"/>
              <w:rPr>
                <w:rFonts w:hint="eastAsia"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张 艳</w:t>
            </w:r>
          </w:p>
        </w:tc>
        <w:tc>
          <w:tcPr>
            <w:tcW w:w="1250" w:type="pct"/>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时间</w:t>
            </w:r>
          </w:p>
        </w:tc>
        <w:tc>
          <w:tcPr>
            <w:tcW w:w="1250" w:type="pct"/>
            <w:vAlign w:val="center"/>
          </w:tcPr>
          <w:p>
            <w:pPr>
              <w:widowControl/>
              <w:jc w:val="center"/>
              <w:rPr>
                <w:rFonts w:hint="default" w:ascii="仿宋_GB2312" w:hAnsi="仿宋_GB2312" w:eastAsia="仿宋_GB2312" w:cs="仿宋_GB2312"/>
                <w:color w:val="000000"/>
                <w:kern w:val="0"/>
                <w:sz w:val="24"/>
                <w:szCs w:val="24"/>
                <w:lang w:val="en-US" w:eastAsia="zh-CN" w:bidi="ar"/>
              </w:rPr>
            </w:pPr>
            <w:r>
              <w:rPr>
                <w:rFonts w:hint="eastAsia" w:ascii="仿宋_GB2312" w:hAnsi="仿宋_GB2312" w:eastAsia="仿宋_GB2312" w:cs="仿宋_GB2312"/>
                <w:color w:val="000000"/>
                <w:kern w:val="0"/>
                <w:sz w:val="24"/>
                <w:szCs w:val="24"/>
                <w:lang w:val="en-US" w:eastAsia="zh-CN" w:bidi="ar"/>
              </w:rPr>
              <w:t>2024.2.20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vMerge w:val="restart"/>
            <w:vAlign w:val="center"/>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课程目标</w:t>
            </w:r>
          </w:p>
        </w:tc>
        <w:tc>
          <w:tcPr>
            <w:tcW w:w="3750" w:type="pct"/>
            <w:gridSpan w:val="3"/>
          </w:tcPr>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4"/>
                <w:szCs w:val="24"/>
                <w:lang w:val="en-US" w:eastAsia="zh-CN" w:bidi="ar"/>
              </w:rPr>
              <w:t>1.理解管理会计的基本概念和基本理论；掌握管理会计工作的目标、要求；掌握用新技术操作管理会计核算的基本过程、程序和基本核算方法；引导学生思考如何切实关注社会问题，树立正确的世界观、人生观和价值观，培养学生理性思辨、明辨是非的能力，以及爱岗敬业、勇于担当的家国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vMerge w:val="continue"/>
          </w:tcPr>
          <w:p>
            <w:pPr>
              <w:widowControl/>
              <w:jc w:val="distribute"/>
              <w:rPr>
                <w:rFonts w:ascii="仿宋_GB2312" w:hAnsi="仿宋_GB2312" w:eastAsia="仿宋_GB2312" w:cs="仿宋_GB2312"/>
                <w:color w:val="000000"/>
                <w:kern w:val="0"/>
                <w:sz w:val="28"/>
                <w:szCs w:val="28"/>
                <w:lang w:bidi="ar"/>
              </w:rPr>
            </w:pPr>
          </w:p>
        </w:tc>
        <w:tc>
          <w:tcPr>
            <w:tcW w:w="3750" w:type="pct"/>
            <w:gridSpan w:val="3"/>
          </w:tcPr>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4"/>
                <w:szCs w:val="24"/>
                <w:lang w:val="en-US" w:eastAsia="zh-CN" w:bidi="ar"/>
              </w:rPr>
              <w:t>2.运用管理会计的基本内容和工具，学会如何在社会主义市场经济条件下和现代企业制度环境中，进一步加工和运用企业内部财务信息，预测经济前景，参与经营决策，规划经营方针，控制经营过程和考评责任业绩的基本程序，操作技能和基本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vMerge w:val="continue"/>
          </w:tcPr>
          <w:p>
            <w:pPr>
              <w:widowControl/>
              <w:jc w:val="distribute"/>
              <w:rPr>
                <w:rFonts w:ascii="仿宋_GB2312" w:hAnsi="仿宋_GB2312" w:eastAsia="仿宋_GB2312" w:cs="仿宋_GB2312"/>
                <w:color w:val="000000"/>
                <w:kern w:val="0"/>
                <w:sz w:val="28"/>
                <w:szCs w:val="28"/>
                <w:lang w:bidi="ar"/>
              </w:rPr>
            </w:pPr>
          </w:p>
        </w:tc>
        <w:tc>
          <w:tcPr>
            <w:tcW w:w="3750" w:type="pct"/>
            <w:gridSpan w:val="3"/>
          </w:tcPr>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4"/>
                <w:szCs w:val="24"/>
                <w:lang w:val="en-US" w:eastAsia="zh-CN" w:bidi="ar"/>
              </w:rPr>
              <w:t>3.能够根据企业的财务数据和业务数据进行分析，帮助企业制定决策和战略；通过数据分析和预测，能够提供可靠的财务和商业建议，帮助企业制定合理的决策；能够与其他团队成员有效沟通，将复杂的财务和业务数据转化为易于理解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tcPr>
          <w:p>
            <w:pPr>
              <w:widowControl/>
              <w:jc w:val="distribute"/>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t>申报类型</w:t>
            </w:r>
          </w:p>
        </w:tc>
        <w:tc>
          <w:tcPr>
            <w:tcW w:w="3750" w:type="pct"/>
            <w:gridSpan w:val="3"/>
          </w:tcPr>
          <w:p>
            <w:pPr>
              <w:widowControl/>
              <w:jc w:val="center"/>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eastAsia="zh-CN" w:bidi="ar"/>
              </w:rPr>
              <w:sym w:font="Wingdings 2" w:char="0052"/>
            </w:r>
            <w:r>
              <w:rPr>
                <w:rFonts w:hint="eastAsia" w:ascii="仿宋_GB2312" w:hAnsi="仿宋_GB2312" w:eastAsia="仿宋_GB2312" w:cs="仿宋_GB2312"/>
                <w:color w:val="000000"/>
                <w:kern w:val="0"/>
                <w:sz w:val="28"/>
                <w:szCs w:val="28"/>
                <w:lang w:eastAsia="zh-CN" w:bidi="ar"/>
              </w:rPr>
              <w:t>申报认定</w:t>
            </w:r>
            <w:r>
              <w:rPr>
                <w:rFonts w:hint="eastAsia" w:ascii="仿宋_GB2312" w:hAnsi="仿宋_GB2312" w:eastAsia="仿宋_GB2312" w:cs="仿宋_GB2312"/>
                <w:color w:val="000000"/>
                <w:kern w:val="0"/>
                <w:sz w:val="28"/>
                <w:szCs w:val="28"/>
                <w:lang w:val="en-US" w:eastAsia="zh-CN" w:bidi="ar"/>
              </w:rPr>
              <w:t xml:space="preserve">     </w:t>
            </w:r>
            <w:r>
              <w:rPr>
                <w:rFonts w:hint="eastAsia" w:ascii="仿宋_GB2312" w:hAnsi="仿宋_GB2312" w:eastAsia="仿宋_GB2312" w:cs="仿宋_GB2312"/>
                <w:color w:val="000000"/>
                <w:kern w:val="0"/>
                <w:sz w:val="28"/>
                <w:szCs w:val="28"/>
                <w:lang w:eastAsia="zh-CN" w:bidi="ar"/>
              </w:rPr>
              <w:sym w:font="Wingdings 2" w:char="00A3"/>
            </w:r>
            <w:r>
              <w:rPr>
                <w:rFonts w:hint="eastAsia" w:ascii="仿宋_GB2312" w:hAnsi="仿宋_GB2312" w:eastAsia="仿宋_GB2312" w:cs="仿宋_GB2312"/>
                <w:color w:val="000000"/>
                <w:kern w:val="0"/>
                <w:sz w:val="28"/>
                <w:szCs w:val="28"/>
                <w:lang w:val="en-US" w:eastAsia="zh-CN" w:bidi="ar"/>
              </w:rPr>
              <w:t>申报立项</w:t>
            </w:r>
          </w:p>
        </w:tc>
      </w:tr>
    </w:tbl>
    <w:p>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以下内容仅供参考，各学院/专业/课程可根据自身情况进行编制。</w:t>
      </w:r>
    </w:p>
    <w:p>
      <w:pPr>
        <w:spacing w:line="480" w:lineRule="auto"/>
        <w:jc w:val="both"/>
        <w:rPr>
          <w:rFonts w:hint="default" w:ascii="黑体" w:hAnsi="黑体" w:eastAsia="黑体" w:cs="黑体"/>
          <w:b w:val="0"/>
          <w:bCs w:val="0"/>
          <w:color w:val="000000"/>
          <w:kern w:val="0"/>
          <w:sz w:val="28"/>
          <w:szCs w:val="28"/>
          <w:u w:val="single"/>
          <w:lang w:val="en-US" w:eastAsia="zh-CN" w:bidi="ar"/>
        </w:rPr>
      </w:pPr>
      <w:r>
        <w:rPr>
          <w:rFonts w:hint="eastAsia" w:ascii="黑体" w:hAnsi="黑体" w:eastAsia="黑体" w:cs="黑体"/>
          <w:color w:val="000000"/>
          <w:kern w:val="0"/>
          <w:sz w:val="28"/>
          <w:szCs w:val="28"/>
          <w:lang w:bidi="ar"/>
        </w:rPr>
        <w:t>项目（案例）</w:t>
      </w:r>
      <w:r>
        <w:rPr>
          <w:rFonts w:hint="eastAsia" w:ascii="黑体" w:hAnsi="黑体" w:eastAsia="黑体" w:cs="黑体"/>
          <w:color w:val="000000"/>
          <w:kern w:val="0"/>
          <w:sz w:val="28"/>
          <w:szCs w:val="28"/>
          <w:lang w:eastAsia="zh-CN" w:bidi="ar"/>
        </w:rPr>
        <w:t>名称</w:t>
      </w:r>
      <w:r>
        <w:rPr>
          <w:rFonts w:hint="eastAsia" w:ascii="黑体" w:hAnsi="黑体" w:eastAsia="黑体" w:cs="黑体"/>
          <w:color w:val="000000"/>
          <w:kern w:val="0"/>
          <w:sz w:val="28"/>
          <w:szCs w:val="28"/>
          <w:lang w:bidi="ar"/>
        </w:rPr>
        <w:t>：</w:t>
      </w:r>
      <w:r>
        <w:rPr>
          <w:rFonts w:hint="eastAsia" w:ascii="宋体" w:hAnsi="宋体" w:eastAsia="宋体" w:cs="宋体"/>
          <w:b w:val="0"/>
          <w:bCs w:val="0"/>
          <w:sz w:val="28"/>
          <w:szCs w:val="28"/>
          <w:u w:val="single"/>
          <w:lang w:val="en-US" w:eastAsia="zh-CN"/>
        </w:rPr>
        <w:t>复星医药：ESG助力企业价值创造</w:t>
      </w:r>
      <w:r>
        <w:rPr>
          <w:rFonts w:hint="eastAsia" w:ascii="宋体" w:hAnsi="宋体" w:eastAsia="宋体" w:cs="宋体"/>
          <w:b w:val="0"/>
          <w:bCs w:val="0"/>
          <w:sz w:val="28"/>
          <w:szCs w:val="28"/>
          <w:lang w:val="en-US" w:eastAsia="zh-CN"/>
        </w:rPr>
        <w:t>、</w:t>
      </w:r>
      <w:r>
        <w:rPr>
          <w:rFonts w:hint="eastAsia" w:ascii="宋体" w:hAnsi="宋体" w:eastAsia="宋体" w:cs="宋体"/>
          <w:b w:val="0"/>
          <w:bCs w:val="0"/>
          <w:sz w:val="28"/>
          <w:szCs w:val="28"/>
          <w:u w:val="single"/>
          <w:lang w:val="en-US" w:eastAsia="zh-CN"/>
        </w:rPr>
        <w:t>苏宁易购：大数据时代下的供应链成本控制</w:t>
      </w:r>
      <w:r>
        <w:rPr>
          <w:rFonts w:hint="eastAsia" w:ascii="宋体" w:hAnsi="宋体" w:eastAsia="宋体" w:cs="宋体"/>
          <w:b w:val="0"/>
          <w:bCs w:val="0"/>
          <w:sz w:val="28"/>
          <w:szCs w:val="28"/>
          <w:lang w:val="en-US" w:eastAsia="zh-CN"/>
        </w:rPr>
        <w:t>、</w:t>
      </w:r>
      <w:r>
        <w:rPr>
          <w:rFonts w:hint="eastAsia" w:ascii="宋体" w:hAnsi="宋体" w:eastAsia="宋体" w:cs="宋体"/>
          <w:b w:val="0"/>
          <w:bCs w:val="0"/>
          <w:sz w:val="28"/>
          <w:szCs w:val="28"/>
          <w:u w:val="single"/>
          <w:lang w:val="en-US" w:eastAsia="zh-CN"/>
        </w:rPr>
        <w:t>铜陵有色：“双碳”目标下碳信息披露的优化路径</w:t>
      </w:r>
    </w:p>
    <w:p>
      <w:pPr>
        <w:widowControl/>
        <w:numPr>
          <w:ilvl w:val="0"/>
          <w:numId w:val="1"/>
        </w:numPr>
        <w:spacing w:before="156" w:beforeLines="50" w:after="156" w:afterLines="50" w:line="360" w:lineRule="auto"/>
        <w:jc w:val="left"/>
        <w:rPr>
          <w:rFonts w:ascii="黑体" w:hAnsi="黑体" w:eastAsia="黑体" w:cs="黑体"/>
          <w:color w:val="000000"/>
          <w:kern w:val="0"/>
          <w:sz w:val="28"/>
          <w:szCs w:val="28"/>
          <w:lang w:bidi="ar"/>
        </w:rPr>
      </w:pPr>
      <w:r>
        <w:rPr>
          <w:rFonts w:hint="eastAsia" w:ascii="黑体" w:hAnsi="黑体" w:eastAsia="黑体" w:cs="宋体"/>
          <w:bCs/>
          <w:color w:val="000000"/>
          <w:kern w:val="0"/>
          <w:sz w:val="28"/>
          <w:szCs w:val="28"/>
          <w:lang w:bidi="ar"/>
        </w:rPr>
        <w:t>教学目标</w:t>
      </w:r>
      <w:r>
        <w:rPr>
          <w:rFonts w:hint="eastAsia" w:ascii="黑体" w:hAnsi="黑体" w:eastAsia="黑体" w:cs="黑体"/>
          <w:color w:val="000000"/>
          <w:kern w:val="0"/>
          <w:sz w:val="28"/>
          <w:szCs w:val="28"/>
          <w:lang w:bidi="ar"/>
        </w:rPr>
        <w:t>（标题：黑体四号，段前后 0.5 行,1.5 倍行距，内容：宋体小四，</w:t>
      </w:r>
      <w:r>
        <w:rPr>
          <w:rFonts w:ascii="黑体" w:hAnsi="黑体" w:eastAsia="黑体" w:cs="黑体"/>
          <w:color w:val="000000"/>
          <w:kern w:val="0"/>
          <w:sz w:val="28"/>
          <w:szCs w:val="28"/>
          <w:lang w:bidi="ar"/>
        </w:rPr>
        <w:t>20</w:t>
      </w:r>
      <w:r>
        <w:rPr>
          <w:rFonts w:hint="eastAsia" w:ascii="黑体" w:hAnsi="黑体" w:eastAsia="黑体" w:cs="黑体"/>
          <w:color w:val="000000"/>
          <w:kern w:val="0"/>
          <w:sz w:val="28"/>
          <w:szCs w:val="28"/>
          <w:lang w:bidi="ar"/>
        </w:rPr>
        <w:t>磅行距）</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（结合课程目标，学生情况、具体描述通过该项目/案例教学，应达到的知识、技能、态度方面的教学目标）</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依据财政部《关于全面推进管理会计体系建设的指导意见》等文件，关注具有中国特色企业管理理念下的会计问题，选取三个行业典型案例，对管理会计工具进行了应用与整合，数据均来源于真实上市公司公开披露的信息。</w:t>
            </w:r>
            <w:r>
              <w:rPr>
                <w:rFonts w:hint="eastAsia" w:ascii="宋体" w:hAnsi="宋体" w:eastAsia="宋体" w:cs="宋体"/>
                <w:sz w:val="24"/>
                <w:szCs w:val="24"/>
              </w:rPr>
              <w:t>通过</w:t>
            </w:r>
            <w:r>
              <w:rPr>
                <w:rFonts w:hint="eastAsia" w:ascii="宋体" w:hAnsi="宋体" w:eastAsia="宋体" w:cs="宋体"/>
                <w:sz w:val="24"/>
                <w:szCs w:val="24"/>
                <w:lang w:val="en-US" w:eastAsia="zh-CN"/>
              </w:rPr>
              <w:t>本门</w:t>
            </w:r>
            <w:r>
              <w:rPr>
                <w:rFonts w:hint="eastAsia" w:ascii="宋体" w:hAnsi="宋体" w:eastAsia="宋体" w:cs="宋体"/>
                <w:sz w:val="24"/>
                <w:szCs w:val="24"/>
              </w:rPr>
              <w:t>课程的学习，使学生</w:t>
            </w:r>
            <w:r>
              <w:rPr>
                <w:rFonts w:hint="eastAsia" w:ascii="宋体" w:hAnsi="宋体" w:eastAsia="宋体" w:cs="宋体"/>
                <w:sz w:val="24"/>
                <w:szCs w:val="24"/>
                <w:lang w:val="en-US" w:eastAsia="zh-CN"/>
              </w:rPr>
              <w:t>能够</w:t>
            </w:r>
            <w:r>
              <w:rPr>
                <w:rFonts w:hint="eastAsia" w:ascii="宋体" w:hAnsi="宋体" w:eastAsia="宋体" w:cs="宋体"/>
                <w:sz w:val="24"/>
                <w:szCs w:val="24"/>
              </w:rPr>
              <w:t>掌握</w:t>
            </w:r>
            <w:r>
              <w:rPr>
                <w:rFonts w:hint="eastAsia" w:ascii="宋体" w:hAnsi="宋体" w:eastAsia="宋体" w:cs="宋体"/>
                <w:sz w:val="24"/>
                <w:szCs w:val="24"/>
                <w:lang w:val="en-US" w:eastAsia="zh-CN"/>
              </w:rPr>
              <w:t>企业实际</w:t>
            </w:r>
            <w:r>
              <w:rPr>
                <w:rFonts w:hint="eastAsia" w:ascii="宋体" w:hAnsi="宋体" w:eastAsia="宋体" w:cs="宋体"/>
                <w:sz w:val="24"/>
                <w:szCs w:val="24"/>
              </w:rPr>
              <w:t>管理会计活动的具体开展与应用，</w:t>
            </w:r>
            <w:r>
              <w:rPr>
                <w:rFonts w:hint="default" w:ascii="宋体" w:hAnsi="宋体" w:eastAsia="宋体" w:cs="宋体"/>
                <w:sz w:val="24"/>
                <w:szCs w:val="24"/>
                <w:lang w:val="en-US" w:eastAsia="zh-CN"/>
              </w:rPr>
              <w:t>有助于激发学生学习的积极性和主动性，拓展学生的学习视野，加强学生对理论知识的消化吸收能力，</w:t>
            </w:r>
            <w:r>
              <w:rPr>
                <w:rFonts w:hint="eastAsia" w:ascii="宋体" w:hAnsi="宋体" w:eastAsia="宋体" w:cs="宋体"/>
                <w:sz w:val="24"/>
                <w:szCs w:val="24"/>
              </w:rPr>
              <w:t>培养学生具备管理会计基本思想和基础知识，以及预测、决策、规划、控制及业绩考核与评价能力。</w:t>
            </w:r>
          </w:p>
          <w:p>
            <w:pPr>
              <w:keepNext w:val="0"/>
              <w:keepLines w:val="0"/>
              <w:pageBreakBefore w:val="0"/>
              <w:widowControl w:val="0"/>
              <w:kinsoku/>
              <w:wordWrap/>
              <w:overflowPunct/>
              <w:topLinePunct w:val="0"/>
              <w:autoSpaceDE/>
              <w:autoSpaceDN/>
              <w:bidi w:val="0"/>
              <w:adjustRightInd w:val="0"/>
              <w:snapToGrid w:val="0"/>
              <w:spacing w:line="400" w:lineRule="exact"/>
              <w:ind w:firstLine="422"/>
              <w:textAlignment w:val="auto"/>
              <w:rPr>
                <w:rFonts w:hint="eastAsia" w:ascii="宋体" w:hAnsi="宋体" w:eastAsia="宋体" w:cs="宋体"/>
                <w:b/>
                <w:bCs/>
                <w:sz w:val="24"/>
                <w:szCs w:val="24"/>
              </w:rPr>
            </w:pPr>
            <w:r>
              <w:rPr>
                <w:rFonts w:hint="eastAsia" w:ascii="宋体" w:hAnsi="宋体" w:eastAsia="宋体" w:cs="宋体"/>
                <w:b/>
                <w:bCs/>
                <w:sz w:val="24"/>
                <w:szCs w:val="24"/>
              </w:rPr>
              <w:t>（一）知识目标</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1.熟悉我国现行管理会计的基本理论；</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2.理解管理会计应用的领域，</w:t>
            </w:r>
            <w:r>
              <w:rPr>
                <w:rFonts w:hint="eastAsia" w:ascii="宋体" w:hAnsi="宋体" w:eastAsia="宋体" w:cs="宋体"/>
                <w:sz w:val="24"/>
                <w:szCs w:val="24"/>
                <w:lang w:val="en-US" w:eastAsia="zh-CN"/>
              </w:rPr>
              <w:t>掌握</w:t>
            </w:r>
            <w:r>
              <w:rPr>
                <w:rFonts w:hint="eastAsia" w:ascii="宋体" w:hAnsi="宋体" w:eastAsia="宋体" w:cs="宋体"/>
                <w:sz w:val="24"/>
                <w:szCs w:val="24"/>
              </w:rPr>
              <w:t>管理会计基本工具和方法；</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3.掌握战略管理的内容、分析方法、战略地图相关知识；</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4.了解企业目标及经营活动，理解使用价值管理与价值创造的关系, 理解价值创造与管理会计的关系</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5.掌握成本性态分析、变动成本法、标准成本法</w:t>
            </w:r>
            <w:r>
              <w:rPr>
                <w:rFonts w:hint="eastAsia" w:ascii="宋体" w:hAnsi="宋体" w:eastAsia="宋体" w:cs="宋体"/>
                <w:sz w:val="24"/>
                <w:szCs w:val="24"/>
                <w:lang w:eastAsia="zh-CN"/>
              </w:rPr>
              <w:t>、</w:t>
            </w:r>
            <w:r>
              <w:rPr>
                <w:rFonts w:hint="eastAsia" w:ascii="宋体" w:hAnsi="宋体" w:eastAsia="宋体" w:cs="宋体"/>
                <w:sz w:val="24"/>
                <w:szCs w:val="24"/>
              </w:rPr>
              <w:t>作业成本法</w:t>
            </w:r>
            <w:r>
              <w:rPr>
                <w:rFonts w:hint="eastAsia" w:ascii="宋体" w:hAnsi="宋体" w:eastAsia="宋体" w:cs="宋体"/>
                <w:sz w:val="24"/>
                <w:szCs w:val="24"/>
                <w:lang w:val="en-US" w:eastAsia="zh-CN"/>
              </w:rPr>
              <w:t>和成本控制</w:t>
            </w:r>
            <w:r>
              <w:rPr>
                <w:rFonts w:hint="eastAsia" w:ascii="宋体" w:hAnsi="宋体" w:eastAsia="宋体" w:cs="宋体"/>
                <w:sz w:val="24"/>
                <w:szCs w:val="24"/>
              </w:rPr>
              <w:t>的相关知识；</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6.掌握营运管理的内容和本量利管理、短期经营决策、销售预测的基本原理；</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7.掌握投融资管理的内容和固定资产更新决策的基本原理；</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8.掌握绩效管理的内容、平衡计分卡、关键绩效指标、经济增加值、责任中心、内部转移定价的基本原理</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22"/>
              <w:textAlignment w:val="auto"/>
              <w:rPr>
                <w:rFonts w:hint="eastAsia" w:ascii="宋体" w:hAnsi="宋体" w:eastAsia="宋体" w:cs="宋体"/>
                <w:b/>
                <w:bCs/>
                <w:sz w:val="24"/>
                <w:szCs w:val="24"/>
              </w:rPr>
            </w:pPr>
            <w:r>
              <w:rPr>
                <w:rFonts w:hint="eastAsia" w:ascii="宋体" w:hAnsi="宋体" w:eastAsia="宋体" w:cs="宋体"/>
                <w:b/>
                <w:bCs/>
                <w:sz w:val="24"/>
                <w:szCs w:val="24"/>
              </w:rPr>
              <w:t>（二）能力目标</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1.能运用SWOT分析法、PEST分析法、波特五力分析法等进行</w:t>
            </w:r>
            <w:r>
              <w:rPr>
                <w:rFonts w:hint="eastAsia" w:ascii="宋体" w:hAnsi="宋体" w:eastAsia="宋体" w:cs="宋体"/>
                <w:sz w:val="24"/>
                <w:szCs w:val="24"/>
                <w:lang w:val="en-US" w:eastAsia="zh-CN"/>
              </w:rPr>
              <w:t>管理</w:t>
            </w:r>
            <w:r>
              <w:rPr>
                <w:rFonts w:hint="eastAsia" w:ascii="宋体" w:hAnsi="宋体" w:eastAsia="宋体" w:cs="宋体"/>
                <w:sz w:val="24"/>
                <w:szCs w:val="24"/>
              </w:rPr>
              <w:t>分析；</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2.能运用战略地图的基本原理绘制战略地图；</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理解</w:t>
            </w:r>
            <w:r>
              <w:rPr>
                <w:rFonts w:hint="eastAsia" w:ascii="宋体" w:hAnsi="宋体" w:eastAsia="宋体" w:cs="宋体"/>
                <w:sz w:val="24"/>
                <w:szCs w:val="24"/>
              </w:rPr>
              <w:t>社会实践及经济理论对管理会计的双重影响，掌握在不同环境影响下的管理会计体系的设计思想</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4.能进行成本数据分析；</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5.能根据企业经营数据，进行本量利分析、敏感性分析；</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6.能使用平衡计分卡、关键绩效指标等进行绩效考核，能运用绩效考核方法对企业人员、部门进行考核评价</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22"/>
              <w:textAlignment w:val="auto"/>
              <w:rPr>
                <w:rFonts w:hint="eastAsia" w:ascii="宋体" w:hAnsi="宋体" w:eastAsia="宋体" w:cs="宋体"/>
                <w:b/>
                <w:bCs/>
                <w:sz w:val="24"/>
                <w:szCs w:val="24"/>
              </w:rPr>
            </w:pPr>
            <w:r>
              <w:rPr>
                <w:rFonts w:hint="eastAsia" w:ascii="宋体" w:hAnsi="宋体" w:eastAsia="宋体" w:cs="宋体"/>
                <w:b/>
                <w:bCs/>
                <w:sz w:val="24"/>
                <w:szCs w:val="24"/>
              </w:rPr>
              <w:t>（三）素质目标</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rPr>
              <w:t>具有良好的道德修养和社会责任感、积极向上的人生理想，坚持职业操守和道德规范，注重人文素养，树立法制观念、公民意识和科学态度</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.具有自主学习能力，并在学习和各种实践活动中，能分析和解决管理会计实务中的实际问题；</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.具备诚信品质、敬业精神、责任意识、团队精神、热爱会计工作</w:t>
            </w:r>
            <w:r>
              <w:rPr>
                <w:rFonts w:hint="eastAsia" w:ascii="宋体" w:hAnsi="宋体" w:eastAsia="宋体" w:cs="宋体"/>
                <w:sz w:val="24"/>
                <w:szCs w:val="24"/>
                <w:lang w:eastAsia="zh-CN"/>
              </w:rPr>
              <w:t>；</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sz w:val="20"/>
                <w:lang w:bidi="ar"/>
              </w:rPr>
            </w:pPr>
            <w:r>
              <w:rPr>
                <w:rFonts w:hint="eastAsia" w:ascii="宋体" w:hAnsi="宋体" w:eastAsia="宋体" w:cs="宋体"/>
                <w:sz w:val="24"/>
                <w:szCs w:val="24"/>
                <w:lang w:val="en-US" w:eastAsia="zh-CN"/>
              </w:rPr>
              <w:t>4.</w:t>
            </w:r>
            <w:r>
              <w:rPr>
                <w:rFonts w:hint="default" w:ascii="宋体" w:hAnsi="宋体" w:eastAsia="宋体" w:cs="宋体"/>
                <w:sz w:val="24"/>
                <w:szCs w:val="24"/>
                <w:lang w:val="en-US" w:eastAsia="zh-CN"/>
              </w:rPr>
              <w:t>具有健康的体魄和心理素质，能正确处理社会人际关系。</w:t>
            </w:r>
          </w:p>
        </w:tc>
      </w:tr>
    </w:tbl>
    <w:p>
      <w:pPr>
        <w:pStyle w:val="2"/>
        <w:rPr>
          <w:lang w:bidi="ar"/>
        </w:rPr>
      </w:pPr>
    </w:p>
    <w:p>
      <w:pPr>
        <w:widowControl/>
        <w:numPr>
          <w:ilvl w:val="0"/>
          <w:numId w:val="2"/>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项目/案例内容</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trPr>
        <w:tc>
          <w:tcPr>
            <w:tcW w:w="8296" w:type="dxa"/>
          </w:tcPr>
          <w:p>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（项目案例内容、要求、实施步骤等）</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562" w:firstLineChars="200"/>
              <w:jc w:val="center"/>
              <w:textAlignment w:val="auto"/>
              <w:rPr>
                <w:rFonts w:hint="eastAsia" w:ascii="宋体" w:hAnsi="宋体" w:eastAsia="宋体" w:cs="宋体"/>
                <w:sz w:val="24"/>
                <w:szCs w:val="24"/>
                <w:lang w:val="en-US" w:eastAsia="zh-CN"/>
              </w:rPr>
            </w:pPr>
            <w:r>
              <w:rPr>
                <w:rFonts w:hint="eastAsia" w:ascii="宋体" w:hAnsi="宋体" w:eastAsia="宋体" w:cs="宋体"/>
                <w:b/>
                <w:bCs/>
                <w:sz w:val="28"/>
                <w:szCs w:val="28"/>
                <w:lang w:val="en-US" w:eastAsia="zh-CN"/>
              </w:rPr>
              <w:t xml:space="preserve">项目案例一  </w:t>
            </w:r>
            <w:r>
              <w:rPr>
                <w:rFonts w:hint="eastAsia" w:ascii="宋体" w:hAnsi="宋体" w:eastAsia="宋体" w:cs="宋体"/>
                <w:b/>
                <w:bCs/>
                <w:sz w:val="28"/>
                <w:szCs w:val="28"/>
                <w:u w:val="none"/>
                <w:lang w:val="en-US" w:eastAsia="zh-CN"/>
              </w:rPr>
              <w:t>复星医药：ESG助力企业价值创造</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内容简介：</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复星医药成立于1994年，是一家根植于中国、以创新为驱动发展的全球化医药健康的民营上市企业。复星医药1998年在上海证券交易所上市，进入21世纪以来实现快速发展，于2012年在港交所上市。ESG理念的引入为企业价值创造提供了新的视角。公司以创新和国际化为导向，通过自主研发、合作开发、许可引进、深度孵化等多元化、 多层次的合作模式，持续丰富创新产品管线，提升FIC（First-in-class，即同类首创）与BIC（Best-in-class，即同类最佳）新药的研究与临床开发能力，加快创新技术和产品的研发和转化落地。通过本案例，希望对我国践行ESG理念的企业实现价值创造带来启示，可以通过促进ESG表现与企业绩效协同，完善ESG信息披露制度，建立ESG全流程管理体系，及时调整企业发展规划，为实现战略转型、提升价值奠定良好基础。 </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学习目标：</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1.掌握企业开展ESG实践的动因及实现路径；</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2.引入生物医药制造行业中的复星医药集团作为案例研究对象，探究其ESG表现下企业的价值创造路径及价值创造实现情况；</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3.思考企业如何通过ESG实践重塑企业价值？</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要求：</w:t>
            </w:r>
          </w:p>
          <w:p>
            <w:pPr>
              <w:keepNext w:val="0"/>
              <w:keepLines w:val="0"/>
              <w:pageBreakBefore w:val="0"/>
              <w:widowControl w:val="0"/>
              <w:numPr>
                <w:ilvl w:val="0"/>
                <w:numId w:val="3"/>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案例与理论阐述并重。教师应将理论、</w:t>
            </w:r>
            <w:r>
              <w:rPr>
                <w:rFonts w:hint="default" w:ascii="宋体" w:hAnsi="宋体" w:eastAsia="宋体" w:cs="宋体"/>
                <w:sz w:val="24"/>
                <w:szCs w:val="24"/>
                <w:lang w:val="en-US" w:eastAsia="zh-CN"/>
              </w:rPr>
              <w:t>案例和案例点评相结合，以案例分析为主，在案例分析过程中链接有关理论。</w:t>
            </w:r>
          </w:p>
          <w:p>
            <w:pPr>
              <w:keepNext w:val="0"/>
              <w:keepLines w:val="0"/>
              <w:pageBreakBefore w:val="0"/>
              <w:widowControl w:val="0"/>
              <w:numPr>
                <w:ilvl w:val="0"/>
                <w:numId w:val="3"/>
              </w:numPr>
              <w:kinsoku/>
              <w:wordWrap/>
              <w:overflowPunct/>
              <w:topLinePunct w:val="0"/>
              <w:autoSpaceDE/>
              <w:autoSpaceDN/>
              <w:bidi w:val="0"/>
              <w:spacing w:line="4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广泛调动学生参与的能动性，提高学生学习的主动性。使用案例的目的是让</w:t>
            </w:r>
            <w:r>
              <w:rPr>
                <w:rFonts w:hint="default" w:ascii="宋体" w:hAnsi="宋体" w:eastAsia="宋体" w:cs="宋体"/>
                <w:sz w:val="24"/>
                <w:szCs w:val="24"/>
                <w:lang w:val="en-US" w:eastAsia="zh-CN"/>
              </w:rPr>
              <w:t>学生学，而不是为了让教师教，教师的职责</w:t>
            </w:r>
            <w:r>
              <w:rPr>
                <w:rFonts w:hint="eastAsia" w:ascii="宋体" w:hAnsi="宋体" w:eastAsia="宋体" w:cs="宋体"/>
                <w:sz w:val="24"/>
                <w:szCs w:val="24"/>
                <w:lang w:val="en-US" w:eastAsia="zh-CN"/>
              </w:rPr>
              <w:t>在于</w:t>
            </w:r>
            <w:r>
              <w:rPr>
                <w:rFonts w:hint="default" w:ascii="宋体" w:hAnsi="宋体" w:eastAsia="宋体" w:cs="宋体"/>
                <w:sz w:val="24"/>
                <w:szCs w:val="24"/>
                <w:lang w:val="en-US" w:eastAsia="zh-CN"/>
              </w:rPr>
              <w:t>激发学生的思想</w:t>
            </w:r>
            <w:r>
              <w:rPr>
                <w:rFonts w:hint="eastAsia" w:ascii="宋体" w:hAnsi="宋体" w:eastAsia="宋体" w:cs="宋体"/>
                <w:sz w:val="24"/>
                <w:szCs w:val="24"/>
                <w:lang w:val="en-US" w:eastAsia="zh-CN"/>
              </w:rPr>
              <w:t>。积极引导学生，变被动接受为主动参与，提高教学效果。</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3.学生要积极参与课堂讨论、完成案例分析报告并按小组进行PPT汇报展示。</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default" w:ascii="宋体" w:hAnsi="宋体" w:eastAsia="宋体" w:cs="宋体"/>
                <w:b/>
                <w:bCs/>
                <w:sz w:val="24"/>
                <w:szCs w:val="24"/>
                <w:lang w:val="en-US" w:eastAsia="zh-CN"/>
              </w:rPr>
            </w:pPr>
            <w:r>
              <w:rPr>
                <w:rFonts w:hint="eastAsia" w:ascii="宋体" w:hAnsi="宋体" w:eastAsia="宋体" w:cs="宋体"/>
                <w:sz w:val="24"/>
                <w:szCs w:val="24"/>
                <w:lang w:val="en-US" w:eastAsia="zh-CN"/>
              </w:rPr>
              <w:t>4.在案例教学中，</w:t>
            </w:r>
            <w:r>
              <w:rPr>
                <w:rFonts w:hint="default" w:ascii="宋体" w:hAnsi="宋体" w:eastAsia="宋体" w:cs="宋体"/>
                <w:sz w:val="24"/>
                <w:szCs w:val="24"/>
                <w:lang w:val="en-US" w:eastAsia="zh-CN"/>
              </w:rPr>
              <w:t>学生由被动的知识接受者成为主动的学习者、探究者， 而教师则由知识的讲授者变为学习的组织者、指导者，从而真正实现</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以学生为中心</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的转变。</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相关阅读资料：</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1.盛世投资姜燕：长期资本尤其关注ESG理念  两大底层逻辑为防控风险和价值创造[N]. 21世纪经济报道,2022-10-03(010). </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2.郝颖.ESG理念下的企业价值创造与重塑[J].财会月刊,2023,44(01):20-25.</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3.黄世忠.“资不抵债”迷雾下的共享价值创造——星巴克财务报告和ESG报告分析[J].财会月刊,2021(23):3-12.</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4.黄世忠.ESG视角下价值创造的三大变革[J].财务研究,2021(06):3-14.</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讨论问题：</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1.复星医药创建ESG的内部动因是什么？</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2.复星医药用ESG实践和投资，还有哪些痛点和难点？</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3.复星医药在ESG投资环境下需要如何完善？</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4.ESG的实践模式有哪些？ </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教学计划：</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lang w:val="en-US" w:eastAsia="zh-CN"/>
              </w:rPr>
              <w:t>本案例的学习时间预计在90分钟，教师可以根据课堂实际情况灵活调整时间。</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实施步骤：</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课前准备——理论知识回顾——课堂讨论——案例分析及点评</w:t>
            </w: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562" w:firstLineChars="200"/>
              <w:jc w:val="center"/>
              <w:textAlignment w:val="auto"/>
              <w:rPr>
                <w:rFonts w:hint="eastAsia" w:ascii="宋体" w:hAnsi="宋体" w:eastAsia="宋体" w:cs="宋体"/>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400" w:lineRule="exact"/>
              <w:ind w:firstLine="562" w:firstLineChars="200"/>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项目案例二  苏宁易购：大数据时代下的供应链成本控制</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内容简介：</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苏宁易购公司于1990年12月在江苏南京创办成立，是中国商业企业的领先者，经营商品涵盖传统家电、消费电子、百货、日用品、图书、虚拟产品等综合品类。供应链成本控制是苏宁易购公司重要的考虑环节。苏宁易购在疫情防控形势向好和政府扶持政策的支持下，积极调整战略和营销政策，在内部供应链上的不断改进，为其带来了巨大价值提升，使其在市场动荡的环境下依旧保持着较高的市场地位。苏宁易购将大数据技术深入运用于企业内部供应链各个方面，以独特的优势在全国各地获得较高知名度，线上通过自营、开放和跨平台运营，跻身中国B2C行业前列，使其在在电商行业具有创新性和代表性。通过本案例，对电商企业供应链各个环节的成本进行分析，发现存在的问题，并结合大数据技术提出相应的对策，希望对当前形势下电商企业的发展有所帮助。</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学习目标：</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1.掌握电商企业在大数据时代进行供应链成本控制的动因及方案策略；</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2.分析</w:t>
            </w:r>
            <w:r>
              <w:rPr>
                <w:rFonts w:hint="eastAsia" w:ascii="宋体" w:hAnsi="宋体" w:eastAsia="宋体" w:cs="宋体"/>
                <w:sz w:val="24"/>
                <w:szCs w:val="24"/>
              </w:rPr>
              <w:t>苏宁易购</w:t>
            </w:r>
            <w:r>
              <w:rPr>
                <w:rFonts w:hint="eastAsia" w:ascii="宋体" w:hAnsi="宋体" w:eastAsia="宋体" w:cs="宋体"/>
                <w:sz w:val="24"/>
                <w:szCs w:val="24"/>
                <w:lang w:eastAsia="zh-CN"/>
              </w:rPr>
              <w:t>供应链成本控制的现状</w:t>
            </w:r>
            <w:r>
              <w:rPr>
                <w:rFonts w:hint="eastAsia" w:ascii="宋体" w:hAnsi="宋体" w:eastAsia="宋体" w:cs="宋体"/>
                <w:sz w:val="24"/>
                <w:szCs w:val="24"/>
                <w:lang w:val="en-US" w:eastAsia="zh-CN"/>
              </w:rPr>
              <w:t>及存在的问题；</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3.思考电商企业在大数据环境下如何控制供应链成本，进而提升市场竞争力？</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要求：</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1.案例与理论阐述并重。教师应将理论、</w:t>
            </w:r>
            <w:r>
              <w:rPr>
                <w:rFonts w:hint="default" w:ascii="宋体" w:hAnsi="宋体" w:eastAsia="宋体" w:cs="宋体"/>
                <w:sz w:val="24"/>
                <w:szCs w:val="24"/>
                <w:lang w:val="en-US" w:eastAsia="zh-CN"/>
              </w:rPr>
              <w:t>案例和案例点评相结合，以案例分析为主，在案例分析过程中链接有关理论。</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2.充分调动学生参与的能动性，提高学生学习的主动性。使用案例的目的是让</w:t>
            </w:r>
            <w:r>
              <w:rPr>
                <w:rFonts w:hint="default" w:ascii="宋体" w:hAnsi="宋体" w:eastAsia="宋体" w:cs="宋体"/>
                <w:sz w:val="24"/>
                <w:szCs w:val="24"/>
                <w:lang w:val="en-US" w:eastAsia="zh-CN"/>
              </w:rPr>
              <w:t>学生学，而不是为了让教师教，教师的职责</w:t>
            </w:r>
            <w:r>
              <w:rPr>
                <w:rFonts w:hint="eastAsia" w:ascii="宋体" w:hAnsi="宋体" w:eastAsia="宋体" w:cs="宋体"/>
                <w:sz w:val="24"/>
                <w:szCs w:val="24"/>
                <w:lang w:val="en-US" w:eastAsia="zh-CN"/>
              </w:rPr>
              <w:t>在于</w:t>
            </w:r>
            <w:r>
              <w:rPr>
                <w:rFonts w:hint="default" w:ascii="宋体" w:hAnsi="宋体" w:eastAsia="宋体" w:cs="宋体"/>
                <w:sz w:val="24"/>
                <w:szCs w:val="24"/>
                <w:lang w:val="en-US" w:eastAsia="zh-CN"/>
              </w:rPr>
              <w:t>激发学生的思想</w:t>
            </w:r>
            <w:r>
              <w:rPr>
                <w:rFonts w:hint="eastAsia" w:ascii="宋体" w:hAnsi="宋体" w:eastAsia="宋体" w:cs="宋体"/>
                <w:sz w:val="24"/>
                <w:szCs w:val="24"/>
                <w:lang w:val="en-US" w:eastAsia="zh-CN"/>
              </w:rPr>
              <w:t>。积极引导学生，变被动接受为主动参与，提高教学效果。</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3.在教师指导下，学生完成案例分析报告并按小组进行PPT汇报展示。</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相关阅读资料：</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1.陆宇航.大数据技术如何拓宽供应链金融的视野[N].金融时报,2023-07-06(003).</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2.李金凤.大数据视域下小微企业供应链融资模式研究[J].中国农业会计,2023,33(08):30-32.</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3.李霄鹏，单晓燕，李海波等.双循环下区块链智能合约赋能供应链融资研究[J]. 会计之友 ,2022(19):148-156</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讨论问题：</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1.苏宁易购内部供应链控制的背景是什么？</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2.“供应链金融+大数据”——大数据对供应链金融有什么影响？</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3.苏宁易购在大数据金融发展背景下遇到那些机遇和挑战？</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4.苏宁易购打造的大数据供应链管控有哪些效果？</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lang w:val="en-US" w:eastAsia="zh-CN"/>
              </w:rPr>
              <w:t>5.苏宁易购的供应链管控对其他企业有哪些借鉴作用？</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教学计划：</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lang w:val="en-US" w:eastAsia="zh-CN"/>
              </w:rPr>
              <w:t>本案例的学习时间预计在90分钟，教师可以根据课堂实际情况灵活调整时间。</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实施步骤：</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课前准备——理论知识回顾——课堂讨论——案例分析及点评</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spacing w:line="400" w:lineRule="exact"/>
              <w:ind w:firstLine="281" w:firstLineChars="100"/>
              <w:textAlignment w:val="auto"/>
              <w:rPr>
                <w:rFonts w:hint="default" w:ascii="宋体" w:hAnsi="宋体" w:eastAsia="宋体" w:cs="宋体"/>
                <w:b/>
                <w:bCs/>
                <w:sz w:val="24"/>
                <w:szCs w:val="24"/>
                <w:lang w:val="en-US" w:eastAsia="zh-CN"/>
              </w:rPr>
            </w:pPr>
            <w:r>
              <w:rPr>
                <w:rFonts w:hint="eastAsia" w:ascii="宋体" w:hAnsi="宋体" w:eastAsia="宋体" w:cs="宋体"/>
                <w:b/>
                <w:bCs/>
                <w:sz w:val="28"/>
                <w:szCs w:val="28"/>
                <w:lang w:val="en-US" w:eastAsia="zh-CN"/>
              </w:rPr>
              <w:t>项目案例三  铜陵有色：“双碳”目标下碳信息披露的优化路径</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内容简介：</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铜陵有色于1949年12月由中央决定恢复建设，1952年6月正式投产，是新中国最早建设起来的铜工业基地，中国铜工业的摇篮，先后建成了新中国第一座铜矿，自行设计建造了新中国第一座铜冶炼厂、第一座机械化露天铜矿等。经过70多年的建设，铜陵有色集团现已发展成为以有色金属及非金属采选、冶炼、加工和以金融贸易为核心的现代服务业为主业，集精细化工、科研设计、建筑安装、井巷施工等相关产业多元化发展的大型企业集团。铜陵有色坚持稳中求进工作总基调，以推动高质量发展为主题，积极响应国家政策，将碳中和纳入企业发展战略总体布局，不断巩固深入落实节能减排、绿色转型路径，并取得了较好的成果。在国家“双碳”目标提出后，铜陵有色针对企业发展现状提出企业自身的双碳战略规划，力争实现“碳中和”目标。</w:t>
            </w:r>
            <w:r>
              <w:rPr>
                <w:rFonts w:hint="eastAsia" w:ascii="宋体" w:hAnsi="宋体" w:eastAsia="宋体" w:cs="宋体"/>
                <w:sz w:val="24"/>
                <w:szCs w:val="24"/>
                <w:lang w:val="en-US" w:eastAsia="zh-CN"/>
              </w:rPr>
              <w:t>通过本案例，</w:t>
            </w:r>
            <w:r>
              <w:rPr>
                <w:rFonts w:hint="default" w:ascii="宋体" w:hAnsi="宋体" w:eastAsia="宋体" w:cs="宋体"/>
                <w:sz w:val="24"/>
                <w:szCs w:val="24"/>
                <w:lang w:val="en-US" w:eastAsia="zh-CN"/>
              </w:rPr>
              <w:t>探讨碳信息披露存在的问题，并提出合理建议以建立健全碳信息披露的制度和体系，推进企业碳信息披露框架的良性运行，助力“双碳”目标实现。</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学习目标：</w:t>
            </w:r>
          </w:p>
          <w:p>
            <w:pPr>
              <w:keepNext w:val="0"/>
              <w:keepLines w:val="0"/>
              <w:pageBreakBefore w:val="0"/>
              <w:widowControl w:val="0"/>
              <w:numPr>
                <w:ilvl w:val="0"/>
                <w:numId w:val="4"/>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掌握国内上市公司碳信息披露现状；</w:t>
            </w:r>
          </w:p>
          <w:p>
            <w:pPr>
              <w:keepNext w:val="0"/>
              <w:keepLines w:val="0"/>
              <w:pageBreakBefore w:val="0"/>
              <w:widowControl w:val="0"/>
              <w:numPr>
                <w:ilvl w:val="0"/>
                <w:numId w:val="4"/>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分析铜陵有色进行碳信息披露存在的问题及解决对策；</w:t>
            </w:r>
          </w:p>
          <w:p>
            <w:pPr>
              <w:keepNext w:val="0"/>
              <w:keepLines w:val="0"/>
              <w:pageBreakBefore w:val="0"/>
              <w:widowControl w:val="0"/>
              <w:numPr>
                <w:ilvl w:val="0"/>
                <w:numId w:val="4"/>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思考如何提高企业碳信息披露的自主性，完善相关披露内容，提高碳信息披露质量。</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要求：</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1.案例与理论阐述并重。教师应将理论、</w:t>
            </w:r>
            <w:r>
              <w:rPr>
                <w:rFonts w:hint="default" w:ascii="宋体" w:hAnsi="宋体" w:eastAsia="宋体" w:cs="宋体"/>
                <w:sz w:val="24"/>
                <w:szCs w:val="24"/>
                <w:lang w:val="en-US" w:eastAsia="zh-CN"/>
              </w:rPr>
              <w:t>案例和案例点评相结合，以案例分析为主，在案例分析过程中链接有关理论。</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2.充分调动学生参与的能动性，提高学生学习的主动性。使用案例的目的是让</w:t>
            </w:r>
            <w:r>
              <w:rPr>
                <w:rFonts w:hint="default" w:ascii="宋体" w:hAnsi="宋体" w:eastAsia="宋体" w:cs="宋体"/>
                <w:sz w:val="24"/>
                <w:szCs w:val="24"/>
                <w:lang w:val="en-US" w:eastAsia="zh-CN"/>
              </w:rPr>
              <w:t>学生学，而不是为了让教师教，教师的职责</w:t>
            </w:r>
            <w:r>
              <w:rPr>
                <w:rFonts w:hint="eastAsia" w:ascii="宋体" w:hAnsi="宋体" w:eastAsia="宋体" w:cs="宋体"/>
                <w:sz w:val="24"/>
                <w:szCs w:val="24"/>
                <w:lang w:val="en-US" w:eastAsia="zh-CN"/>
              </w:rPr>
              <w:t>在于</w:t>
            </w:r>
            <w:r>
              <w:rPr>
                <w:rFonts w:hint="default" w:ascii="宋体" w:hAnsi="宋体" w:eastAsia="宋体" w:cs="宋体"/>
                <w:sz w:val="24"/>
                <w:szCs w:val="24"/>
                <w:lang w:val="en-US" w:eastAsia="zh-CN"/>
              </w:rPr>
              <w:t>激发学生的思想</w:t>
            </w:r>
            <w:r>
              <w:rPr>
                <w:rFonts w:hint="eastAsia" w:ascii="宋体" w:hAnsi="宋体" w:eastAsia="宋体" w:cs="宋体"/>
                <w:sz w:val="24"/>
                <w:szCs w:val="24"/>
                <w:lang w:val="en-US" w:eastAsia="zh-CN"/>
              </w:rPr>
              <w:t>。积极引导学生，变被动接受为主动参与，提高教学效果。</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3.在教师指导下，学生完成案例分析报告并按小组进行PPT汇报展示。</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相关阅读资料：</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1.生态环境部.环境信息披露管理办法[S].2021.12.</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2.彭屹松,伍中信.“双碳”目标下控排企业碳信息披露优化路径研究[J].财会通讯,2023(17)：16-19.</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3.蒋琰，唐清亮.会计视角下的碳信息披露：研究综述与展望[J].财务管理研究，2021（12）：1-16.</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4.阳秋林，刘婕.“双碳”目标下我国企业碳绩效评价指标体系构建探析[J].财务与会计，2022（3）：57-60.</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讨论问题：</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1.铜陵有色进行碳信息披露的背景是什么？</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2.“双碳”目标下的高质量碳信息披露对制造企业有什么影响？</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3.铜陵有色在“双碳”背景下遇到哪些机遇与挑战？</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4.铜陵有色进行的碳信息披露达到了哪些效果？</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5.铜陵有色的碳信息披露对其他企业有哪些借鉴作用？</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教学计划：</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本案例的学习时间预计在90分钟，教师可以根据课堂实际情况灵活调整时间。</w:t>
            </w:r>
          </w:p>
          <w:p>
            <w:pPr>
              <w:keepNext w:val="0"/>
              <w:keepLines w:val="0"/>
              <w:pageBreakBefore w:val="0"/>
              <w:widowControl w:val="0"/>
              <w:kinsoku/>
              <w:wordWrap/>
              <w:overflowPunct/>
              <w:topLinePunct w:val="0"/>
              <w:autoSpaceDE/>
              <w:autoSpaceDN/>
              <w:bidi w:val="0"/>
              <w:spacing w:line="40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实施步骤：</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sz w:val="20"/>
                <w:lang w:bidi="ar"/>
              </w:rPr>
            </w:pPr>
            <w:r>
              <w:rPr>
                <w:rFonts w:hint="eastAsia" w:ascii="宋体" w:hAnsi="宋体" w:eastAsia="宋体" w:cs="宋体"/>
                <w:sz w:val="24"/>
                <w:szCs w:val="24"/>
                <w:lang w:val="en-US" w:eastAsia="zh-CN"/>
              </w:rPr>
              <w:t>课前准备——理论知识回顾——课堂讨论——案例分析及点评</w:t>
            </w:r>
          </w:p>
        </w:tc>
      </w:tr>
    </w:tbl>
    <w:p>
      <w:pPr>
        <w:widowControl/>
        <w:numPr>
          <w:ilvl w:val="0"/>
          <w:numId w:val="2"/>
        </w:numPr>
        <w:spacing w:before="156" w:beforeLines="50" w:after="156" w:afterLines="50" w:line="360" w:lineRule="auto"/>
        <w:jc w:val="left"/>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教学实施</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(依据学情，设计项目/案例教学实施的有效路径、方法等）</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（1</w:t>
            </w:r>
            <w:r>
              <w:rPr>
                <w:rFonts w:hint="eastAsia" w:ascii="宋体" w:hAnsi="宋体" w:eastAsia="宋体" w:cs="宋体"/>
                <w:sz w:val="24"/>
                <w:szCs w:val="24"/>
                <w:lang w:val="en-US" w:eastAsia="zh-CN"/>
              </w:rPr>
              <w:t>）充分做好案例教学的</w:t>
            </w:r>
            <w:r>
              <w:rPr>
                <w:rFonts w:hint="eastAsia" w:ascii="宋体" w:hAnsi="宋体" w:eastAsia="宋体" w:cs="宋体"/>
                <w:b/>
                <w:bCs/>
                <w:sz w:val="24"/>
                <w:szCs w:val="24"/>
                <w:lang w:val="en-US" w:eastAsia="zh-CN"/>
              </w:rPr>
              <w:t>课前准备</w:t>
            </w:r>
            <w:r>
              <w:rPr>
                <w:rFonts w:hint="eastAsia" w:ascii="宋体" w:hAnsi="宋体" w:eastAsia="宋体" w:cs="宋体"/>
                <w:sz w:val="24"/>
                <w:szCs w:val="24"/>
                <w:lang w:val="en-US" w:eastAsia="zh-CN"/>
              </w:rPr>
              <w:t>。重点在于花足够时间准备案例讨论以及将焦点集中在案例关键问题上。学生自由组队和教师协调的方式进行分组，一般3-5人为一组。要求成员之间要合理分工，课前要先阅读相关背景资料，鼓励大家多读多看多思考。重点做好确保加强成员间的相互沟通、贯彻团队精神。</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2</w:t>
            </w:r>
            <w:r>
              <w:rPr>
                <w:rFonts w:hint="eastAsia" w:ascii="宋体" w:hAnsi="宋体" w:eastAsia="宋体" w:cs="宋体"/>
                <w:sz w:val="24"/>
                <w:szCs w:val="24"/>
                <w:lang w:val="en-US" w:eastAsia="zh-CN"/>
              </w:rPr>
              <w:t>）</w:t>
            </w:r>
            <w:r>
              <w:rPr>
                <w:rFonts w:hint="eastAsia" w:ascii="宋体" w:hAnsi="宋体" w:eastAsia="宋体" w:cs="宋体"/>
                <w:b/>
                <w:bCs/>
                <w:sz w:val="24"/>
                <w:szCs w:val="24"/>
                <w:lang w:val="en-US" w:eastAsia="zh-CN"/>
              </w:rPr>
              <w:t>理论知识回顾</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梳理</w:t>
            </w:r>
            <w:r>
              <w:rPr>
                <w:rFonts w:hint="eastAsia" w:ascii="宋体" w:hAnsi="宋体" w:eastAsia="宋体" w:cs="宋体"/>
                <w:sz w:val="24"/>
                <w:szCs w:val="24"/>
                <w:lang w:val="en-US" w:eastAsia="zh-CN"/>
              </w:rPr>
              <w:t>本次案例的管理会计</w:t>
            </w:r>
            <w:r>
              <w:rPr>
                <w:rFonts w:hint="default" w:ascii="宋体" w:hAnsi="宋体" w:eastAsia="宋体" w:cs="宋体"/>
                <w:sz w:val="24"/>
                <w:szCs w:val="24"/>
                <w:lang w:val="en-US" w:eastAsia="zh-CN"/>
              </w:rPr>
              <w:t>知识点，整体、系统、有针对性地进行</w:t>
            </w:r>
            <w:r>
              <w:rPr>
                <w:rFonts w:hint="eastAsia" w:ascii="宋体" w:hAnsi="宋体" w:eastAsia="宋体" w:cs="宋体"/>
                <w:sz w:val="24"/>
                <w:szCs w:val="24"/>
                <w:lang w:val="en-US" w:eastAsia="zh-CN"/>
              </w:rPr>
              <w:t>理论知识回顾</w:t>
            </w:r>
            <w:r>
              <w:rPr>
                <w:rFonts w:hint="default" w:ascii="宋体" w:hAnsi="宋体" w:eastAsia="宋体" w:cs="宋体"/>
                <w:sz w:val="24"/>
                <w:szCs w:val="24"/>
                <w:lang w:val="en-US" w:eastAsia="zh-CN"/>
              </w:rPr>
              <w:t>。</w:t>
            </w:r>
            <w:r>
              <w:rPr>
                <w:rFonts w:hint="eastAsia" w:ascii="宋体" w:hAnsi="宋体" w:eastAsia="宋体" w:cs="宋体"/>
                <w:sz w:val="24"/>
                <w:szCs w:val="24"/>
                <w:lang w:val="en-US" w:eastAsia="zh-CN"/>
              </w:rPr>
              <w:t>教师在</w:t>
            </w:r>
            <w:r>
              <w:rPr>
                <w:rFonts w:hint="default" w:ascii="宋体" w:hAnsi="宋体" w:eastAsia="宋体" w:cs="宋体"/>
                <w:sz w:val="24"/>
                <w:szCs w:val="24"/>
                <w:lang w:val="en-US" w:eastAsia="zh-CN"/>
              </w:rPr>
              <w:t>知识点</w:t>
            </w:r>
            <w:r>
              <w:rPr>
                <w:rFonts w:hint="eastAsia" w:ascii="宋体" w:hAnsi="宋体" w:eastAsia="宋体" w:cs="宋体"/>
                <w:sz w:val="24"/>
                <w:szCs w:val="24"/>
                <w:lang w:val="en-US" w:eastAsia="zh-CN"/>
              </w:rPr>
              <w:t>梳理</w:t>
            </w:r>
            <w:r>
              <w:rPr>
                <w:rFonts w:hint="default" w:ascii="宋体" w:hAnsi="宋体" w:eastAsia="宋体" w:cs="宋体"/>
                <w:sz w:val="24"/>
                <w:szCs w:val="24"/>
                <w:lang w:val="en-US" w:eastAsia="zh-CN"/>
              </w:rPr>
              <w:t>讲解的同时，注重引导学生关注现实问题，</w:t>
            </w:r>
            <w:r>
              <w:rPr>
                <w:rFonts w:hint="eastAsia" w:ascii="宋体" w:hAnsi="宋体" w:eastAsia="宋体" w:cs="宋体"/>
                <w:sz w:val="24"/>
                <w:szCs w:val="24"/>
                <w:lang w:val="en-US" w:eastAsia="zh-CN"/>
              </w:rPr>
              <w:t>让学生对课程的</w:t>
            </w:r>
            <w:r>
              <w:rPr>
                <w:rFonts w:hint="default" w:ascii="宋体" w:hAnsi="宋体" w:eastAsia="宋体" w:cs="宋体"/>
                <w:sz w:val="24"/>
                <w:szCs w:val="24"/>
                <w:lang w:val="en-US" w:eastAsia="zh-CN"/>
              </w:rPr>
              <w:t>知识脉络有清晰的了解</w:t>
            </w:r>
            <w:r>
              <w:rPr>
                <w:rFonts w:hint="eastAsia" w:ascii="宋体" w:hAnsi="宋体" w:eastAsia="宋体" w:cs="宋体"/>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3</w:t>
            </w:r>
            <w:r>
              <w:rPr>
                <w:rFonts w:hint="eastAsia" w:ascii="宋体" w:hAnsi="宋体" w:eastAsia="宋体" w:cs="宋体"/>
                <w:sz w:val="24"/>
                <w:szCs w:val="24"/>
                <w:lang w:val="en-US" w:eastAsia="zh-CN"/>
              </w:rPr>
              <w:t>）师生</w:t>
            </w:r>
            <w:r>
              <w:rPr>
                <w:rFonts w:hint="eastAsia" w:ascii="宋体" w:hAnsi="宋体" w:eastAsia="宋体" w:cs="宋体"/>
                <w:b/>
                <w:bCs/>
                <w:sz w:val="24"/>
                <w:szCs w:val="24"/>
                <w:lang w:val="en-US" w:eastAsia="zh-CN"/>
              </w:rPr>
              <w:t>课堂讨论</w:t>
            </w:r>
            <w:r>
              <w:rPr>
                <w:rFonts w:hint="eastAsia" w:ascii="宋体" w:hAnsi="宋体" w:eastAsia="宋体" w:cs="宋体"/>
                <w:sz w:val="24"/>
                <w:szCs w:val="24"/>
                <w:lang w:val="en-US" w:eastAsia="zh-CN"/>
              </w:rPr>
              <w:t>。教师加强引导，课堂组织讨论。重点要求学生在积极参加讨论的基础上，撰写书面案例分析报告。课堂讨论结束后，以小组为单位制作PPT在课堂展示分享，一般10-15分钟。在此过程中，如果小组成员需要，教师应随时参与、给予指导。</w:t>
            </w:r>
          </w:p>
          <w:p>
            <w:pPr>
              <w:keepNext w:val="0"/>
              <w:keepLines w:val="0"/>
              <w:pageBreakBefore w:val="0"/>
              <w:widowControl w:val="0"/>
              <w:numPr>
                <w:ilvl w:val="0"/>
                <w:numId w:val="0"/>
              </w:numPr>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w:t>
            </w:r>
            <w:r>
              <w:rPr>
                <w:rFonts w:hint="eastAsia" w:ascii="宋体" w:hAnsi="宋体" w:eastAsia="宋体" w:cs="宋体"/>
                <w:b/>
                <w:bCs/>
                <w:sz w:val="24"/>
                <w:szCs w:val="24"/>
                <w:lang w:val="en-US" w:eastAsia="zh-CN"/>
              </w:rPr>
              <w:t>案例分析及点评</w:t>
            </w:r>
            <w:r>
              <w:rPr>
                <w:rFonts w:hint="eastAsia" w:ascii="宋体" w:hAnsi="宋体" w:eastAsia="宋体" w:cs="宋体"/>
                <w:sz w:val="24"/>
                <w:szCs w:val="24"/>
                <w:lang w:val="en-US" w:eastAsia="zh-CN"/>
              </w:rPr>
              <w:t>。无论是课前还是课中指导案例分析的过</w:t>
            </w:r>
            <w:r>
              <w:rPr>
                <w:rFonts w:hint="default" w:ascii="宋体" w:hAnsi="宋体" w:eastAsia="宋体" w:cs="宋体"/>
                <w:sz w:val="24"/>
                <w:szCs w:val="24"/>
                <w:lang w:val="en-US" w:eastAsia="zh-CN"/>
              </w:rPr>
              <w:t>程中</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教师都能够及时发现学生存在的问题，并及时进行课堂点评</w:t>
            </w:r>
            <w:r>
              <w:rPr>
                <w:rFonts w:hint="eastAsia" w:ascii="宋体" w:hAnsi="宋体" w:eastAsia="宋体" w:cs="宋体"/>
                <w:sz w:val="24"/>
                <w:szCs w:val="24"/>
                <w:lang w:val="en-US" w:eastAsia="zh-CN"/>
              </w:rPr>
              <w:t>。</w:t>
            </w:r>
            <w:r>
              <w:rPr>
                <w:rFonts w:hint="default" w:ascii="宋体" w:hAnsi="宋体" w:eastAsia="宋体" w:cs="宋体"/>
                <w:sz w:val="24"/>
                <w:szCs w:val="24"/>
                <w:lang w:val="en-US" w:eastAsia="zh-CN"/>
              </w:rPr>
              <w:t>要提高教学效果，更好地了解学情，可以通过发布调查问卷或者讨论话题等方式在线获取学生反馈，基于学生们反馈的信息和诉求及时改进教学方案。</w:t>
            </w:r>
          </w:p>
          <w:p>
            <w:pPr>
              <w:pStyle w:val="2"/>
              <w:ind w:left="0" w:leftChars="0" w:firstLine="0" w:firstLineChars="0"/>
              <w:rPr>
                <w:sz w:val="20"/>
                <w:lang w:bidi="ar"/>
              </w:rPr>
            </w:pPr>
          </w:p>
        </w:tc>
      </w:tr>
    </w:tbl>
    <w:p>
      <w:pPr>
        <w:widowControl/>
        <w:spacing w:before="156" w:beforeLines="50" w:after="156" w:afterLines="50" w:line="360" w:lineRule="auto"/>
        <w:jc w:val="left"/>
        <w:rPr>
          <w:rFonts w:hint="eastAsia" w:ascii="黑体" w:hAnsi="黑体" w:eastAsia="黑体" w:cs="宋体"/>
          <w:bCs/>
          <w:color w:val="000000"/>
          <w:kern w:val="0"/>
          <w:sz w:val="28"/>
          <w:szCs w:val="28"/>
          <w:lang w:bidi="ar"/>
        </w:rPr>
      </w:pPr>
    </w:p>
    <w:p>
      <w:pPr>
        <w:widowControl/>
        <w:spacing w:before="156" w:beforeLines="50" w:after="156" w:afterLines="50" w:line="360" w:lineRule="auto"/>
        <w:jc w:val="left"/>
        <w:rPr>
          <w:rFonts w:hint="eastAsia" w:ascii="黑体" w:hAnsi="黑体" w:eastAsia="黑体" w:cs="宋体"/>
          <w:bCs/>
          <w:color w:val="000000"/>
          <w:kern w:val="0"/>
          <w:sz w:val="28"/>
          <w:szCs w:val="28"/>
          <w:lang w:bidi="ar"/>
        </w:rPr>
      </w:pPr>
    </w:p>
    <w:p>
      <w:pPr>
        <w:widowControl/>
        <w:spacing w:before="156" w:beforeLines="50" w:after="156" w:afterLines="50" w:line="360" w:lineRule="auto"/>
        <w:jc w:val="left"/>
        <w:rPr>
          <w:rFonts w:hint="eastAsia" w:ascii="黑体" w:hAnsi="黑体" w:eastAsia="黑体" w:cs="宋体"/>
          <w:bCs/>
          <w:color w:val="000000"/>
          <w:kern w:val="0"/>
          <w:sz w:val="28"/>
          <w:szCs w:val="28"/>
          <w:lang w:bidi="ar"/>
        </w:rPr>
      </w:pPr>
    </w:p>
    <w:p>
      <w:pPr>
        <w:widowControl/>
        <w:spacing w:before="156" w:beforeLines="50" w:after="156" w:afterLines="50" w:line="360" w:lineRule="auto"/>
        <w:jc w:val="left"/>
        <w:rPr>
          <w:rFonts w:hint="eastAsia" w:ascii="黑体" w:hAnsi="黑体" w:eastAsia="黑体" w:cs="宋体"/>
          <w:bCs/>
          <w:color w:val="000000"/>
          <w:kern w:val="0"/>
          <w:sz w:val="28"/>
          <w:szCs w:val="28"/>
          <w:lang w:bidi="ar"/>
        </w:rPr>
      </w:pPr>
    </w:p>
    <w:p>
      <w:pPr>
        <w:widowControl/>
        <w:spacing w:before="156" w:beforeLines="50" w:after="156" w:afterLines="50" w:line="360" w:lineRule="auto"/>
        <w:jc w:val="left"/>
        <w:rPr>
          <w:rFonts w:hint="eastAsia" w:ascii="黑体" w:hAnsi="黑体" w:eastAsia="黑体" w:cs="宋体"/>
          <w:bCs/>
          <w:color w:val="000000"/>
          <w:kern w:val="0"/>
          <w:sz w:val="28"/>
          <w:szCs w:val="28"/>
          <w:lang w:bidi="ar"/>
        </w:rPr>
      </w:pPr>
    </w:p>
    <w:p>
      <w:pPr>
        <w:widowControl/>
        <w:spacing w:before="156" w:beforeLines="50" w:after="156" w:afterLines="50" w:line="360" w:lineRule="auto"/>
        <w:jc w:val="left"/>
        <w:rPr>
          <w:rFonts w:ascii="黑体" w:hAnsi="黑体" w:eastAsia="黑体" w:cs="宋体"/>
          <w:bCs/>
          <w:color w:val="000000"/>
          <w:kern w:val="0"/>
          <w:sz w:val="28"/>
          <w:szCs w:val="28"/>
          <w:lang w:bidi="ar"/>
        </w:rPr>
      </w:pPr>
      <w:bookmarkStart w:id="0" w:name="_GoBack"/>
      <w:bookmarkEnd w:id="0"/>
      <w:r>
        <w:rPr>
          <w:rFonts w:hint="eastAsia" w:ascii="黑体" w:hAnsi="黑体" w:eastAsia="黑体" w:cs="宋体"/>
          <w:bCs/>
          <w:color w:val="000000"/>
          <w:kern w:val="0"/>
          <w:sz w:val="28"/>
          <w:szCs w:val="28"/>
          <w:lang w:bidi="ar"/>
        </w:rPr>
        <w:t>4.学习评价</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1" w:hRule="atLeast"/>
        </w:trPr>
        <w:tc>
          <w:tcPr>
            <w:tcW w:w="8296" w:type="dxa"/>
          </w:tcPr>
          <w:p>
            <w:pPr>
              <w:widowControl/>
              <w:jc w:val="left"/>
              <w:rPr>
                <w:rFonts w:ascii="宋体" w:hAnsi="宋体" w:eastAsia="宋体" w:cs="仿宋_GB2312"/>
                <w:iCs/>
                <w:color w:val="000000"/>
                <w:kern w:val="0"/>
                <w:sz w:val="24"/>
                <w:szCs w:val="24"/>
                <w:lang w:bidi="ar"/>
              </w:rPr>
            </w:pPr>
            <w:r>
              <w:rPr>
                <w:rFonts w:hint="eastAsia" w:ascii="宋体" w:hAnsi="宋体" w:eastAsia="宋体" w:cs="仿宋_GB2312"/>
                <w:iCs/>
                <w:color w:val="000000"/>
                <w:kern w:val="0"/>
                <w:sz w:val="24"/>
                <w:szCs w:val="24"/>
                <w:lang w:bidi="ar"/>
              </w:rPr>
              <w:t>(项目考核方案与标准）</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坚持OBE教学理念，过程评价与结果评价相结合，项目考核通过课堂表现、案例分析报告、分组PPT展示汇报三个模块进行案例教学效果的检验，不断完善教师的案例教学，提高教学水平。具体如下表所示。</w:t>
            </w:r>
          </w:p>
          <w:p>
            <w:pPr>
              <w:keepNext w:val="0"/>
              <w:keepLines w:val="0"/>
              <w:pageBreakBefore w:val="0"/>
              <w:widowControl w:val="0"/>
              <w:kinsoku/>
              <w:wordWrap/>
              <w:overflowPunct/>
              <w:topLinePunct w:val="0"/>
              <w:autoSpaceDE/>
              <w:autoSpaceDN/>
              <w:bidi w:val="0"/>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p>
          <w:tbl>
            <w:tblPr>
              <w:tblStyle w:val="6"/>
              <w:tblW w:w="7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4"/>
              <w:gridCol w:w="1915"/>
              <w:gridCol w:w="1116"/>
              <w:gridCol w:w="8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574" w:type="dxa"/>
                  <w:shd w:val="clear" w:color="auto" w:fill="auto"/>
                  <w:noWrap/>
                  <w:vAlign w:val="center"/>
                </w:tcPr>
                <w:p>
                  <w:pPr>
                    <w:widowControl/>
                    <w:jc w:val="center"/>
                    <w:rPr>
                      <w:rFonts w:hint="default" w:ascii="Times New Roman" w:hAnsi="Times New Roman" w:eastAsia="楷体" w:cs="Times New Roman"/>
                      <w:color w:val="000000"/>
                      <w:kern w:val="0"/>
                      <w:sz w:val="21"/>
                      <w:szCs w:val="21"/>
                      <w:lang w:val="en-US" w:eastAsia="zh-CN"/>
                    </w:rPr>
                  </w:pPr>
                  <w:r>
                    <w:rPr>
                      <w:rFonts w:hint="default" w:ascii="Times New Roman" w:hAnsi="Times New Roman" w:eastAsia="楷体" w:cs="Times New Roman"/>
                      <w:color w:val="000000"/>
                      <w:kern w:val="0"/>
                      <w:sz w:val="21"/>
                      <w:szCs w:val="21"/>
                      <w:lang w:val="en-US" w:eastAsia="zh-CN"/>
                    </w:rPr>
                    <w:t>项目案例</w:t>
                  </w:r>
                </w:p>
              </w:tc>
              <w:tc>
                <w:tcPr>
                  <w:tcW w:w="1915" w:type="dxa"/>
                  <w:shd w:val="clear" w:color="auto" w:fill="auto"/>
                  <w:noWrap/>
                  <w:vAlign w:val="center"/>
                </w:tcPr>
                <w:p>
                  <w:pPr>
                    <w:widowControl/>
                    <w:jc w:val="center"/>
                    <w:rPr>
                      <w:rFonts w:hint="default" w:ascii="Times New Roman" w:hAnsi="Times New Roman" w:eastAsia="楷体" w:cs="Times New Roman"/>
                      <w:color w:val="000000"/>
                      <w:kern w:val="0"/>
                      <w:sz w:val="21"/>
                      <w:szCs w:val="21"/>
                    </w:rPr>
                  </w:pPr>
                  <w:r>
                    <w:rPr>
                      <w:rFonts w:hint="default" w:ascii="Times New Roman" w:hAnsi="Times New Roman" w:eastAsia="楷体" w:cs="Times New Roman"/>
                      <w:color w:val="000000"/>
                      <w:kern w:val="0"/>
                      <w:sz w:val="21"/>
                      <w:szCs w:val="21"/>
                    </w:rPr>
                    <w:t>考核明细</w:t>
                  </w:r>
                </w:p>
              </w:tc>
              <w:tc>
                <w:tcPr>
                  <w:tcW w:w="1116" w:type="dxa"/>
                  <w:shd w:val="clear" w:color="auto" w:fill="auto"/>
                  <w:noWrap/>
                  <w:vAlign w:val="center"/>
                </w:tcPr>
                <w:p>
                  <w:pPr>
                    <w:widowControl/>
                    <w:jc w:val="center"/>
                    <w:rPr>
                      <w:rFonts w:hint="default" w:ascii="Times New Roman" w:hAnsi="Times New Roman" w:eastAsia="楷体" w:cs="Times New Roman"/>
                      <w:color w:val="000000"/>
                      <w:kern w:val="0"/>
                      <w:sz w:val="21"/>
                      <w:szCs w:val="21"/>
                    </w:rPr>
                  </w:pPr>
                  <w:r>
                    <w:rPr>
                      <w:rFonts w:hint="default" w:ascii="Times New Roman" w:hAnsi="Times New Roman" w:eastAsia="楷体" w:cs="Times New Roman"/>
                      <w:color w:val="000000"/>
                      <w:kern w:val="0"/>
                      <w:sz w:val="21"/>
                      <w:szCs w:val="21"/>
                    </w:rPr>
                    <w:t>考核权重</w:t>
                  </w:r>
                </w:p>
              </w:tc>
              <w:tc>
                <w:tcPr>
                  <w:tcW w:w="809" w:type="dxa"/>
                  <w:shd w:val="clear" w:color="auto" w:fill="auto"/>
                  <w:noWrap/>
                  <w:vAlign w:val="center"/>
                </w:tcPr>
                <w:p>
                  <w:pPr>
                    <w:widowControl/>
                    <w:jc w:val="center"/>
                    <w:rPr>
                      <w:rFonts w:hint="default" w:ascii="Times New Roman" w:hAnsi="Times New Roman" w:eastAsia="楷体" w:cs="Times New Roman"/>
                      <w:color w:val="000000"/>
                      <w:kern w:val="0"/>
                      <w:sz w:val="21"/>
                      <w:szCs w:val="21"/>
                      <w:lang w:val="en-US" w:eastAsia="zh-CN"/>
                    </w:rPr>
                  </w:pPr>
                  <w:r>
                    <w:rPr>
                      <w:rFonts w:hint="default" w:ascii="Times New Roman" w:hAnsi="Times New Roman" w:eastAsia="楷体" w:cs="Times New Roman"/>
                      <w:color w:val="000000"/>
                      <w:kern w:val="0"/>
                      <w:sz w:val="21"/>
                      <w:szCs w:val="21"/>
                      <w:lang w:val="en-US" w:eastAsia="zh-CN"/>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574" w:type="dxa"/>
                  <w:vMerge w:val="restart"/>
                  <w:shd w:val="clear" w:color="auto" w:fill="auto"/>
                  <w:vAlign w:val="center"/>
                </w:tcPr>
                <w:p>
                  <w:pPr>
                    <w:widowControl/>
                    <w:jc w:val="center"/>
                    <w:rPr>
                      <w:rFonts w:hint="default" w:ascii="Times New Roman" w:hAnsi="Times New Roman" w:eastAsia="楷体" w:cs="Times New Roman"/>
                      <w:color w:val="313131"/>
                      <w:kern w:val="0"/>
                      <w:sz w:val="21"/>
                      <w:szCs w:val="21"/>
                      <w:lang w:val="en-US" w:eastAsia="zh-CN"/>
                    </w:rPr>
                  </w:pPr>
                  <w:r>
                    <w:rPr>
                      <w:rFonts w:hint="default" w:ascii="Times New Roman" w:hAnsi="Times New Roman" w:eastAsia="楷体" w:cs="Times New Roman"/>
                      <w:color w:val="313131"/>
                      <w:kern w:val="0"/>
                      <w:sz w:val="21"/>
                      <w:szCs w:val="21"/>
                      <w:lang w:val="en-US" w:eastAsia="zh-CN"/>
                    </w:rPr>
                    <w:t>复星医药：ESG助力企业价值创造</w:t>
                  </w:r>
                </w:p>
                <w:p>
                  <w:pPr>
                    <w:widowControl/>
                    <w:jc w:val="center"/>
                    <w:rPr>
                      <w:rFonts w:hint="default" w:ascii="Times New Roman" w:hAnsi="Times New Roman" w:eastAsia="楷体" w:cs="Times New Roman"/>
                      <w:color w:val="313131"/>
                      <w:kern w:val="0"/>
                      <w:sz w:val="21"/>
                      <w:szCs w:val="21"/>
                    </w:rPr>
                  </w:pPr>
                </w:p>
              </w:tc>
              <w:tc>
                <w:tcPr>
                  <w:tcW w:w="1915" w:type="dxa"/>
                  <w:shd w:val="clear" w:color="auto" w:fill="auto"/>
                  <w:noWrap/>
                  <w:vAlign w:val="center"/>
                </w:tcPr>
                <w:p>
                  <w:pPr>
                    <w:widowControl/>
                    <w:jc w:val="left"/>
                    <w:rPr>
                      <w:rFonts w:hint="default" w:ascii="Times New Roman" w:hAnsi="Times New Roman" w:eastAsia="楷体" w:cs="Times New Roman"/>
                      <w:color w:val="313131"/>
                      <w:kern w:val="0"/>
                      <w:sz w:val="21"/>
                      <w:szCs w:val="21"/>
                      <w:lang w:val="en-US" w:eastAsia="zh-CN"/>
                    </w:rPr>
                  </w:pPr>
                  <w:r>
                    <w:rPr>
                      <w:rFonts w:hint="default" w:ascii="Times New Roman" w:hAnsi="Times New Roman" w:eastAsia="楷体" w:cs="Times New Roman"/>
                      <w:color w:val="313131"/>
                      <w:kern w:val="0"/>
                      <w:sz w:val="21"/>
                      <w:szCs w:val="21"/>
                      <w:lang w:val="en-US" w:eastAsia="zh-CN"/>
                    </w:rPr>
                    <w:t>课堂表现</w:t>
                  </w:r>
                </w:p>
              </w:tc>
              <w:tc>
                <w:tcPr>
                  <w:tcW w:w="1116" w:type="dxa"/>
                  <w:shd w:val="clear" w:color="auto" w:fill="auto"/>
                  <w:noWrap/>
                  <w:vAlign w:val="center"/>
                </w:tcPr>
                <w:p>
                  <w:pPr>
                    <w:widowControl/>
                    <w:jc w:val="center"/>
                    <w:rPr>
                      <w:rFonts w:hint="default" w:ascii="Times New Roman" w:hAnsi="Times New Roman" w:eastAsia="楷体" w:cs="Times New Roman"/>
                      <w:color w:val="000000"/>
                      <w:kern w:val="0"/>
                      <w:sz w:val="21"/>
                      <w:szCs w:val="21"/>
                    </w:rPr>
                  </w:pPr>
                  <w:r>
                    <w:rPr>
                      <w:rFonts w:hint="default" w:ascii="Times New Roman" w:hAnsi="Times New Roman" w:eastAsia="楷体" w:cs="Times New Roman"/>
                      <w:color w:val="000000"/>
                      <w:kern w:val="0"/>
                      <w:sz w:val="21"/>
                      <w:szCs w:val="21"/>
                      <w:lang w:val="en-US" w:eastAsia="zh-CN"/>
                    </w:rPr>
                    <w:t>3</w:t>
                  </w:r>
                  <w:r>
                    <w:rPr>
                      <w:rFonts w:hint="default" w:ascii="Times New Roman" w:hAnsi="Times New Roman" w:eastAsia="楷体" w:cs="Times New Roman"/>
                      <w:color w:val="000000"/>
                      <w:kern w:val="0"/>
                      <w:sz w:val="21"/>
                      <w:szCs w:val="21"/>
                    </w:rPr>
                    <w:t>0%</w:t>
                  </w:r>
                </w:p>
              </w:tc>
              <w:tc>
                <w:tcPr>
                  <w:tcW w:w="809" w:type="dxa"/>
                  <w:vMerge w:val="restart"/>
                  <w:shd w:val="clear" w:color="auto" w:fill="auto"/>
                  <w:noWrap/>
                  <w:vAlign w:val="center"/>
                </w:tcPr>
                <w:p>
                  <w:pPr>
                    <w:widowControl/>
                    <w:jc w:val="center"/>
                    <w:rPr>
                      <w:rFonts w:hint="default" w:ascii="Times New Roman" w:hAnsi="Times New Roman" w:eastAsia="楷体" w:cs="Times New Roman"/>
                      <w:color w:val="000000"/>
                      <w:kern w:val="0"/>
                      <w:sz w:val="21"/>
                      <w:szCs w:val="21"/>
                      <w:lang w:val="en-US" w:eastAsia="zh-CN"/>
                    </w:rPr>
                  </w:pPr>
                  <w:r>
                    <w:rPr>
                      <w:rFonts w:hint="default" w:ascii="Times New Roman" w:hAnsi="Times New Roman" w:eastAsia="楷体" w:cs="Times New Roman"/>
                      <w:color w:val="000000"/>
                      <w:kern w:val="0"/>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574" w:type="dxa"/>
                  <w:vMerge w:val="continue"/>
                  <w:vAlign w:val="center"/>
                </w:tcPr>
                <w:p>
                  <w:pPr>
                    <w:widowControl/>
                    <w:jc w:val="center"/>
                    <w:rPr>
                      <w:rFonts w:hint="default" w:ascii="Times New Roman" w:hAnsi="Times New Roman" w:eastAsia="楷体" w:cs="Times New Roman"/>
                      <w:color w:val="313131"/>
                      <w:kern w:val="0"/>
                      <w:sz w:val="21"/>
                      <w:szCs w:val="21"/>
                    </w:rPr>
                  </w:pPr>
                </w:p>
              </w:tc>
              <w:tc>
                <w:tcPr>
                  <w:tcW w:w="1915" w:type="dxa"/>
                  <w:shd w:val="clear" w:color="auto" w:fill="auto"/>
                  <w:vAlign w:val="center"/>
                </w:tcPr>
                <w:p>
                  <w:pPr>
                    <w:widowControl/>
                    <w:jc w:val="left"/>
                    <w:rPr>
                      <w:rFonts w:hint="default" w:ascii="Times New Roman" w:hAnsi="Times New Roman" w:eastAsia="楷体" w:cs="Times New Roman"/>
                      <w:color w:val="313131"/>
                      <w:kern w:val="0"/>
                      <w:sz w:val="21"/>
                      <w:szCs w:val="21"/>
                      <w:lang w:val="en-US" w:eastAsia="zh-CN"/>
                    </w:rPr>
                  </w:pPr>
                  <w:r>
                    <w:rPr>
                      <w:rFonts w:hint="default" w:ascii="Times New Roman" w:hAnsi="Times New Roman" w:eastAsia="楷体" w:cs="Times New Roman"/>
                      <w:color w:val="313131"/>
                      <w:kern w:val="0"/>
                      <w:sz w:val="21"/>
                      <w:szCs w:val="21"/>
                      <w:lang w:val="en-US" w:eastAsia="zh-CN"/>
                    </w:rPr>
                    <w:t>案例分析报告</w:t>
                  </w:r>
                </w:p>
              </w:tc>
              <w:tc>
                <w:tcPr>
                  <w:tcW w:w="1116" w:type="dxa"/>
                  <w:shd w:val="clear" w:color="auto" w:fill="auto"/>
                  <w:noWrap/>
                  <w:vAlign w:val="center"/>
                </w:tcPr>
                <w:p>
                  <w:pPr>
                    <w:widowControl/>
                    <w:jc w:val="center"/>
                    <w:rPr>
                      <w:rFonts w:hint="default" w:ascii="Times New Roman" w:hAnsi="Times New Roman" w:eastAsia="楷体" w:cs="Times New Roman"/>
                      <w:color w:val="000000"/>
                      <w:kern w:val="0"/>
                      <w:sz w:val="21"/>
                      <w:szCs w:val="21"/>
                    </w:rPr>
                  </w:pPr>
                  <w:r>
                    <w:rPr>
                      <w:rFonts w:hint="default" w:ascii="Times New Roman" w:hAnsi="Times New Roman" w:eastAsia="楷体" w:cs="Times New Roman"/>
                      <w:color w:val="000000"/>
                      <w:kern w:val="0"/>
                      <w:sz w:val="21"/>
                      <w:szCs w:val="21"/>
                      <w:lang w:val="en-US" w:eastAsia="zh-CN"/>
                    </w:rPr>
                    <w:t>4</w:t>
                  </w:r>
                  <w:r>
                    <w:rPr>
                      <w:rFonts w:hint="default" w:ascii="Times New Roman" w:hAnsi="Times New Roman" w:eastAsia="楷体" w:cs="Times New Roman"/>
                      <w:color w:val="000000"/>
                      <w:kern w:val="0"/>
                      <w:sz w:val="21"/>
                      <w:szCs w:val="21"/>
                    </w:rPr>
                    <w:t>0%</w:t>
                  </w:r>
                </w:p>
              </w:tc>
              <w:tc>
                <w:tcPr>
                  <w:tcW w:w="809" w:type="dxa"/>
                  <w:vMerge w:val="continue"/>
                  <w:shd w:val="clear" w:color="auto" w:fill="auto"/>
                  <w:noWrap/>
                  <w:vAlign w:val="center"/>
                </w:tcPr>
                <w:p>
                  <w:pPr>
                    <w:widowControl/>
                    <w:jc w:val="center"/>
                    <w:rPr>
                      <w:rFonts w:hint="default" w:ascii="Times New Roman" w:hAnsi="Times New Roman" w:eastAsia="楷体"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574" w:type="dxa"/>
                  <w:vMerge w:val="continue"/>
                  <w:shd w:val="clear" w:color="auto" w:fill="auto"/>
                  <w:vAlign w:val="center"/>
                </w:tcPr>
                <w:p>
                  <w:pPr>
                    <w:widowControl/>
                    <w:jc w:val="center"/>
                    <w:rPr>
                      <w:rFonts w:hint="default" w:ascii="Times New Roman" w:hAnsi="Times New Roman" w:eastAsia="楷体" w:cs="Times New Roman"/>
                      <w:color w:val="313131"/>
                      <w:kern w:val="0"/>
                      <w:sz w:val="21"/>
                      <w:szCs w:val="21"/>
                    </w:rPr>
                  </w:pPr>
                </w:p>
              </w:tc>
              <w:tc>
                <w:tcPr>
                  <w:tcW w:w="1915" w:type="dxa"/>
                  <w:shd w:val="clear" w:color="auto" w:fill="auto"/>
                  <w:vAlign w:val="center"/>
                </w:tcPr>
                <w:p>
                  <w:pPr>
                    <w:widowControl/>
                    <w:jc w:val="left"/>
                    <w:rPr>
                      <w:rFonts w:hint="default" w:ascii="Times New Roman" w:hAnsi="Times New Roman" w:eastAsia="楷体" w:cs="Times New Roman"/>
                      <w:color w:val="313131"/>
                      <w:kern w:val="0"/>
                      <w:sz w:val="21"/>
                      <w:szCs w:val="21"/>
                      <w:lang w:val="en-US" w:eastAsia="zh-CN"/>
                    </w:rPr>
                  </w:pPr>
                  <w:r>
                    <w:rPr>
                      <w:rFonts w:hint="default" w:ascii="Times New Roman" w:hAnsi="Times New Roman" w:eastAsia="楷体" w:cs="Times New Roman"/>
                      <w:color w:val="313131"/>
                      <w:kern w:val="0"/>
                      <w:sz w:val="21"/>
                      <w:szCs w:val="21"/>
                      <w:lang w:val="en-US" w:eastAsia="zh-CN"/>
                    </w:rPr>
                    <w:t>分组PPT展示汇报</w:t>
                  </w:r>
                </w:p>
              </w:tc>
              <w:tc>
                <w:tcPr>
                  <w:tcW w:w="1116" w:type="dxa"/>
                  <w:shd w:val="clear" w:color="auto" w:fill="auto"/>
                  <w:noWrap/>
                  <w:vAlign w:val="center"/>
                </w:tcPr>
                <w:p>
                  <w:pPr>
                    <w:widowControl/>
                    <w:jc w:val="center"/>
                    <w:rPr>
                      <w:rFonts w:hint="default" w:ascii="Times New Roman" w:hAnsi="Times New Roman" w:eastAsia="楷体" w:cs="Times New Roman"/>
                      <w:color w:val="000000"/>
                      <w:kern w:val="0"/>
                      <w:sz w:val="21"/>
                      <w:szCs w:val="21"/>
                    </w:rPr>
                  </w:pPr>
                  <w:r>
                    <w:rPr>
                      <w:rFonts w:hint="default" w:ascii="Times New Roman" w:hAnsi="Times New Roman" w:eastAsia="楷体" w:cs="Times New Roman"/>
                      <w:color w:val="000000"/>
                      <w:kern w:val="0"/>
                      <w:sz w:val="21"/>
                      <w:szCs w:val="21"/>
                      <w:lang w:val="en-US" w:eastAsia="zh-CN"/>
                    </w:rPr>
                    <w:t>3</w:t>
                  </w:r>
                  <w:r>
                    <w:rPr>
                      <w:rFonts w:hint="default" w:ascii="Times New Roman" w:hAnsi="Times New Roman" w:eastAsia="楷体" w:cs="Times New Roman"/>
                      <w:color w:val="000000"/>
                      <w:kern w:val="0"/>
                      <w:sz w:val="21"/>
                      <w:szCs w:val="21"/>
                    </w:rPr>
                    <w:t>0%</w:t>
                  </w:r>
                </w:p>
              </w:tc>
              <w:tc>
                <w:tcPr>
                  <w:tcW w:w="809" w:type="dxa"/>
                  <w:vMerge w:val="continue"/>
                  <w:shd w:val="clear" w:color="auto" w:fill="auto"/>
                  <w:noWrap/>
                  <w:vAlign w:val="center"/>
                </w:tcPr>
                <w:p>
                  <w:pPr>
                    <w:widowControl/>
                    <w:jc w:val="center"/>
                    <w:rPr>
                      <w:rFonts w:hint="default" w:ascii="Times New Roman" w:hAnsi="Times New Roman" w:eastAsia="楷体" w:cs="Times New Roman"/>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574" w:type="dxa"/>
                  <w:vMerge w:val="restart"/>
                  <w:shd w:val="clear" w:color="auto" w:fill="auto"/>
                  <w:vAlign w:val="center"/>
                </w:tcPr>
                <w:p>
                  <w:pPr>
                    <w:widowControl/>
                    <w:jc w:val="center"/>
                    <w:rPr>
                      <w:rFonts w:hint="default" w:ascii="Times New Roman" w:hAnsi="Times New Roman" w:eastAsia="楷体" w:cs="Times New Roman"/>
                      <w:color w:val="313131"/>
                      <w:kern w:val="0"/>
                      <w:sz w:val="21"/>
                      <w:szCs w:val="21"/>
                      <w:lang w:val="en-US" w:eastAsia="zh-CN"/>
                    </w:rPr>
                  </w:pPr>
                  <w:r>
                    <w:rPr>
                      <w:rFonts w:hint="default" w:ascii="Times New Roman" w:hAnsi="Times New Roman" w:eastAsia="楷体" w:cs="Times New Roman"/>
                      <w:color w:val="313131"/>
                      <w:kern w:val="0"/>
                      <w:sz w:val="21"/>
                      <w:szCs w:val="21"/>
                      <w:lang w:val="en-US" w:eastAsia="zh-CN"/>
                    </w:rPr>
                    <w:t>苏宁易购：大数据时代下的供应链</w:t>
                  </w:r>
                </w:p>
                <w:p>
                  <w:pPr>
                    <w:widowControl/>
                    <w:jc w:val="center"/>
                    <w:rPr>
                      <w:rFonts w:hint="default" w:ascii="Times New Roman" w:hAnsi="Times New Roman" w:eastAsia="楷体" w:cs="Times New Roman"/>
                      <w:color w:val="313131"/>
                      <w:kern w:val="0"/>
                      <w:sz w:val="21"/>
                      <w:szCs w:val="21"/>
                    </w:rPr>
                  </w:pPr>
                  <w:r>
                    <w:rPr>
                      <w:rFonts w:hint="default" w:ascii="Times New Roman" w:hAnsi="Times New Roman" w:eastAsia="楷体" w:cs="Times New Roman"/>
                      <w:color w:val="313131"/>
                      <w:kern w:val="0"/>
                      <w:sz w:val="21"/>
                      <w:szCs w:val="21"/>
                      <w:lang w:val="en-US" w:eastAsia="zh-CN"/>
                    </w:rPr>
                    <w:t>成本控制</w:t>
                  </w:r>
                </w:p>
              </w:tc>
              <w:tc>
                <w:tcPr>
                  <w:tcW w:w="1915" w:type="dxa"/>
                  <w:shd w:val="clear" w:color="auto" w:fill="auto"/>
                  <w:vAlign w:val="center"/>
                </w:tcPr>
                <w:p>
                  <w:pPr>
                    <w:widowControl/>
                    <w:jc w:val="left"/>
                    <w:rPr>
                      <w:rFonts w:hint="default" w:ascii="Times New Roman" w:hAnsi="Times New Roman" w:eastAsia="楷体" w:cs="Times New Roman"/>
                      <w:color w:val="313131"/>
                      <w:kern w:val="0"/>
                      <w:sz w:val="21"/>
                      <w:szCs w:val="21"/>
                    </w:rPr>
                  </w:pPr>
                  <w:r>
                    <w:rPr>
                      <w:rFonts w:hint="default" w:ascii="Times New Roman" w:hAnsi="Times New Roman" w:eastAsia="楷体" w:cs="Times New Roman"/>
                      <w:color w:val="313131"/>
                      <w:kern w:val="0"/>
                      <w:sz w:val="21"/>
                      <w:szCs w:val="21"/>
                      <w:lang w:val="en-US" w:eastAsia="zh-CN"/>
                    </w:rPr>
                    <w:t>课堂表现</w:t>
                  </w:r>
                </w:p>
              </w:tc>
              <w:tc>
                <w:tcPr>
                  <w:tcW w:w="1116" w:type="dxa"/>
                  <w:shd w:val="clear" w:color="auto" w:fill="auto"/>
                  <w:noWrap/>
                  <w:vAlign w:val="center"/>
                </w:tcPr>
                <w:p>
                  <w:pPr>
                    <w:widowControl/>
                    <w:jc w:val="center"/>
                    <w:rPr>
                      <w:rFonts w:hint="default" w:ascii="Times New Roman" w:hAnsi="Times New Roman" w:eastAsia="楷体" w:cs="Times New Roman"/>
                      <w:color w:val="000000"/>
                      <w:kern w:val="0"/>
                      <w:sz w:val="21"/>
                      <w:szCs w:val="21"/>
                    </w:rPr>
                  </w:pPr>
                  <w:r>
                    <w:rPr>
                      <w:rFonts w:hint="default" w:ascii="Times New Roman" w:hAnsi="Times New Roman" w:eastAsia="楷体" w:cs="Times New Roman"/>
                      <w:color w:val="000000"/>
                      <w:kern w:val="0"/>
                      <w:sz w:val="21"/>
                      <w:szCs w:val="21"/>
                      <w:lang w:val="en-US" w:eastAsia="zh-CN"/>
                    </w:rPr>
                    <w:t>3</w:t>
                  </w:r>
                  <w:r>
                    <w:rPr>
                      <w:rFonts w:hint="default" w:ascii="Times New Roman" w:hAnsi="Times New Roman" w:eastAsia="楷体" w:cs="Times New Roman"/>
                      <w:color w:val="000000"/>
                      <w:kern w:val="0"/>
                      <w:sz w:val="21"/>
                      <w:szCs w:val="21"/>
                    </w:rPr>
                    <w:t>0%</w:t>
                  </w:r>
                </w:p>
              </w:tc>
              <w:tc>
                <w:tcPr>
                  <w:tcW w:w="809" w:type="dxa"/>
                  <w:vMerge w:val="restart"/>
                  <w:shd w:val="clear" w:color="auto" w:fill="auto"/>
                  <w:noWrap/>
                  <w:vAlign w:val="center"/>
                </w:tcPr>
                <w:p>
                  <w:pPr>
                    <w:widowControl/>
                    <w:jc w:val="center"/>
                    <w:rPr>
                      <w:rFonts w:hint="default" w:ascii="Times New Roman" w:hAnsi="Times New Roman" w:eastAsia="楷体" w:cs="Times New Roman"/>
                      <w:color w:val="000000"/>
                      <w:kern w:val="0"/>
                      <w:sz w:val="21"/>
                      <w:szCs w:val="21"/>
                    </w:rPr>
                  </w:pPr>
                  <w:r>
                    <w:rPr>
                      <w:rFonts w:hint="default" w:ascii="Times New Roman" w:hAnsi="Times New Roman" w:eastAsia="楷体" w:cs="Times New Roman"/>
                      <w:color w:val="000000"/>
                      <w:kern w:val="0"/>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574" w:type="dxa"/>
                  <w:vMerge w:val="continue"/>
                  <w:shd w:val="clear" w:color="auto" w:fill="auto"/>
                  <w:vAlign w:val="center"/>
                </w:tcPr>
                <w:p>
                  <w:pPr>
                    <w:widowControl/>
                    <w:jc w:val="center"/>
                    <w:rPr>
                      <w:rFonts w:hint="default" w:ascii="Times New Roman" w:hAnsi="Times New Roman" w:eastAsia="楷体" w:cs="Times New Roman"/>
                      <w:sz w:val="21"/>
                      <w:szCs w:val="21"/>
                    </w:rPr>
                  </w:pPr>
                </w:p>
              </w:tc>
              <w:tc>
                <w:tcPr>
                  <w:tcW w:w="1915" w:type="dxa"/>
                  <w:shd w:val="clear" w:color="auto" w:fill="auto"/>
                  <w:vAlign w:val="center"/>
                </w:tcPr>
                <w:p>
                  <w:pPr>
                    <w:widowControl/>
                    <w:jc w:val="left"/>
                    <w:rPr>
                      <w:rFonts w:hint="default" w:ascii="Times New Roman" w:hAnsi="Times New Roman" w:eastAsia="楷体" w:cs="Times New Roman"/>
                      <w:color w:val="313131"/>
                      <w:kern w:val="0"/>
                      <w:sz w:val="21"/>
                      <w:szCs w:val="21"/>
                    </w:rPr>
                  </w:pPr>
                  <w:r>
                    <w:rPr>
                      <w:rFonts w:hint="default" w:ascii="Times New Roman" w:hAnsi="Times New Roman" w:eastAsia="楷体" w:cs="Times New Roman"/>
                      <w:color w:val="313131"/>
                      <w:kern w:val="0"/>
                      <w:sz w:val="21"/>
                      <w:szCs w:val="21"/>
                      <w:lang w:val="en-US" w:eastAsia="zh-CN"/>
                    </w:rPr>
                    <w:t>案例分析报告</w:t>
                  </w:r>
                </w:p>
              </w:tc>
              <w:tc>
                <w:tcPr>
                  <w:tcW w:w="1116" w:type="dxa"/>
                  <w:shd w:val="clear" w:color="auto" w:fill="auto"/>
                  <w:noWrap/>
                  <w:vAlign w:val="center"/>
                </w:tcPr>
                <w:p>
                  <w:pPr>
                    <w:widowControl/>
                    <w:jc w:val="center"/>
                    <w:rPr>
                      <w:rFonts w:hint="default" w:ascii="Times New Roman" w:hAnsi="Times New Roman" w:eastAsia="楷体" w:cs="Times New Roman"/>
                      <w:color w:val="313131"/>
                      <w:kern w:val="0"/>
                      <w:sz w:val="21"/>
                      <w:szCs w:val="21"/>
                    </w:rPr>
                  </w:pPr>
                  <w:r>
                    <w:rPr>
                      <w:rFonts w:hint="default" w:ascii="Times New Roman" w:hAnsi="Times New Roman" w:eastAsia="楷体" w:cs="Times New Roman"/>
                      <w:color w:val="000000"/>
                      <w:kern w:val="0"/>
                      <w:sz w:val="21"/>
                      <w:szCs w:val="21"/>
                      <w:lang w:val="en-US" w:eastAsia="zh-CN"/>
                    </w:rPr>
                    <w:t>4</w:t>
                  </w:r>
                  <w:r>
                    <w:rPr>
                      <w:rFonts w:hint="default" w:ascii="Times New Roman" w:hAnsi="Times New Roman" w:eastAsia="楷体" w:cs="Times New Roman"/>
                      <w:color w:val="000000"/>
                      <w:kern w:val="0"/>
                      <w:sz w:val="21"/>
                      <w:szCs w:val="21"/>
                    </w:rPr>
                    <w:t>0%</w:t>
                  </w:r>
                </w:p>
              </w:tc>
              <w:tc>
                <w:tcPr>
                  <w:tcW w:w="809" w:type="dxa"/>
                  <w:vMerge w:val="continue"/>
                  <w:shd w:val="clear" w:color="auto" w:fill="auto"/>
                  <w:noWrap/>
                  <w:vAlign w:val="center"/>
                </w:tcPr>
                <w:p>
                  <w:pPr>
                    <w:widowControl/>
                    <w:jc w:val="left"/>
                    <w:rPr>
                      <w:rFonts w:hint="default" w:ascii="Times New Roman" w:hAnsi="Times New Roman" w:eastAsia="楷体" w:cs="Times New Roman"/>
                      <w:color w:val="313131"/>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574" w:type="dxa"/>
                  <w:vMerge w:val="continue"/>
                  <w:shd w:val="clear" w:color="auto" w:fill="auto"/>
                  <w:vAlign w:val="center"/>
                </w:tcPr>
                <w:p>
                  <w:pPr>
                    <w:widowControl/>
                    <w:jc w:val="center"/>
                    <w:rPr>
                      <w:rFonts w:hint="default" w:ascii="Times New Roman" w:hAnsi="Times New Roman" w:eastAsia="楷体" w:cs="Times New Roman"/>
                      <w:color w:val="313131"/>
                      <w:kern w:val="0"/>
                      <w:sz w:val="21"/>
                      <w:szCs w:val="21"/>
                    </w:rPr>
                  </w:pPr>
                </w:p>
              </w:tc>
              <w:tc>
                <w:tcPr>
                  <w:tcW w:w="1915" w:type="dxa"/>
                  <w:shd w:val="clear" w:color="auto" w:fill="auto"/>
                  <w:vAlign w:val="center"/>
                </w:tcPr>
                <w:p>
                  <w:pPr>
                    <w:widowControl/>
                    <w:jc w:val="left"/>
                    <w:rPr>
                      <w:rFonts w:hint="default" w:ascii="Times New Roman" w:hAnsi="Times New Roman" w:eastAsia="楷体" w:cs="Times New Roman"/>
                      <w:color w:val="313131"/>
                      <w:kern w:val="0"/>
                      <w:sz w:val="21"/>
                      <w:szCs w:val="21"/>
                    </w:rPr>
                  </w:pPr>
                  <w:r>
                    <w:rPr>
                      <w:rFonts w:hint="default" w:ascii="Times New Roman" w:hAnsi="Times New Roman" w:eastAsia="楷体" w:cs="Times New Roman"/>
                      <w:color w:val="313131"/>
                      <w:kern w:val="0"/>
                      <w:sz w:val="21"/>
                      <w:szCs w:val="21"/>
                      <w:lang w:val="en-US" w:eastAsia="zh-CN"/>
                    </w:rPr>
                    <w:t>分组PPT展示汇报</w:t>
                  </w:r>
                </w:p>
              </w:tc>
              <w:tc>
                <w:tcPr>
                  <w:tcW w:w="1116" w:type="dxa"/>
                  <w:shd w:val="clear" w:color="auto" w:fill="auto"/>
                  <w:noWrap/>
                  <w:vAlign w:val="center"/>
                </w:tcPr>
                <w:p>
                  <w:pPr>
                    <w:widowControl/>
                    <w:jc w:val="center"/>
                    <w:rPr>
                      <w:rFonts w:hint="default" w:ascii="Times New Roman" w:hAnsi="Times New Roman" w:eastAsia="楷体" w:cs="Times New Roman"/>
                      <w:color w:val="313131"/>
                      <w:kern w:val="0"/>
                      <w:sz w:val="21"/>
                      <w:szCs w:val="21"/>
                    </w:rPr>
                  </w:pPr>
                  <w:r>
                    <w:rPr>
                      <w:rFonts w:hint="default" w:ascii="Times New Roman" w:hAnsi="Times New Roman" w:eastAsia="楷体" w:cs="Times New Roman"/>
                      <w:color w:val="000000"/>
                      <w:kern w:val="0"/>
                      <w:sz w:val="21"/>
                      <w:szCs w:val="21"/>
                      <w:lang w:val="en-US" w:eastAsia="zh-CN"/>
                    </w:rPr>
                    <w:t>3</w:t>
                  </w:r>
                  <w:r>
                    <w:rPr>
                      <w:rFonts w:hint="default" w:ascii="Times New Roman" w:hAnsi="Times New Roman" w:eastAsia="楷体" w:cs="Times New Roman"/>
                      <w:color w:val="000000"/>
                      <w:kern w:val="0"/>
                      <w:sz w:val="21"/>
                      <w:szCs w:val="21"/>
                    </w:rPr>
                    <w:t>0%</w:t>
                  </w:r>
                </w:p>
              </w:tc>
              <w:tc>
                <w:tcPr>
                  <w:tcW w:w="809" w:type="dxa"/>
                  <w:vMerge w:val="continue"/>
                  <w:shd w:val="clear" w:color="auto" w:fill="auto"/>
                  <w:noWrap/>
                  <w:vAlign w:val="center"/>
                </w:tcPr>
                <w:p>
                  <w:pPr>
                    <w:widowControl/>
                    <w:jc w:val="left"/>
                    <w:rPr>
                      <w:rFonts w:hint="default" w:ascii="Times New Roman" w:hAnsi="Times New Roman" w:eastAsia="楷体" w:cs="Times New Roman"/>
                      <w:color w:val="313131"/>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574" w:type="dxa"/>
                  <w:vMerge w:val="restart"/>
                  <w:shd w:val="clear" w:color="auto" w:fill="auto"/>
                  <w:vAlign w:val="center"/>
                </w:tcPr>
                <w:p>
                  <w:pPr>
                    <w:widowControl/>
                    <w:jc w:val="center"/>
                    <w:rPr>
                      <w:rFonts w:hint="default" w:ascii="Times New Roman" w:hAnsi="Times New Roman" w:eastAsia="楷体" w:cs="Times New Roman"/>
                      <w:color w:val="313131"/>
                      <w:kern w:val="0"/>
                      <w:sz w:val="21"/>
                      <w:szCs w:val="21"/>
                      <w:lang w:val="en-US" w:eastAsia="zh-CN"/>
                    </w:rPr>
                  </w:pPr>
                  <w:r>
                    <w:rPr>
                      <w:rFonts w:hint="default" w:ascii="Times New Roman" w:hAnsi="Times New Roman" w:eastAsia="楷体" w:cs="Times New Roman"/>
                      <w:color w:val="313131"/>
                      <w:kern w:val="0"/>
                      <w:sz w:val="21"/>
                      <w:szCs w:val="21"/>
                      <w:lang w:val="en-US" w:eastAsia="zh-CN"/>
                    </w:rPr>
                    <w:t>铜陵有色：“双碳”目标下碳信息</w:t>
                  </w:r>
                </w:p>
                <w:p>
                  <w:pPr>
                    <w:widowControl/>
                    <w:jc w:val="center"/>
                    <w:rPr>
                      <w:rFonts w:hint="default" w:ascii="Times New Roman" w:hAnsi="Times New Roman" w:eastAsia="楷体" w:cs="Times New Roman"/>
                      <w:color w:val="313131"/>
                      <w:kern w:val="0"/>
                      <w:sz w:val="21"/>
                      <w:szCs w:val="21"/>
                    </w:rPr>
                  </w:pPr>
                  <w:r>
                    <w:rPr>
                      <w:rFonts w:hint="default" w:ascii="Times New Roman" w:hAnsi="Times New Roman" w:eastAsia="楷体" w:cs="Times New Roman"/>
                      <w:color w:val="313131"/>
                      <w:kern w:val="0"/>
                      <w:sz w:val="21"/>
                      <w:szCs w:val="21"/>
                      <w:lang w:val="en-US" w:eastAsia="zh-CN"/>
                    </w:rPr>
                    <w:t>披露的优化路径</w:t>
                  </w:r>
                </w:p>
              </w:tc>
              <w:tc>
                <w:tcPr>
                  <w:tcW w:w="1915" w:type="dxa"/>
                  <w:shd w:val="clear" w:color="auto" w:fill="auto"/>
                  <w:vAlign w:val="center"/>
                </w:tcPr>
                <w:p>
                  <w:pPr>
                    <w:widowControl/>
                    <w:jc w:val="left"/>
                    <w:rPr>
                      <w:rFonts w:hint="default" w:ascii="Times New Roman" w:hAnsi="Times New Roman" w:eastAsia="楷体" w:cs="Times New Roman"/>
                      <w:color w:val="313131"/>
                      <w:kern w:val="0"/>
                      <w:sz w:val="21"/>
                      <w:szCs w:val="21"/>
                    </w:rPr>
                  </w:pPr>
                  <w:r>
                    <w:rPr>
                      <w:rFonts w:hint="default" w:ascii="Times New Roman" w:hAnsi="Times New Roman" w:eastAsia="楷体" w:cs="Times New Roman"/>
                      <w:color w:val="313131"/>
                      <w:kern w:val="0"/>
                      <w:sz w:val="21"/>
                      <w:szCs w:val="21"/>
                      <w:lang w:val="en-US" w:eastAsia="zh-CN"/>
                    </w:rPr>
                    <w:t>课堂表现</w:t>
                  </w:r>
                </w:p>
              </w:tc>
              <w:tc>
                <w:tcPr>
                  <w:tcW w:w="1116" w:type="dxa"/>
                  <w:shd w:val="clear" w:color="auto" w:fill="auto"/>
                  <w:noWrap/>
                  <w:vAlign w:val="center"/>
                </w:tcPr>
                <w:p>
                  <w:pPr>
                    <w:widowControl/>
                    <w:jc w:val="center"/>
                    <w:rPr>
                      <w:rFonts w:hint="default" w:ascii="Times New Roman" w:hAnsi="Times New Roman" w:eastAsia="楷体" w:cs="Times New Roman"/>
                      <w:color w:val="000000"/>
                      <w:kern w:val="0"/>
                      <w:sz w:val="21"/>
                      <w:szCs w:val="21"/>
                    </w:rPr>
                  </w:pPr>
                  <w:r>
                    <w:rPr>
                      <w:rFonts w:hint="default" w:ascii="Times New Roman" w:hAnsi="Times New Roman" w:eastAsia="楷体" w:cs="Times New Roman"/>
                      <w:color w:val="000000"/>
                      <w:kern w:val="0"/>
                      <w:sz w:val="21"/>
                      <w:szCs w:val="21"/>
                      <w:lang w:val="en-US" w:eastAsia="zh-CN"/>
                    </w:rPr>
                    <w:t>3</w:t>
                  </w:r>
                  <w:r>
                    <w:rPr>
                      <w:rFonts w:hint="default" w:ascii="Times New Roman" w:hAnsi="Times New Roman" w:eastAsia="楷体" w:cs="Times New Roman"/>
                      <w:color w:val="000000"/>
                      <w:kern w:val="0"/>
                      <w:sz w:val="21"/>
                      <w:szCs w:val="21"/>
                    </w:rPr>
                    <w:t>0%</w:t>
                  </w:r>
                </w:p>
              </w:tc>
              <w:tc>
                <w:tcPr>
                  <w:tcW w:w="809" w:type="dxa"/>
                  <w:vMerge w:val="restart"/>
                  <w:shd w:val="clear" w:color="auto" w:fill="auto"/>
                  <w:noWrap/>
                  <w:vAlign w:val="center"/>
                </w:tcPr>
                <w:p>
                  <w:pPr>
                    <w:widowControl/>
                    <w:jc w:val="center"/>
                    <w:rPr>
                      <w:rFonts w:hint="default" w:ascii="Times New Roman" w:hAnsi="Times New Roman" w:eastAsia="楷体" w:cs="Times New Roman"/>
                      <w:color w:val="000000"/>
                      <w:kern w:val="0"/>
                      <w:sz w:val="21"/>
                      <w:szCs w:val="21"/>
                    </w:rPr>
                  </w:pPr>
                  <w:r>
                    <w:rPr>
                      <w:rFonts w:hint="default" w:ascii="Times New Roman" w:hAnsi="Times New Roman" w:eastAsia="楷体" w:cs="Times New Roman"/>
                      <w:color w:val="000000"/>
                      <w:kern w:val="0"/>
                      <w:sz w:val="21"/>
                      <w:szCs w:val="21"/>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574" w:type="dxa"/>
                  <w:vMerge w:val="continue"/>
                  <w:shd w:val="clear" w:color="auto" w:fill="auto"/>
                  <w:vAlign w:val="center"/>
                </w:tcPr>
                <w:p>
                  <w:pPr>
                    <w:widowControl/>
                    <w:jc w:val="left"/>
                    <w:rPr>
                      <w:rFonts w:hint="default" w:ascii="Times New Roman" w:hAnsi="Times New Roman" w:eastAsia="楷体" w:cs="Times New Roman"/>
                      <w:sz w:val="21"/>
                      <w:szCs w:val="21"/>
                    </w:rPr>
                  </w:pPr>
                </w:p>
              </w:tc>
              <w:tc>
                <w:tcPr>
                  <w:tcW w:w="1915" w:type="dxa"/>
                  <w:shd w:val="clear" w:color="auto" w:fill="auto"/>
                  <w:vAlign w:val="center"/>
                </w:tcPr>
                <w:p>
                  <w:pPr>
                    <w:widowControl/>
                    <w:jc w:val="left"/>
                    <w:rPr>
                      <w:rFonts w:hint="default" w:ascii="Times New Roman" w:hAnsi="Times New Roman" w:eastAsia="楷体" w:cs="Times New Roman"/>
                      <w:color w:val="313131"/>
                      <w:kern w:val="0"/>
                      <w:sz w:val="21"/>
                      <w:szCs w:val="21"/>
                    </w:rPr>
                  </w:pPr>
                  <w:r>
                    <w:rPr>
                      <w:rFonts w:hint="default" w:ascii="Times New Roman" w:hAnsi="Times New Roman" w:eastAsia="楷体" w:cs="Times New Roman"/>
                      <w:color w:val="313131"/>
                      <w:kern w:val="0"/>
                      <w:sz w:val="21"/>
                      <w:szCs w:val="21"/>
                      <w:lang w:val="en-US" w:eastAsia="zh-CN"/>
                    </w:rPr>
                    <w:t>案例分析报告</w:t>
                  </w:r>
                </w:p>
              </w:tc>
              <w:tc>
                <w:tcPr>
                  <w:tcW w:w="1116" w:type="dxa"/>
                  <w:shd w:val="clear" w:color="auto" w:fill="auto"/>
                  <w:noWrap/>
                  <w:vAlign w:val="center"/>
                </w:tcPr>
                <w:p>
                  <w:pPr>
                    <w:widowControl/>
                    <w:jc w:val="center"/>
                    <w:rPr>
                      <w:rFonts w:hint="default" w:ascii="Times New Roman" w:hAnsi="Times New Roman" w:eastAsia="楷体" w:cs="Times New Roman"/>
                      <w:color w:val="313131"/>
                      <w:kern w:val="0"/>
                      <w:sz w:val="21"/>
                      <w:szCs w:val="21"/>
                    </w:rPr>
                  </w:pPr>
                  <w:r>
                    <w:rPr>
                      <w:rFonts w:hint="default" w:ascii="Times New Roman" w:hAnsi="Times New Roman" w:eastAsia="楷体" w:cs="Times New Roman"/>
                      <w:color w:val="000000"/>
                      <w:kern w:val="0"/>
                      <w:sz w:val="21"/>
                      <w:szCs w:val="21"/>
                      <w:lang w:val="en-US" w:eastAsia="zh-CN"/>
                    </w:rPr>
                    <w:t>4</w:t>
                  </w:r>
                  <w:r>
                    <w:rPr>
                      <w:rFonts w:hint="default" w:ascii="Times New Roman" w:hAnsi="Times New Roman" w:eastAsia="楷体" w:cs="Times New Roman"/>
                      <w:color w:val="000000"/>
                      <w:kern w:val="0"/>
                      <w:sz w:val="21"/>
                      <w:szCs w:val="21"/>
                    </w:rPr>
                    <w:t>0%</w:t>
                  </w:r>
                </w:p>
              </w:tc>
              <w:tc>
                <w:tcPr>
                  <w:tcW w:w="809" w:type="dxa"/>
                  <w:vMerge w:val="continue"/>
                  <w:shd w:val="clear" w:color="auto" w:fill="auto"/>
                  <w:noWrap/>
                  <w:vAlign w:val="center"/>
                </w:tcPr>
                <w:p>
                  <w:pPr>
                    <w:widowControl/>
                    <w:jc w:val="left"/>
                    <w:rPr>
                      <w:rFonts w:hint="default" w:ascii="Times New Roman" w:hAnsi="Times New Roman" w:eastAsia="楷体" w:cs="Times New Roman"/>
                      <w:color w:val="313131"/>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3" w:hRule="atLeast"/>
                <w:jc w:val="center"/>
              </w:trPr>
              <w:tc>
                <w:tcPr>
                  <w:tcW w:w="3574" w:type="dxa"/>
                  <w:vMerge w:val="continue"/>
                  <w:shd w:val="clear" w:color="auto" w:fill="auto"/>
                  <w:vAlign w:val="center"/>
                </w:tcPr>
                <w:p>
                  <w:pPr>
                    <w:widowControl/>
                    <w:jc w:val="left"/>
                    <w:rPr>
                      <w:rFonts w:hint="default" w:ascii="Times New Roman" w:hAnsi="Times New Roman" w:eastAsia="楷体" w:cs="Times New Roman"/>
                      <w:color w:val="313131"/>
                      <w:kern w:val="0"/>
                      <w:sz w:val="21"/>
                      <w:szCs w:val="21"/>
                    </w:rPr>
                  </w:pPr>
                </w:p>
              </w:tc>
              <w:tc>
                <w:tcPr>
                  <w:tcW w:w="1915" w:type="dxa"/>
                  <w:shd w:val="clear" w:color="auto" w:fill="auto"/>
                  <w:vAlign w:val="center"/>
                </w:tcPr>
                <w:p>
                  <w:pPr>
                    <w:widowControl/>
                    <w:jc w:val="left"/>
                    <w:rPr>
                      <w:rFonts w:hint="default" w:ascii="Times New Roman" w:hAnsi="Times New Roman" w:eastAsia="楷体" w:cs="Times New Roman"/>
                      <w:color w:val="313131"/>
                      <w:kern w:val="0"/>
                      <w:sz w:val="21"/>
                      <w:szCs w:val="21"/>
                    </w:rPr>
                  </w:pPr>
                  <w:r>
                    <w:rPr>
                      <w:rFonts w:hint="default" w:ascii="Times New Roman" w:hAnsi="Times New Roman" w:eastAsia="楷体" w:cs="Times New Roman"/>
                      <w:color w:val="313131"/>
                      <w:kern w:val="0"/>
                      <w:sz w:val="21"/>
                      <w:szCs w:val="21"/>
                      <w:lang w:val="en-US" w:eastAsia="zh-CN"/>
                    </w:rPr>
                    <w:t>分组PPT展示汇报</w:t>
                  </w:r>
                </w:p>
              </w:tc>
              <w:tc>
                <w:tcPr>
                  <w:tcW w:w="1116" w:type="dxa"/>
                  <w:shd w:val="clear" w:color="auto" w:fill="auto"/>
                  <w:noWrap/>
                  <w:vAlign w:val="center"/>
                </w:tcPr>
                <w:p>
                  <w:pPr>
                    <w:widowControl/>
                    <w:jc w:val="center"/>
                    <w:rPr>
                      <w:rFonts w:hint="default" w:ascii="Times New Roman" w:hAnsi="Times New Roman" w:eastAsia="楷体" w:cs="Times New Roman"/>
                      <w:color w:val="313131"/>
                      <w:kern w:val="0"/>
                      <w:sz w:val="21"/>
                      <w:szCs w:val="21"/>
                    </w:rPr>
                  </w:pPr>
                  <w:r>
                    <w:rPr>
                      <w:rFonts w:hint="default" w:ascii="Times New Roman" w:hAnsi="Times New Roman" w:eastAsia="楷体" w:cs="Times New Roman"/>
                      <w:color w:val="000000"/>
                      <w:kern w:val="0"/>
                      <w:sz w:val="21"/>
                      <w:szCs w:val="21"/>
                      <w:lang w:val="en-US" w:eastAsia="zh-CN"/>
                    </w:rPr>
                    <w:t>3</w:t>
                  </w:r>
                  <w:r>
                    <w:rPr>
                      <w:rFonts w:hint="default" w:ascii="Times New Roman" w:hAnsi="Times New Roman" w:eastAsia="楷体" w:cs="Times New Roman"/>
                      <w:color w:val="000000"/>
                      <w:kern w:val="0"/>
                      <w:sz w:val="21"/>
                      <w:szCs w:val="21"/>
                    </w:rPr>
                    <w:t>0%</w:t>
                  </w:r>
                </w:p>
              </w:tc>
              <w:tc>
                <w:tcPr>
                  <w:tcW w:w="809" w:type="dxa"/>
                  <w:vMerge w:val="continue"/>
                  <w:shd w:val="clear" w:color="auto" w:fill="auto"/>
                  <w:noWrap/>
                  <w:vAlign w:val="center"/>
                </w:tcPr>
                <w:p>
                  <w:pPr>
                    <w:widowControl/>
                    <w:jc w:val="left"/>
                    <w:rPr>
                      <w:rFonts w:hint="default" w:ascii="Times New Roman" w:hAnsi="Times New Roman" w:eastAsia="楷体" w:cs="Times New Roman"/>
                      <w:color w:val="313131"/>
                      <w:kern w:val="0"/>
                      <w:sz w:val="21"/>
                      <w:szCs w:val="21"/>
                    </w:rPr>
                  </w:pPr>
                </w:p>
              </w:tc>
            </w:tr>
          </w:tbl>
          <w:p>
            <w:pPr>
              <w:pStyle w:val="2"/>
              <w:ind w:left="0" w:leftChars="0" w:firstLine="0" w:firstLineChars="0"/>
              <w:rPr>
                <w:sz w:val="20"/>
                <w:lang w:bidi="ar"/>
              </w:rPr>
            </w:pPr>
          </w:p>
          <w:p>
            <w:pPr>
              <w:rPr>
                <w:kern w:val="0"/>
                <w:sz w:val="20"/>
                <w:szCs w:val="20"/>
                <w:lang w:bidi="ar"/>
              </w:rPr>
            </w:pPr>
          </w:p>
        </w:tc>
      </w:tr>
    </w:tbl>
    <w:p>
      <w:pPr>
        <w:spacing w:before="156" w:beforeLines="50" w:after="156" w:afterLines="50"/>
        <w:rPr>
          <w:rFonts w:ascii="黑体" w:hAnsi="黑体" w:eastAsia="黑体" w:cs="宋体"/>
          <w:bCs/>
          <w:color w:val="000000"/>
          <w:kern w:val="0"/>
          <w:sz w:val="28"/>
          <w:szCs w:val="28"/>
          <w:lang w:bidi="ar"/>
        </w:rPr>
      </w:pPr>
      <w:r>
        <w:rPr>
          <w:rFonts w:hint="eastAsia" w:ascii="黑体" w:hAnsi="黑体" w:eastAsia="黑体" w:cs="宋体"/>
          <w:bCs/>
          <w:color w:val="000000"/>
          <w:kern w:val="0"/>
          <w:sz w:val="28"/>
          <w:szCs w:val="28"/>
          <w:lang w:bidi="ar"/>
        </w:rPr>
        <w:t>5．编写负责人所在院意见</w:t>
      </w:r>
    </w:p>
    <w:tbl>
      <w:tblPr>
        <w:tblStyle w:val="6"/>
        <w:tblW w:w="82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7" w:hRule="atLeast"/>
          <w:jc w:val="center"/>
        </w:trPr>
        <w:tc>
          <w:tcPr>
            <w:tcW w:w="8217" w:type="dxa"/>
          </w:tcPr>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rPr>
                <w:rFonts w:ascii="宋体" w:hAnsi="宋体"/>
                <w:color w:val="000000"/>
                <w:sz w:val="24"/>
              </w:rPr>
            </w:pPr>
          </w:p>
          <w:p>
            <w:pPr>
              <w:tabs>
                <w:tab w:val="left" w:pos="2591"/>
              </w:tabs>
              <w:rPr>
                <w:rFonts w:ascii="宋体" w:hAnsi="宋体" w:eastAsia="宋体"/>
                <w:color w:val="000000"/>
                <w:sz w:val="24"/>
              </w:rPr>
            </w:pPr>
            <w:r>
              <w:rPr>
                <w:rFonts w:hint="eastAsia" w:ascii="宋体" w:hAnsi="宋体"/>
                <w:color w:val="000000"/>
                <w:sz w:val="24"/>
              </w:rPr>
              <w:t xml:space="preserve">                     </w:t>
            </w:r>
            <w:r>
              <w:rPr>
                <w:rFonts w:hint="eastAsia" w:ascii="宋体" w:hAnsi="宋体" w:eastAsia="宋体"/>
                <w:color w:val="000000"/>
                <w:sz w:val="24"/>
              </w:rPr>
              <w:t xml:space="preserve">单位负责人（签字）：              单位（盖章）：                     </w:t>
            </w:r>
          </w:p>
          <w:p>
            <w:pPr>
              <w:rPr>
                <w:rFonts w:ascii="宋体" w:hAnsi="宋体" w:eastAsia="宋体"/>
                <w:color w:val="000000"/>
                <w:sz w:val="24"/>
              </w:rPr>
            </w:pPr>
          </w:p>
          <w:p>
            <w:pPr>
              <w:rPr>
                <w:rFonts w:ascii="宋体" w:hAnsi="宋体"/>
                <w:color w:val="000000"/>
                <w:sz w:val="24"/>
              </w:rPr>
            </w:pPr>
            <w:r>
              <w:rPr>
                <w:rFonts w:hint="eastAsia" w:ascii="宋体" w:hAnsi="宋体" w:eastAsia="宋体"/>
                <w:color w:val="000000"/>
                <w:sz w:val="24"/>
              </w:rPr>
              <w:t xml:space="preserve">                                                      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B57F071"/>
    <w:multiLevelType w:val="singleLevel"/>
    <w:tmpl w:val="3B57F071"/>
    <w:lvl w:ilvl="0" w:tentative="0">
      <w:start w:val="1"/>
      <w:numFmt w:val="decimal"/>
      <w:lvlText w:val="%1."/>
      <w:lvlJc w:val="left"/>
      <w:pPr>
        <w:tabs>
          <w:tab w:val="left" w:pos="312"/>
        </w:tabs>
      </w:pPr>
    </w:lvl>
  </w:abstractNum>
  <w:abstractNum w:abstractNumId="1">
    <w:nsid w:val="4D0AEB7C"/>
    <w:multiLevelType w:val="singleLevel"/>
    <w:tmpl w:val="4D0AEB7C"/>
    <w:lvl w:ilvl="0" w:tentative="0">
      <w:start w:val="1"/>
      <w:numFmt w:val="decimal"/>
      <w:lvlText w:val="%1."/>
      <w:lvlJc w:val="left"/>
      <w:pPr>
        <w:tabs>
          <w:tab w:val="left" w:pos="312"/>
        </w:tabs>
      </w:pPr>
    </w:lvl>
  </w:abstractNum>
  <w:abstractNum w:abstractNumId="2">
    <w:nsid w:val="58A5880F"/>
    <w:multiLevelType w:val="singleLevel"/>
    <w:tmpl w:val="58A5880F"/>
    <w:lvl w:ilvl="0" w:tentative="0">
      <w:start w:val="2"/>
      <w:numFmt w:val="decimal"/>
      <w:lvlText w:val="%1."/>
      <w:lvlJc w:val="left"/>
      <w:pPr>
        <w:tabs>
          <w:tab w:val="left" w:pos="312"/>
        </w:tabs>
      </w:pPr>
    </w:lvl>
  </w:abstractNum>
  <w:abstractNum w:abstractNumId="3">
    <w:nsid w:val="65AC14A3"/>
    <w:multiLevelType w:val="singleLevel"/>
    <w:tmpl w:val="65AC14A3"/>
    <w:lvl w:ilvl="0" w:tentative="0">
      <w:start w:val="1"/>
      <w:numFmt w:val="decimal"/>
      <w:lvlText w:val="%1."/>
      <w:lvlJc w:val="left"/>
      <w:pPr>
        <w:tabs>
          <w:tab w:val="left" w:pos="312"/>
        </w:tabs>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yNDM2MDNiM2VmMmI1NmMzNGVjM2Y3NDMxMGI1MjQifQ=="/>
  </w:docVars>
  <w:rsids>
    <w:rsidRoot w:val="00750B6B"/>
    <w:rsid w:val="000D311C"/>
    <w:rsid w:val="002179A0"/>
    <w:rsid w:val="0038748C"/>
    <w:rsid w:val="006240BC"/>
    <w:rsid w:val="00750B6B"/>
    <w:rsid w:val="008E68AA"/>
    <w:rsid w:val="009D4F87"/>
    <w:rsid w:val="00B56FE4"/>
    <w:rsid w:val="00CB789A"/>
    <w:rsid w:val="00DF7241"/>
    <w:rsid w:val="00ED23A0"/>
    <w:rsid w:val="011F5E14"/>
    <w:rsid w:val="0163481A"/>
    <w:rsid w:val="01CC6655"/>
    <w:rsid w:val="03351670"/>
    <w:rsid w:val="04F45E70"/>
    <w:rsid w:val="05C9573B"/>
    <w:rsid w:val="076476FD"/>
    <w:rsid w:val="09FA1DA3"/>
    <w:rsid w:val="0BFA07CE"/>
    <w:rsid w:val="0D13099C"/>
    <w:rsid w:val="0E3B01E5"/>
    <w:rsid w:val="11782B97"/>
    <w:rsid w:val="14D507B4"/>
    <w:rsid w:val="154C3813"/>
    <w:rsid w:val="159D243B"/>
    <w:rsid w:val="15AC6886"/>
    <w:rsid w:val="1824184E"/>
    <w:rsid w:val="183F7A21"/>
    <w:rsid w:val="1A362343"/>
    <w:rsid w:val="1B23471C"/>
    <w:rsid w:val="1D384995"/>
    <w:rsid w:val="1F8B663F"/>
    <w:rsid w:val="20570924"/>
    <w:rsid w:val="22E26EBD"/>
    <w:rsid w:val="29C07349"/>
    <w:rsid w:val="2B7408CF"/>
    <w:rsid w:val="2C7E44E0"/>
    <w:rsid w:val="2D1967DA"/>
    <w:rsid w:val="2DBC1B46"/>
    <w:rsid w:val="30B40706"/>
    <w:rsid w:val="33857B1D"/>
    <w:rsid w:val="338D3BB2"/>
    <w:rsid w:val="358B7B39"/>
    <w:rsid w:val="3C4619D9"/>
    <w:rsid w:val="3E212CEC"/>
    <w:rsid w:val="3E377C66"/>
    <w:rsid w:val="41CD1C22"/>
    <w:rsid w:val="44481671"/>
    <w:rsid w:val="46BF716D"/>
    <w:rsid w:val="47D7281D"/>
    <w:rsid w:val="4AD52412"/>
    <w:rsid w:val="4B961388"/>
    <w:rsid w:val="4F912F20"/>
    <w:rsid w:val="508C5AEF"/>
    <w:rsid w:val="53C259F6"/>
    <w:rsid w:val="54412F4E"/>
    <w:rsid w:val="56ED1A6D"/>
    <w:rsid w:val="5C78464C"/>
    <w:rsid w:val="5DF93F13"/>
    <w:rsid w:val="5EB81727"/>
    <w:rsid w:val="648C3E33"/>
    <w:rsid w:val="652078DB"/>
    <w:rsid w:val="696E3E33"/>
    <w:rsid w:val="69DA5576"/>
    <w:rsid w:val="6A24142F"/>
    <w:rsid w:val="743C1E8E"/>
    <w:rsid w:val="75CB3B6F"/>
    <w:rsid w:val="78F723CD"/>
    <w:rsid w:val="79713B8A"/>
    <w:rsid w:val="7A4A42A1"/>
    <w:rsid w:val="7CFA4CC1"/>
    <w:rsid w:val="7EAD4DFF"/>
    <w:rsid w:val="7FEF5F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rPr>
      <w:rFonts w:ascii="Times New Roman" w:hAnsi="Times New Roman"/>
      <w:color w:val="000000"/>
      <w:kern w:val="0"/>
      <w:szCs w:val="21"/>
    </w:rPr>
  </w:style>
  <w:style w:type="paragraph" w:styleId="3">
    <w:name w:val="Body Text Indent 2"/>
    <w:autoRedefine/>
    <w:qFormat/>
    <w:uiPriority w:val="0"/>
    <w:pPr>
      <w:widowControl w:val="0"/>
      <w:spacing w:line="300" w:lineRule="auto"/>
      <w:ind w:firstLine="437"/>
      <w:jc w:val="both"/>
    </w:pPr>
    <w:rPr>
      <w:rFonts w:ascii="宋体" w:hAnsi="宋体" w:eastAsia="宋体" w:cs="Times New Roman"/>
      <w:kern w:val="2"/>
      <w:sz w:val="21"/>
      <w:szCs w:val="24"/>
      <w:lang w:val="en-US" w:eastAsia="zh-CN" w:bidi="ar-SA"/>
    </w:rPr>
  </w:style>
  <w:style w:type="paragraph" w:styleId="4">
    <w:name w:val="footer"/>
    <w:basedOn w:val="1"/>
    <w:link w:val="11"/>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3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autoRedefine/>
    <w:qFormat/>
    <w:uiPriority w:val="34"/>
    <w:pPr>
      <w:ind w:firstLine="420" w:firstLineChars="200"/>
    </w:pPr>
  </w:style>
  <w:style w:type="character" w:customStyle="1" w:styleId="10">
    <w:name w:val="页眉 Char"/>
    <w:basedOn w:val="8"/>
    <w:link w:val="5"/>
    <w:autoRedefine/>
    <w:qFormat/>
    <w:uiPriority w:val="99"/>
    <w:rPr>
      <w:sz w:val="18"/>
      <w:szCs w:val="18"/>
    </w:rPr>
  </w:style>
  <w:style w:type="character" w:customStyle="1" w:styleId="11">
    <w:name w:val="页脚 Char"/>
    <w:basedOn w:val="8"/>
    <w:link w:val="4"/>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74</Words>
  <Characters>637</Characters>
  <Lines>27</Lines>
  <Paragraphs>29</Paragraphs>
  <TotalTime>5</TotalTime>
  <ScaleCrop>false</ScaleCrop>
  <LinksUpToDate>false</LinksUpToDate>
  <CharactersWithSpaces>682</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2022-10-20T09:32:00Z</dcterms:created>
  <dc:creator>Zhou</dc:creator>
  <cp:lastModifiedBy>16420</cp:lastModifiedBy>
  <dcterms:modified xsi:type="dcterms:W3CDTF">2024-02-28T03:51:51Z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0056B006D33C49B7900BF49B07DC31F0_13</vt:lpwstr>
  </property>
</Properties>
</file>