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宋体" w:hAnsi="宋体" w:eastAsia="宋体" w:cs="宋体"/>
          <w:b/>
          <w:bCs/>
          <w:sz w:val="36"/>
          <w:szCs w:val="36"/>
          <w:lang w:val="en-US" w:eastAsia="zh-CN"/>
        </w:rPr>
      </w:pPr>
      <w:bookmarkStart w:id="0" w:name="_Toc15638"/>
      <w:r>
        <w:rPr>
          <w:rFonts w:hint="eastAsia" w:ascii="宋体" w:hAnsi="宋体" w:eastAsia="宋体" w:cs="宋体"/>
          <w:b/>
          <w:bCs/>
          <w:sz w:val="36"/>
          <w:szCs w:val="36"/>
          <w:lang w:val="en-US" w:eastAsia="zh-CN"/>
        </w:rPr>
        <w:t>《复星医药：ESG助力企业价值创造</w:t>
      </w:r>
      <w:bookmarkEnd w:id="0"/>
      <w:r>
        <w:rPr>
          <w:rFonts w:hint="eastAsia" w:ascii="宋体" w:hAnsi="宋体" w:eastAsia="宋体" w:cs="宋体"/>
          <w:b/>
          <w:bCs/>
          <w:sz w:val="36"/>
          <w:szCs w:val="36"/>
          <w:lang w:val="en-US" w:eastAsia="zh-CN"/>
        </w:rPr>
        <w:t>》</w:t>
      </w:r>
      <w:bookmarkStart w:id="1" w:name="_Toc659"/>
    </w:p>
    <w:p>
      <w:pPr>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案例正文</w:t>
      </w:r>
      <w:bookmarkEnd w:id="1"/>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lang w:val="en-US" w:eastAsia="zh-CN"/>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ESG</w:t>
      </w: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概述</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ESG（环境、社会和治理）理念是一种关注企业非财务绩效的评估体系，旨在评估企业在可持续发展、社会责任和公司治理方面的表现。随着全球对可持续发展和环境保护的关注度不断提高，ESG理念的研究背景和意义也变得越来越重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ESG指的是英文单词Enviornment（环境）、Social（社会）和Governance（治理）三个单词的组合。ESG治理即从环境、社会和公司治理三个维度评估企业经营的可持续性与对社会的价值，并越来越多广泛用于评估公司对环境、社会及其公司治理实践的影响的标准。</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Environment 环境治理维度</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环境标准评估公司的运营和产品如何影响自然环境。这些包括碳排放、资源枯竭、废物管理和污染控制等因素。根据环境标准，公司可能会考虑能源效率、用水量和可再生能源的使用等因素。他们还可以考虑对生物多样性、森林砍伐和土地利用的影响。公司应披露其环境绩效，设定改善其影响的目标，并采用可持续的做法。</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Social 社会治理维度</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社会标准是检查公司对社会的影响，包括其员工、客户和社区。这包括员工关系、客户满意度、产品安全、社区参与和人权实践等因素。根据社会标准，公司可以考虑多元化和包容性、员工发展和培训以及劳工标准等因素。他们还可以考虑他们对当地社区的影响，包括社会和经济发展、慈善捐赠和慈善活动。公司应优先考虑社会责任和可持续发展，并与利益相关者接触以解决任何问题。</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Governance 公司治理维度</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公司治理标准评估一家公司的治理方式以及它如何管理与利益相关者（包括股东、员工和客户）的关系。这些因素包括董事会的组成、高管薪酬、内部控制、风险管理和道德标准。在治理标准下，公司可以考虑股东权利、高管薪酬和董事会独立性等因素。他们还可能会考虑公司的行为准则、举报人保护和风险管理实践。公司应该拥有透明的治理实践、强有力的领导和高道德标准。</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复</w:t>
      </w: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星</w:t>
      </w:r>
      <w:r>
        <w:rPr>
          <w:rFonts w:hint="eastAsia" w:ascii="微软雅黑" w:hAnsi="微软雅黑" w:eastAsia="微软雅黑" w:cs="微软雅黑"/>
          <w:b/>
          <w:bCs/>
          <w:color w:val="000000" w:themeColor="text1"/>
          <w:sz w:val="28"/>
          <w:szCs w:val="28"/>
          <w14:textFill>
            <w14:solidFill>
              <w14:schemeClr w14:val="tx1"/>
            </w14:solidFill>
          </w14:textFill>
        </w:rPr>
        <w:t>医药公司概况</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drawing>
          <wp:anchor distT="0" distB="0" distL="114300" distR="114300" simplePos="0" relativeHeight="251660288" behindDoc="0" locked="0" layoutInCell="1" allowOverlap="1">
            <wp:simplePos x="0" y="0"/>
            <wp:positionH relativeFrom="column">
              <wp:posOffset>2685415</wp:posOffset>
            </wp:positionH>
            <wp:positionV relativeFrom="paragraph">
              <wp:posOffset>1673860</wp:posOffset>
            </wp:positionV>
            <wp:extent cx="2628900" cy="928370"/>
            <wp:effectExtent l="0" t="0" r="0" b="5080"/>
            <wp:wrapSquare wrapText="bothSides"/>
            <wp:docPr id="1" name="图片 1" descr="2023-09-04 20:22:44.04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3-09-04 20:22:44.047000"/>
                    <pic:cNvPicPr>
                      <a:picLocks noChangeAspect="1"/>
                    </pic:cNvPicPr>
                  </pic:nvPicPr>
                  <pic:blipFill>
                    <a:blip r:embed="rId7"/>
                    <a:srcRect l="2673" t="32459" r="2937" b="25319"/>
                    <a:stretch>
                      <a:fillRect/>
                    </a:stretch>
                  </pic:blipFill>
                  <pic:spPr>
                    <a:xfrm>
                      <a:off x="0" y="0"/>
                      <a:ext cx="2628900" cy="928370"/>
                    </a:xfrm>
                    <a:prstGeom prst="rect">
                      <a:avLst/>
                    </a:prstGeom>
                  </pic:spPr>
                </pic:pic>
              </a:graphicData>
            </a:graphic>
          </wp:anchor>
        </w:drawing>
      </w:r>
      <w:r>
        <w:rPr>
          <w:rFonts w:hint="eastAsia" w:ascii="宋体" w:hAnsi="宋体" w:eastAsia="宋体" w:cs="宋体"/>
          <w:bCs/>
          <w:color w:val="000000" w:themeColor="text1"/>
          <w:sz w:val="21"/>
          <w:szCs w:val="21"/>
          <w14:textFill>
            <w14:solidFill>
              <w14:schemeClr w14:val="tx1"/>
            </w14:solidFill>
          </w14:textFill>
        </w:rPr>
        <w:t xml:space="preserve">复星医药以“促进人类健康”为使命，以患者为中心、临床需求为导向，直接运营的业务包括制药、医疗器械与医学诊断、医疗健康服务，并通过参股药控股覆盖到医药商业领域。复星医药成立于 1994 年，是一家根植于中国，以创新为驱动发展的全球化医药健康的民营上市企业。复兴医药1998年在上海证券交易所上市，进入21世纪以来实现快速发展，于2012年在港交所上市。时至今日，复星医药已成为中国知名医疗健康产业的服务商。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自2008年起，复星医药连续发布社会责任报告，自2019年起连续两年在公司年报中披露ESG报告。自参与ESG评级以来，复星医药ESG评级表现一直稳步前进，2020年被MSCI评为BB级，2021年提升至BBB级，2022年MSCI再次上调复星医药ESG评级至A级，处于国内行业领先水平。此外，复星医药获WIND ESG评级为A级，在整个行业中处于领先地位。2021年荣获中国优秀企业ESG 50强，《2021年度企业社会责任报告》获评五星级卓越。</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复星医药通过自主研发、合作开发、许可引进、深度孵化的方式，持续丰富创新产品管线，提升FIC（First-in-class，即同类首创）与BIC（Best-in-class，即同类最佳）新药的研究与临床开发能力，加快创新技术和产品的研发和转化落地。在“4IN”（创新 Innovation、国际化 Internationalization、智能化 Intelligentization、整合 Integration）的战略指导下，复星医药秉承“创新转型、整合运营、稳健增长”的发展模式以及为股东创造价值的信念，不断加强自主研发与外部合作，丰富产品管线，强化全球化布局，提升运营效率，同时，积极推进医疗健康产业线上线下布局，致力于成为全球医疗健康市场的一流企业。</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FF9800"/>
          <w:kern w:val="0"/>
          <w:sz w:val="21"/>
          <w:szCs w:val="21"/>
        </w:rPr>
      </w:pP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案例背景</w:t>
      </w:r>
    </w:p>
    <w:p>
      <w:pPr>
        <w:keepNext w:val="0"/>
        <w:keepLines w:val="0"/>
        <w:pageBreakBefore w:val="0"/>
        <w:kinsoku/>
        <w:wordWrap/>
        <w:overflowPunct/>
        <w:topLinePunct w:val="0"/>
        <w:bidi w:val="0"/>
        <w:adjustRightInd/>
        <w:snapToGrid/>
        <w:spacing w:after="0" w:line="360" w:lineRule="atLeast"/>
        <w:textAlignment w:val="auto"/>
        <w:rPr>
          <w:rFonts w:hint="eastAsia" w:ascii="宋体" w:hAnsi="宋体" w:eastAsia="宋体" w:cs="宋体"/>
          <w:color w:val="FF9800"/>
          <w:kern w:val="0"/>
          <w:sz w:val="21"/>
          <w:szCs w:val="21"/>
        </w:rPr>
      </w:pPr>
      <w:r>
        <w:rPr>
          <w:rFonts w:hint="eastAsia" w:ascii="宋体" w:hAnsi="宋体" w:eastAsia="宋体" w:cs="宋体"/>
          <w:color w:val="FF9800"/>
          <w:kern w:val="0"/>
          <w:sz w:val="21"/>
          <w:szCs w:val="21"/>
        </w:rPr>
        <w:drawing>
          <wp:inline distT="0" distB="0" distL="114300" distR="114300">
            <wp:extent cx="5464810" cy="1884045"/>
            <wp:effectExtent l="0" t="0" r="2540" b="1905"/>
            <wp:docPr id="2" name="图片 2" descr="2023-09-04 21:31:59.91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3-09-04 21:31:59.917000"/>
                    <pic:cNvPicPr>
                      <a:picLocks noChangeAspect="1"/>
                    </pic:cNvPicPr>
                  </pic:nvPicPr>
                  <pic:blipFill>
                    <a:blip r:embed="rId8"/>
                    <a:srcRect t="11858" b="35235"/>
                    <a:stretch>
                      <a:fillRect/>
                    </a:stretch>
                  </pic:blipFill>
                  <pic:spPr>
                    <a:xfrm>
                      <a:off x="0" y="0"/>
                      <a:ext cx="5464810" cy="188404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近几十年来，随着我国经济由快速增长向高质量发展方向转移，企业在以传统的“利润最大化”为目标的基础上，更进一步追求在企业整体经营管理结构、宏观政策和社会责任等因素对企业的发展与战略抉择，从而对企业市场价值造成长期影响。在新时代创建“美丽中国”的大背景下，国家推出“碳达峰”“碳中和”的重大战略决策，这有利于推动经济社会发展全面绿色转型，强调实现发展经济和保护环境辩证统一。由此，以MSCI为代表的投资机构使用的ESG发展理念进入人们的视野。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在ESG整体的表现价值效应方面，我国的研究仍处于初级阶段。随着ESG理念的推广和实践，在后续的逐步研究发展中，学者们才将ESG表现对企业价值的影响通过 企业的融资约束、经济绩效、市场竞争力以及投资者偏好等传导机制结合起来，但目前还是对我国市场环境和制度背景下的案例经验比较匮乏。因此，考察我国企业ESG表现对企业价值创造的实现情况和实现路径尤为重要。一方面可以将总结出来的“路径”反哺本企业做进一步的价值创造，还能为其他企业提供价值创造思路，促进企业高质量发展。另一方面也能为外部投资者投资优秀企业做参考，对贯彻ESG投资理念、完善相关制度建设具有重要意义。</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复星医药集团将可持续发展战略纳入公司整体发展战略，建立完善的可持续发展管理体系，成立企业社会责任管理委员会，董事会下设环境、社会及管治（ESG）委员会，推进企业可持续发展；建立完善的利益相关方沟通机制，持续提升其满意度，保持企业可持续发展竞争力，引领行业发展。</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“双碳”目标推动需要2020年9月22 日，我国在75届联合国大会上正式提出，在2030年实现碳达峰、2060年实现碳中和的目标。基于“双碳”目标中节能减排、低碳环保等具体目标的驱动下，我国众多上市公司迫于环保压力，尤其是高耗能、高污染行业，不得不披露自己在“双碳”目标下的具体措施和实现效果。由于生物医药制造企业生产过程中产生的大量 废气、废水、废渣造成环境污染，因此对生产现场环境污染进行治理十分困难。而且由于这些污染物质具有毒性、刺激性、腐蚀性、易燃、易爆、沸点小和挥发性等特性，染程度极其严重，因此发布ESG报告，使企业积极践行环保理念，在环保上做出行动。这一举措的取得有助于我国实现双碳目标并建立和完善绿色低碳循环经济体系，有助于我国的社会经济发展实现全面绿色转型。在此背景下，2020年，复星医药在企业年报中发布了ESG报告，成为中国生物医药制造行业率先发布此类报告的企业。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由于资本市场信息披露需要，自2004年联合国正式提出ESG概念之后，ESG在各界积极参与推动下，已经成为全球投资策略和公司评价的一个重要标准，近些年来ESG在国内市场开始大规模普及。相对于传统的上市公司评价标准，它注重企业的综合绩效，而非仅从财务指标来衡量。 因此，基于信息不对称理论和利益相关者理论，复星医药发布ESG报告可以让更多的人关注到企业的多面性，降低了信息不对称所带来的负面影响，也让利益相关者看到企业这么多年来在ESG上所付出的努力和成果，并有在积极行动。</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由于企业发展理念需要， 作为医药制造行业的一员，在复星医药的企业文化中，始终秉承“修身、齐家、立 业、助天下”的企业精神。在企业的经营发展过程中，致力于做一个合格的企业公民，成为让股东、社会、政府和员工满意和自豪的企业。因此，通过社会责任报告将企业多元化信息告知公众、股东和利益攸关方，企业可以进一步加强对外部参与方的关注，并保持其与利益攸关方的良性互动，促进社会和谐共生。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由于企业转型升级需要 ，综合医药行业特性来看，进入21世纪，由于人口老龄化程度逐渐加深以及全球化进程加速发展造成的地理屏障作用减弱、病毒肆虐等因素的影响下，各种病毒细菌传染病、老年疾病、慢性疾病高发，迫使医药行业不断成长。在这种背景下，各医药制造企业重视科技创新，加大研发投入。只有保证了较高比例、较长时间的研发投入，拥有充足的现金流可以为企业的研发和发展增加底气，争取尽早在市场上获取竞争优势，抢占市场份额，才有可能实现医药企业长远的发展。因此，复星医药披露公司环境、社会责任和公司治理的信息及良好表现，无疑为其拓宽融资渠道发挥了举足轻重的作用。 </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lang w:val="en-US" w:eastAsia="zh-CN"/>
          <w14:textFill>
            <w14:solidFill>
              <w14:schemeClr w14:val="tx1"/>
            </w14:solidFill>
          </w14:textFill>
        </w:rPr>
      </w:pP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ESG助力企业价值创造问题剖析</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bookmarkStart w:id="2" w:name="_Toc21395"/>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14:textFill>
            <w14:solidFill>
              <w14:schemeClr w14:val="tx1"/>
            </w14:solidFill>
          </w14:textFill>
        </w:rPr>
        <w:t>ESG表现与企业绩效的协同不够</w:t>
      </w:r>
      <w:bookmarkEnd w:id="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目前，ESG在中国的发展才刚刚开始不久，企业ESG发展尚不成熟。一方面，ESG的短期实践要求企业需要投入大量的资本，导致业绩下滑，出现经营风险。另一方面，ESG表现的提高与公司投入产生的收益不匹配，这是因为目前ESG表现对资本市场吸引力不够。而提高ESG绩效与企业绩效之间的协同作用，可以在短期内降低企业ESG实践的风险。</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bookmarkStart w:id="3" w:name="_Toc16221"/>
      <w:r>
        <w:rPr>
          <w:rFonts w:hint="eastAsia" w:ascii="宋体" w:hAnsi="宋体" w:eastAsia="宋体" w:cs="宋体"/>
          <w:bCs/>
          <w:color w:val="000000" w:themeColor="text1"/>
          <w:sz w:val="21"/>
          <w:szCs w:val="21"/>
          <w:lang w:val="en-US" w:eastAsia="zh-CN"/>
          <w14:textFill>
            <w14:solidFill>
              <w14:schemeClr w14:val="tx1"/>
            </w14:solidFill>
          </w14:textFill>
        </w:rPr>
        <w:t>2.</w:t>
      </w:r>
      <w:r>
        <w:rPr>
          <w:rFonts w:hint="eastAsia" w:ascii="宋体" w:hAnsi="宋体" w:eastAsia="宋体" w:cs="宋体"/>
          <w:bCs/>
          <w:color w:val="000000" w:themeColor="text1"/>
          <w:sz w:val="21"/>
          <w:szCs w:val="21"/>
          <w14:textFill>
            <w14:solidFill>
              <w14:schemeClr w14:val="tx1"/>
            </w14:solidFill>
          </w14:textFill>
        </w:rPr>
        <w:t>ESG信息披露制度存在漏洞</w:t>
      </w:r>
      <w:bookmarkEnd w:id="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目前，复星医药连续十四年发布CSR报告，从2020年开始在企业年报中发布ESG报告，并未单独发布ESG报告。因此，可以单独编制并发布ESG报告，这样更能体现公司对ESG管理工作的重视程度，且有助于投资者决策过程中提供有效参考。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通过对复星医药CSR报告和ESG报告中的ESG信息分析可知，复星医药在对于ESG信息披露存在缺少负面信息披露和大量缺少量化指标的问题。一方面，负面的ESG信息虽然会在短期内对企业形象造成冲击，但是负面信息的及时披露和高效改善，会使利益相关者看出企业正视自身弱点并愿意为之付出努力，反而会提高企业声誉，提升企业价值。另外刻意隐藏负面 ESG 信息会对投资者理解企业造成不利影响，会让各个利益方对企业的信任降低，阻碍企业长远发展。另一方面，缺少对 ESG 改善信息中的具体 投入和产生的经济效益，不利于对企业 ESG 财务效益和价值评估的测算，难以量化企业对ESG投入的成就和不足，以此来反哺企业做进一步改善。 </w:t>
      </w: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lang w:val="en-US" w:eastAsia="zh-CN"/>
          <w14:textFill>
            <w14:solidFill>
              <w14:schemeClr w14:val="tx1"/>
            </w14:solidFill>
          </w14:textFill>
        </w:rPr>
      </w:pPr>
      <w:r>
        <w:rPr>
          <w:rFonts w:hint="eastAsia" w:ascii="微软雅黑" w:hAnsi="微软雅黑" w:eastAsia="微软雅黑" w:cs="微软雅黑"/>
          <w:b/>
          <w:bCs/>
          <w:color w:val="000000" w:themeColor="text1"/>
          <w:sz w:val="28"/>
          <w:szCs w:val="28"/>
          <w:lang w:val="en-US" w:eastAsia="zh-CN"/>
          <w14:textFill>
            <w14:solidFill>
              <w14:schemeClr w14:val="tx1"/>
            </w14:solidFill>
          </w14:textFill>
        </w:rPr>
        <w:t>解决方案</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bookmarkStart w:id="4" w:name="_Toc22029"/>
      <w:r>
        <w:rPr>
          <w:rFonts w:hint="eastAsia" w:ascii="宋体" w:hAnsi="宋体" w:eastAsia="宋体" w:cs="宋体"/>
          <w:bCs/>
          <w:color w:val="000000" w:themeColor="text1"/>
          <w:sz w:val="21"/>
          <w:szCs w:val="21"/>
          <w:lang w:val="en-US" w:eastAsia="zh-CN"/>
          <w14:textFill>
            <w14:solidFill>
              <w14:schemeClr w14:val="tx1"/>
            </w14:solidFill>
          </w14:textFill>
        </w:rPr>
        <w:t>1.促进 ESG 表现与企业绩效的协同</w:t>
      </w:r>
      <w:bookmarkEnd w:id="4"/>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1）完善ESG与内部管理的融合。培育公司内部与ESG相契合的企业文化和价值观将ESG成果纳入业绩评价体系中，塑造持续发展企业价值观；重视ESG影响力对企业声誉的提高，能够提高企业对市场风险的防范和控制能力，降低交易成本，实现资源有效整合，为企业和利益相关方搭建更稳定的信任桥梁。综上，促进 ESG 表现与企 业绩效的协同，发挥ESG对内部控制能力的促进作用，有助于促进企业创新，有助于减少交易成本，实现资源整合，提升风险防范能力。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（2）政府出台ESG相关政策。政府可以将ESG理念与高质量发展战略结合起来, 将ESG投资的长期优点进一步凸显出来；进一步增加ESG投资工具和绿色金融产品的多元化，使外部投资者关注企业ESG表现，可以增加企业投资吸引力，降低企业融资风险；强化ESG实践政策支持体系，支持环境基础设施建设过程中的环保开支；建立ESG创新配套服务体系，为企业开展科技绿色创新提供咨询、指导和支持；为积极开展绿色 创新活动的企业提供资助，并减轻企业由于节能减排投入产生的短期财务风险,加快推动企业的绿色转型。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bookmarkStart w:id="5" w:name="_Toc24703"/>
      <w:r>
        <w:rPr>
          <w:rFonts w:hint="eastAsia" w:ascii="宋体" w:hAnsi="宋体" w:eastAsia="宋体" w:cs="宋体"/>
          <w:bCs/>
          <w:color w:val="000000" w:themeColor="text1"/>
          <w:sz w:val="21"/>
          <w:szCs w:val="21"/>
          <w:lang w:val="en-US" w:eastAsia="zh-CN"/>
          <w14:textFill>
            <w14:solidFill>
              <w14:schemeClr w14:val="tx1"/>
            </w14:solidFill>
          </w14:textFill>
        </w:rPr>
        <w:t>2.完善 ESG 信息披露制度</w:t>
      </w:r>
      <w:bookmarkEnd w:id="5"/>
      <w:r>
        <w:rPr>
          <w:rFonts w:hint="eastAsia" w:ascii="宋体" w:hAnsi="宋体" w:eastAsia="宋体" w:cs="宋体"/>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1）在企业方面，完善ESG数据可视化披露和负面信息披露。针对缺少负面信息披露问题，企业在披露ESG信息时要对生产经营中的负面信息予以重视，并且真实地披露。同时，加强法律约束力是推动环境财务信息披露的最有效手段。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（2）政府方面完善 ESG 信息强制披露制度，建立统一ESG信息披露的框架，清晰界定更为需要的数据化与货币化资讯，以满足投资者多样化资讯需求。对ESG表现良好企业给予税收优惠，改革环保相关政策，比如减免环保相关的税收或者加大与环境相关的政府补贴，鼓励企业主动进行ESG信息披露，监管部门在后续落实进行监管，确 保法律法规严格执行。</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（3）建立 ESG 全流程管理体系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lang w:val="en-US" w:eastAsia="zh-CN"/>
          <w14:textFill>
            <w14:solidFill>
              <w14:schemeClr w14:val="tx1"/>
            </w14:solidFill>
          </w14:textFill>
        </w:rPr>
        <w:t xml:space="preserve">参照企业内部控制全过程管控作用，ESG管理体系也可以以全流程方式进行。第一，将 ESG理念作为企业文化内化到每个部门、每一个人，强化全员环境管理与治理意识，解决环境、社会和治理领域的传统内部控制体系问题。第二，将 ESG 理念整融合进董事会决策中，在企业战略规划和经营活动中充分考虑ESG 方面的要求，避免侵害利益相关方利益，加强ESG事前控制能力。第三，设立 ESG 垂直治理部门，管理ESG事务， 落实ESG政策，强化企业ESG事中控制能力。第四，建立ESG内审部门，提升审计人员的审计素养，明确审计机构的内部审计制度，针对企业面对的各种非财务风险进行分类整理归纳、分析原因、归纳总结形成规律，从而为企业的风险评价与防范提供理论基础，增强企业ESG事后控制能力。 </w:t>
      </w:r>
    </w:p>
    <w:p>
      <w:pPr>
        <w:keepNext w:val="0"/>
        <w:keepLines w:val="0"/>
        <w:pageBreakBefore w:val="0"/>
        <w:kinsoku/>
        <w:wordWrap/>
        <w:overflowPunct/>
        <w:topLinePunct w:val="0"/>
        <w:bidi w:val="0"/>
        <w:adjustRightInd/>
        <w:snapToGrid/>
        <w:spacing w:after="0" w:line="360" w:lineRule="atLeast"/>
        <w:textAlignment w:val="auto"/>
        <w:rPr>
          <w:rFonts w:hint="eastAsia" w:ascii="宋体" w:hAnsi="宋体" w:eastAsia="宋体" w:cs="宋体"/>
          <w:color w:val="7030A0"/>
          <w:kern w:val="0"/>
          <w:sz w:val="21"/>
          <w:szCs w:val="21"/>
        </w:rPr>
      </w:pPr>
      <w:r>
        <w:rPr>
          <w:rFonts w:hint="eastAsia" w:ascii="宋体" w:hAnsi="宋体" w:eastAsia="宋体" w:cs="宋体"/>
          <w:color w:val="7030A0"/>
          <w:kern w:val="0"/>
          <w:sz w:val="21"/>
          <w:szCs w:val="21"/>
        </w:rPr>
        <w:drawing>
          <wp:inline distT="0" distB="0" distL="114300" distR="114300">
            <wp:extent cx="5135880" cy="2576830"/>
            <wp:effectExtent l="0" t="0" r="7620" b="4445"/>
            <wp:docPr id="4" name="图片 4" descr="2023-09-04 21:32:49.498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3-09-04 21:32:49.498000"/>
                    <pic:cNvPicPr>
                      <a:picLocks noChangeAspect="1"/>
                    </pic:cNvPicPr>
                  </pic:nvPicPr>
                  <pic:blipFill>
                    <a:blip r:embed="rId9"/>
                    <a:stretch>
                      <a:fillRect/>
                    </a:stretch>
                  </pic:blipFill>
                  <pic:spPr>
                    <a:xfrm>
                      <a:off x="0" y="0"/>
                      <a:ext cx="5135880" cy="2576830"/>
                    </a:xfrm>
                    <a:prstGeom prst="rect">
                      <a:avLst/>
                    </a:prstGeom>
                  </pic:spPr>
                </pic:pic>
              </a:graphicData>
            </a:graphic>
          </wp:inline>
        </w:drawing>
      </w: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kern w:val="2"/>
          <w:sz w:val="21"/>
          <w:szCs w:val="21"/>
          <w:lang w:val="en-US" w:eastAsia="zh-CN" w:bidi="ar-SA"/>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autoSpaceDN/>
        <w:bidi w:val="0"/>
        <w:adjustRightInd/>
        <w:snapToGrid/>
        <w:spacing w:after="0" w:line="480" w:lineRule="exact"/>
        <w:jc w:val="center"/>
        <w:textAlignment w:val="auto"/>
        <w:rPr>
          <w:rFonts w:hint="eastAsia" w:ascii="微软雅黑" w:hAnsi="微软雅黑" w:eastAsia="微软雅黑" w:cs="微软雅黑"/>
          <w:b/>
          <w:bCs/>
          <w:color w:val="000000" w:themeColor="text1"/>
          <w:sz w:val="28"/>
          <w:szCs w:val="28"/>
          <w:lang w:val="en-US" w:eastAsia="zh-CN"/>
          <w14:textFill>
            <w14:solidFill>
              <w14:schemeClr w14:val="tx1"/>
            </w14:solidFill>
          </w14:textFill>
        </w:rPr>
      </w:pPr>
    </w:p>
    <w:p/>
    <w:p>
      <w:pPr>
        <w:pStyle w:val="2"/>
        <w:bidi w:val="0"/>
        <w:jc w:val="center"/>
        <w:rPr>
          <w:rFonts w:hint="eastAsia"/>
          <w:b/>
          <w:bCs/>
          <w:color w:val="auto"/>
          <w:lang w:val="en-US" w:eastAsia="zh-CN"/>
        </w:rPr>
      </w:pPr>
      <w:bookmarkStart w:id="6" w:name="_Toc32660"/>
    </w:p>
    <w:p>
      <w:pPr>
        <w:pStyle w:val="2"/>
        <w:bidi w:val="0"/>
        <w:jc w:val="center"/>
        <w:rPr>
          <w:rFonts w:hint="eastAsia"/>
          <w:b/>
          <w:bCs/>
          <w:color w:val="auto"/>
          <w:lang w:val="en-US" w:eastAsia="zh-CN"/>
        </w:rPr>
      </w:pPr>
    </w:p>
    <w:p>
      <w:pPr>
        <w:rPr>
          <w:rFonts w:hint="eastAsia"/>
          <w:b/>
          <w:bCs/>
          <w:color w:val="auto"/>
          <w:lang w:val="en-US" w:eastAsia="zh-CN"/>
        </w:rPr>
      </w:pPr>
    </w:p>
    <w:p>
      <w:pPr>
        <w:rPr>
          <w:rFonts w:hint="eastAsia"/>
          <w:b/>
          <w:bCs/>
          <w:color w:val="auto"/>
          <w:lang w:val="en-US" w:eastAsia="zh-CN"/>
        </w:rPr>
      </w:pPr>
    </w:p>
    <w:p>
      <w:pPr>
        <w:rPr>
          <w:rFonts w:hint="eastAsia"/>
          <w:b/>
          <w:bCs/>
          <w:color w:val="auto"/>
          <w:lang w:val="en-US" w:eastAsia="zh-CN"/>
        </w:rPr>
      </w:pPr>
    </w:p>
    <w:p>
      <w:pPr>
        <w:bidi w:val="0"/>
        <w:jc w:val="center"/>
        <w:rPr>
          <w:rFonts w:hint="eastAsia" w:ascii="宋体" w:hAnsi="宋体" w:eastAsia="宋体" w:cs="宋体"/>
          <w:b/>
          <w:bCs/>
          <w:sz w:val="36"/>
          <w:szCs w:val="36"/>
          <w:lang w:val="en-US" w:eastAsia="zh-CN"/>
        </w:rPr>
      </w:pPr>
      <w:bookmarkStart w:id="14" w:name="_GoBack"/>
      <w:r>
        <w:rPr>
          <w:rFonts w:hint="eastAsia" w:ascii="宋体" w:hAnsi="宋体" w:eastAsia="宋体" w:cs="宋体"/>
          <w:b/>
          <w:bCs/>
          <w:sz w:val="36"/>
          <w:szCs w:val="36"/>
          <w:lang w:val="en-US" w:eastAsia="zh-CN"/>
        </w:rPr>
        <w:t>《复星医药：ESG助力企业价值创造</w:t>
      </w:r>
      <w:bookmarkEnd w:id="6"/>
      <w:r>
        <w:rPr>
          <w:rFonts w:hint="eastAsia" w:ascii="宋体" w:hAnsi="宋体" w:eastAsia="宋体" w:cs="宋体"/>
          <w:b/>
          <w:bCs/>
          <w:sz w:val="36"/>
          <w:szCs w:val="36"/>
          <w:lang w:val="en-US" w:eastAsia="zh-CN"/>
        </w:rPr>
        <w:t>》</w:t>
      </w:r>
    </w:p>
    <w:p>
      <w:pPr>
        <w:bidi w:val="0"/>
        <w:jc w:val="center"/>
        <w:rPr>
          <w:rFonts w:hint="eastAsia" w:ascii="宋体" w:hAnsi="宋体" w:eastAsia="宋体" w:cs="宋体"/>
          <w:b/>
          <w:bCs/>
          <w:sz w:val="36"/>
          <w:szCs w:val="36"/>
          <w:lang w:val="en-US" w:eastAsia="zh-CN"/>
        </w:rPr>
      </w:pPr>
      <w:bookmarkStart w:id="7" w:name="_Toc10566"/>
      <w:r>
        <w:rPr>
          <w:rFonts w:hint="eastAsia" w:ascii="宋体" w:hAnsi="宋体" w:eastAsia="宋体" w:cs="宋体"/>
          <w:b/>
          <w:bCs/>
          <w:sz w:val="36"/>
          <w:szCs w:val="36"/>
          <w:lang w:val="en-US" w:eastAsia="zh-CN"/>
        </w:rPr>
        <w:t>教学说明</w:t>
      </w:r>
      <w:bookmarkEnd w:id="7"/>
    </w:p>
    <w:bookmarkEnd w:id="14"/>
    <w:p>
      <w:pPr>
        <w:pStyle w:val="5"/>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案例概要</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drawing>
          <wp:anchor distT="0" distB="0" distL="114300" distR="114300" simplePos="0" relativeHeight="251661312" behindDoc="0" locked="0" layoutInCell="1" allowOverlap="1">
            <wp:simplePos x="0" y="0"/>
            <wp:positionH relativeFrom="margin">
              <wp:align>right</wp:align>
            </wp:positionH>
            <wp:positionV relativeFrom="margin">
              <wp:posOffset>3166110</wp:posOffset>
            </wp:positionV>
            <wp:extent cx="3406775" cy="2360930"/>
            <wp:effectExtent l="0" t="0" r="3175" b="127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06775" cy="2360930"/>
                    </a:xfrm>
                    <a:prstGeom prst="rect">
                      <a:avLst/>
                    </a:prstGeom>
                  </pic:spPr>
                </pic:pic>
              </a:graphicData>
            </a:graphic>
          </wp:anchor>
        </w:drawing>
      </w:r>
      <w:r>
        <w:rPr>
          <w:rFonts w:hint="eastAsia" w:ascii="宋体" w:hAnsi="宋体" w:eastAsia="宋体" w:cs="宋体"/>
          <w:i w:val="0"/>
          <w:iCs w:val="0"/>
          <w:caps w:val="0"/>
          <w:color w:val="000000"/>
          <w:spacing w:val="0"/>
          <w:sz w:val="21"/>
          <w:szCs w:val="21"/>
          <w:shd w:val="clear" w:fill="FFFFFF"/>
        </w:rPr>
        <w:t>复</w:t>
      </w:r>
      <w:r>
        <w:rPr>
          <w:rFonts w:hint="eastAsia" w:ascii="宋体" w:hAnsi="宋体" w:eastAsia="宋体" w:cs="宋体"/>
          <w:i w:val="0"/>
          <w:iCs w:val="0"/>
          <w:caps w:val="0"/>
          <w:color w:val="000000"/>
          <w:spacing w:val="0"/>
          <w:sz w:val="21"/>
          <w:szCs w:val="21"/>
          <w:shd w:val="clear" w:fill="FFFFFF"/>
          <w:lang w:val="en-US" w:eastAsia="zh-CN"/>
        </w:rPr>
        <w:t>星</w:t>
      </w:r>
      <w:r>
        <w:rPr>
          <w:rFonts w:hint="eastAsia" w:ascii="宋体" w:hAnsi="宋体" w:eastAsia="宋体" w:cs="宋体"/>
          <w:i w:val="0"/>
          <w:iCs w:val="0"/>
          <w:caps w:val="0"/>
          <w:color w:val="000000"/>
          <w:spacing w:val="0"/>
          <w:sz w:val="21"/>
          <w:szCs w:val="21"/>
          <w:shd w:val="clear" w:fill="FFFFFF"/>
        </w:rPr>
        <w:t>医药成立于 1994 年，是一家根植于中国，以创新为驱动发展的全球化医药健康的民营上市企业。</w:t>
      </w:r>
      <w:r>
        <w:rPr>
          <w:rFonts w:hint="eastAsia" w:ascii="宋体" w:hAnsi="宋体" w:eastAsia="宋体" w:cs="宋体"/>
          <w:i w:val="0"/>
          <w:iCs w:val="0"/>
          <w:caps w:val="0"/>
          <w:color w:val="000000"/>
          <w:spacing w:val="0"/>
          <w:sz w:val="21"/>
          <w:szCs w:val="21"/>
          <w:shd w:val="clear" w:fill="FFFFFF"/>
          <w:lang w:eastAsia="zh-CN"/>
        </w:rPr>
        <w:t>复星</w:t>
      </w:r>
      <w:r>
        <w:rPr>
          <w:rFonts w:hint="eastAsia" w:ascii="宋体" w:hAnsi="宋体" w:eastAsia="宋体" w:cs="宋体"/>
          <w:i w:val="0"/>
          <w:iCs w:val="0"/>
          <w:caps w:val="0"/>
          <w:color w:val="000000"/>
          <w:spacing w:val="0"/>
          <w:sz w:val="21"/>
          <w:szCs w:val="21"/>
          <w:shd w:val="clear" w:fill="FFFFFF"/>
        </w:rPr>
        <w:t>医药1998年在上海证券交易所上市，进入21世纪以来实现快速发展，于2012年在港交所上市。时至今日，复星医药已成为中国知名医疗健康产业的服务商。</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公司以创新和国际化为导向，通过自主研发、合作开发、许可引进、深度孵化等多元化、 多层次的合作模式，持续丰富创新产品管线，提升 FIC（First-in-class，即同类首创）与 BIC（Bestin-class，即同类最佳）新药的研究与临床开发能力，加快创新技术和产品的研发和转化落地。</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 xml:space="preserve">在 MSCI 制定的行业划分标准中，复星医药被纳入生物医药制造行业并对我国医药 制造行业部分企业进行了 ESG 评级，目前共查询到国内 26 家由 MSCI 赋予 ESG 评级 的生物医药制造公司，其 ESG 评级相较于其他行业处于中等偏上的位置。 </w:t>
      </w:r>
    </w:p>
    <w:p>
      <w:pPr>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在课程中的定位</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本案例可以用于《管理会计》、《财务管理》、《财务分析》课程，针对ESG、企业价值、价值创造等话题</w:t>
      </w:r>
      <w:r>
        <w:rPr>
          <w:rFonts w:hint="eastAsia" w:ascii="宋体" w:hAnsi="宋体" w:eastAsia="宋体" w:cs="宋体"/>
          <w:sz w:val="21"/>
          <w:szCs w:val="21"/>
        </w:rPr>
        <w:t>进行讨论，适用于会计学、财务管理、审计</w:t>
      </w:r>
      <w:r>
        <w:rPr>
          <w:rFonts w:hint="eastAsia" w:ascii="宋体" w:hAnsi="宋体" w:eastAsia="宋体" w:cs="宋体"/>
          <w:sz w:val="21"/>
          <w:szCs w:val="21"/>
          <w:lang w:val="en-US" w:eastAsia="zh-CN"/>
        </w:rPr>
        <w:t>学</w:t>
      </w:r>
      <w:r>
        <w:rPr>
          <w:rFonts w:hint="eastAsia" w:ascii="宋体" w:hAnsi="宋体" w:eastAsia="宋体" w:cs="宋体"/>
          <w:sz w:val="21"/>
          <w:szCs w:val="21"/>
        </w:rPr>
        <w:t>等专业本科生</w:t>
      </w:r>
      <w:r>
        <w:rPr>
          <w:rFonts w:hint="eastAsia" w:ascii="宋体" w:hAnsi="宋体" w:eastAsia="宋体" w:cs="宋体"/>
          <w:sz w:val="21"/>
          <w:szCs w:val="21"/>
          <w:lang w:val="en-US" w:eastAsia="zh-CN"/>
        </w:rPr>
        <w:t>以及企业管理人员</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学习目标</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8" w:name="_Toc4304"/>
      <w:r>
        <w:rPr>
          <w:rFonts w:hint="eastAsia" w:ascii="宋体" w:hAnsi="宋体" w:eastAsia="宋体" w:cs="宋体"/>
          <w:sz w:val="21"/>
          <w:szCs w:val="21"/>
          <w:lang w:val="en-US" w:eastAsia="zh-CN"/>
        </w:rPr>
        <w:t>1.学习企业开展ESG实践的动因及实现路径；</w:t>
      </w:r>
      <w:bookmarkEnd w:id="8"/>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2.引入生物医药制造行业中的复星医药集团作为案例研究对象，探究其ESG表现下企业的价值创造路径及价值创造实现情况；</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9" w:name="_Toc32767"/>
      <w:r>
        <w:rPr>
          <w:rFonts w:hint="eastAsia" w:ascii="宋体" w:hAnsi="宋体" w:eastAsia="宋体" w:cs="宋体"/>
          <w:sz w:val="21"/>
          <w:szCs w:val="21"/>
          <w:lang w:val="en-US" w:eastAsia="zh-CN"/>
        </w:rPr>
        <w:t>3.思考企业如何通过ESG实践重塑企业价值？</w:t>
      </w:r>
      <w:bookmarkEnd w:id="9"/>
    </w:p>
    <w:p>
      <w:pPr>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相关阅读资料</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1.盛世投资姜燕：长期资本尤其关注ESG理念  两大底层逻辑为防控风险和价值创造[N]. 21世纪经济报道,2022-10-03(010). </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2.郝颖.ESG理念下的企业价值创造与重塑[J].财会月刊,2023,44(01):20-25.</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3.黄世忠.“资不抵债”迷雾下的共享价值创造——星巴克财务报告和ESG报告分析[J].财会月刊,2021(23):3-12.</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4.黄世忠.ESG视角下价值创造的三大变革[J].财务研究,2021(06):3-14.</w:t>
      </w:r>
    </w:p>
    <w:p>
      <w:pPr>
        <w:keepNext w:val="0"/>
        <w:keepLines w:val="0"/>
        <w:pageBreakBefore w:val="0"/>
        <w:numPr>
          <w:ilvl w:val="0"/>
          <w:numId w:val="0"/>
        </w:numPr>
        <w:kinsoku/>
        <w:wordWrap/>
        <w:overflowPunct/>
        <w:topLinePunct w:val="0"/>
        <w:autoSpaceDE/>
        <w:autoSpaceDN/>
        <w:bidi w:val="0"/>
        <w:adjustRightInd/>
        <w:snapToGrid/>
        <w:spacing w:after="0"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讨论问题</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1.复星医药创建ESG的内部动因是什么？</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2.复星医药用ESG实践和投资，还有哪些痛点和难点？</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3.复星医药在ESG投资环境下需要如何完善？</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 xml:space="preserve">4.ESG的实践模式有哪些？ </w:t>
      </w:r>
    </w:p>
    <w:p>
      <w:pPr>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教学计划</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sz w:val="21"/>
          <w:szCs w:val="21"/>
        </w:rPr>
        <w:t>本案例的学习时间预计在90 分钟，教师可以根据</w:t>
      </w:r>
      <w:r>
        <w:rPr>
          <w:rFonts w:hint="eastAsia" w:ascii="宋体" w:hAnsi="宋体" w:eastAsia="宋体" w:cs="宋体"/>
          <w:sz w:val="21"/>
          <w:szCs w:val="21"/>
          <w:lang w:val="en-US" w:eastAsia="zh-CN"/>
        </w:rPr>
        <w:t>课堂实际</w:t>
      </w:r>
      <w:r>
        <w:rPr>
          <w:rFonts w:hint="eastAsia" w:ascii="宋体" w:hAnsi="宋体" w:eastAsia="宋体" w:cs="宋体"/>
          <w:sz w:val="21"/>
          <w:szCs w:val="21"/>
        </w:rPr>
        <w:t>情况</w:t>
      </w:r>
      <w:r>
        <w:rPr>
          <w:rFonts w:hint="eastAsia" w:ascii="宋体" w:hAnsi="宋体" w:eastAsia="宋体" w:cs="宋体"/>
          <w:sz w:val="21"/>
          <w:szCs w:val="21"/>
          <w:lang w:val="en-US" w:eastAsia="zh-CN"/>
        </w:rPr>
        <w:t>灵活调整</w:t>
      </w:r>
      <w:r>
        <w:rPr>
          <w:rFonts w:hint="eastAsia" w:ascii="宋体" w:hAnsi="宋体" w:eastAsia="宋体" w:cs="宋体"/>
          <w:sz w:val="21"/>
          <w:szCs w:val="21"/>
        </w:rPr>
        <w:t>时间。</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讨论问题分析</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10" w:name="_Toc1532"/>
      <w:r>
        <w:rPr>
          <w:rFonts w:hint="eastAsia" w:ascii="宋体" w:hAnsi="宋体" w:eastAsia="宋体" w:cs="宋体"/>
          <w:sz w:val="21"/>
          <w:szCs w:val="21"/>
          <w:lang w:val="en-US" w:eastAsia="zh-CN"/>
        </w:rPr>
        <w:t>1.复星医药创建ESG的内部动因是什么？</w:t>
      </w:r>
      <w:bookmarkEnd w:id="10"/>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（1）企业发展理念需要 </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作为医药制造行业的一员，在复星医药的企业文化中，始终秉承“修身、齐家、立 业、助天下”的企业精神。在企业的经营发展过程中，致力于做一个合格的企业公民，成为让股东、社会、政府和员工满意和自豪的企业。因此，通过社会责任报告将企业多元化信息告知公众、股东和利益攸关方，企业可以进一步加强对外部参与方的关注，并保持其与利益攸关方的良性互动，促进社会和谐共生。 </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（2）企业转型升级需要 </w:t>
      </w:r>
    </w:p>
    <w:p>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医药行业特性来看，进入21世纪，由于人口老龄化程度逐渐加深以及全球化进程加速发展造成的地理屏障作用减弱、病毒肆虐等因素的影响下，各种病毒细菌传染病、老年疾病、慢性疾病高发，迫使医药行业不断成长。在这种背景下，各医药制造企 业重视科技创新，加大研发投入。只有保证了较高比例、较长时间的研发投入，拥有充足的现金流可以为企业的研发和发展增加底气，争取尽早在市场上获取竞争优势，抢占市场份额，才有可能实现医药企业长远的发展。因此，复星医药披露公司环境、社会责 任和公司治理的信息及良好表现，无疑为其拓宽融资渠道发挥了举足轻重的作用。</w:t>
      </w:r>
    </w:p>
    <w:p>
      <w:pPr>
        <w:keepNext w:val="0"/>
        <w:keepLines w:val="0"/>
        <w:pageBreakBefore w:val="0"/>
        <w:kinsoku/>
        <w:wordWrap/>
        <w:overflowPunct/>
        <w:topLinePunct w:val="0"/>
        <w:bidi w:val="0"/>
        <w:adjustRightInd/>
        <w:snapToGrid/>
        <w:spacing w:after="0" w:line="240" w:lineRule="auto"/>
        <w:ind w:firstLine="422" w:firstLineChars="200"/>
        <w:jc w:val="both"/>
        <w:textAlignment w:val="auto"/>
        <w:rPr>
          <w:rFonts w:hint="eastAsia" w:ascii="宋体" w:hAnsi="宋体" w:eastAsia="宋体" w:cs="宋体"/>
          <w:kern w:val="0"/>
          <w:sz w:val="21"/>
          <w:szCs w:val="21"/>
        </w:rPr>
      </w:pPr>
      <w:r>
        <w:rPr>
          <w:rFonts w:hint="eastAsia" w:ascii="宋体" w:hAnsi="宋体" w:eastAsia="宋体" w:cs="宋体"/>
          <w:b/>
          <w:color w:val="000000"/>
          <w:kern w:val="0"/>
          <w:sz w:val="21"/>
          <w:szCs w:val="21"/>
        </w:rPr>
        <w:drawing>
          <wp:inline distT="0" distB="0" distL="114300" distR="114300">
            <wp:extent cx="3800475" cy="2443480"/>
            <wp:effectExtent l="0" t="0" r="0" b="4445"/>
            <wp:docPr id="5" name="图片 5" descr="2023-09-07 22:12:28.99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3-09-07 22:12:28.993000"/>
                    <pic:cNvPicPr>
                      <a:picLocks noChangeAspect="1"/>
                    </pic:cNvPicPr>
                  </pic:nvPicPr>
                  <pic:blipFill>
                    <a:blip r:embed="rId11"/>
                    <a:stretch>
                      <a:fillRect/>
                    </a:stretch>
                  </pic:blipFill>
                  <pic:spPr>
                    <a:xfrm>
                      <a:off x="0" y="0"/>
                      <a:ext cx="3800475" cy="2443480"/>
                    </a:xfrm>
                    <a:prstGeom prst="rect">
                      <a:avLst/>
                    </a:prstGeom>
                  </pic:spPr>
                </pic:pic>
              </a:graphicData>
            </a:graphic>
          </wp:inline>
        </w:drawing>
      </w:r>
      <w:r>
        <w:rPr>
          <w:rFonts w:hint="eastAsia" w:ascii="宋体" w:hAnsi="宋体" w:eastAsia="宋体" w:cs="宋体"/>
          <w:color w:val="000000"/>
          <w:kern w:val="0"/>
          <w:sz w:val="21"/>
          <w:szCs w:val="21"/>
        </w:rPr>
        <w:t xml:space="preserve">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11" w:name="_Toc27287"/>
      <w:r>
        <w:rPr>
          <w:rFonts w:hint="eastAsia" w:ascii="宋体" w:hAnsi="宋体" w:eastAsia="宋体" w:cs="宋体"/>
          <w:sz w:val="21"/>
          <w:szCs w:val="21"/>
          <w:lang w:val="en-US" w:eastAsia="zh-CN"/>
        </w:rPr>
        <w:t>2.复星医药用ESG实践和投资，还有哪些痛点和难点？</w:t>
      </w:r>
      <w:bookmarkEnd w:id="11"/>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目前ESG发展虽然是大势所趋，并正在国内资本市场迅速发展，但是摆在面前的一些现实性问题仍旧无法忽视。</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（1）ESG声势与实际情况差距较大，亟需弥合知行差距。</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对于企业和投资者来说，企业业绩持续稳健增长和股东回报更为重要。在目前ESG披露为非强制性、ESG投资尚未成为机构主流投资理念的背景下，相当部分企业对主动披露ESG重视不足。</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（2）整体披露数据质量不高，急需统一规范标准。</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目前在市场上的上市公司对于披露内容无统一要求，这导致市场上的上市公司如何选择披露的较大，存在对自身有利的数据进行披露，隐藏不利信息的情形，从而导致数据不完整。再如披露以定性描述为主，缺乏定量和标准化的数据，难以做出量化的标准评价。</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（3）本土评价机构“群雄逐鹿”，急需拟定主流体系。</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目前，国内已经有中证指数公司ESG评价体系、企业社会责任报告关键定量指标指 引（MQI）、华证ESG评价体系、商道融绿等多个机构进行了ESG评价，不过这几家机构目前的评价结果尚难具备类似MSCI的市场影响力。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12" w:name="_Toc17796"/>
      <w:r>
        <w:rPr>
          <w:rFonts w:hint="eastAsia" w:ascii="宋体" w:hAnsi="宋体" w:eastAsia="宋体" w:cs="宋体"/>
          <w:sz w:val="21"/>
          <w:szCs w:val="21"/>
          <w:lang w:val="en-US" w:eastAsia="zh-CN"/>
        </w:rPr>
        <w:t>3.复星医药在ESG投资环境下需要如何完善？</w:t>
      </w:r>
      <w:bookmarkEnd w:id="1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（1）建立针对资管机构的ESG评价体系，或鼓励中国的资管机构加入UN-PRI。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（2）加强ESG评级机构的评级深度和广度，为投资者提供更加全面和多样化的ESG投资服务。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国ESG投资的不足与完善环环相扣。信息披露的不足导致评级机构缺乏有效的评级依据，造成评级结果缺乏有效性，特别是中小企业ESG信息的缺失造成评级机构无法实现市场的全覆盖；评级机构对市场的覆盖不足以及评级结果的有效性不足导致指数编制公司无法实现ESG指数的多样性；由于缺乏投资工具，资管机构对ESG投资（正面选股）则缺乏手段。因此，ESG信息披露机制的完善是推动中国ESG投资发展的第一要务。</w:t>
      </w:r>
    </w:p>
    <w:p>
      <w:pPr>
        <w:keepNext w:val="0"/>
        <w:keepLines w:val="0"/>
        <w:pageBreakBefore w:val="0"/>
        <w:kinsoku/>
        <w:wordWrap/>
        <w:overflowPunct/>
        <w:topLinePunct w:val="0"/>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13" w:name="_Toc5425"/>
      <w:r>
        <w:rPr>
          <w:rFonts w:hint="eastAsia" w:ascii="宋体" w:hAnsi="宋体" w:eastAsia="宋体" w:cs="宋体"/>
          <w:sz w:val="21"/>
          <w:szCs w:val="21"/>
          <w:lang w:val="en-US" w:eastAsia="zh-CN"/>
        </w:rPr>
        <w:t>4.ESG的实践模式有哪些？</w:t>
      </w:r>
      <w:bookmarkEnd w:id="13"/>
    </w:p>
    <w:p>
      <w:pPr>
        <w:keepNext w:val="0"/>
        <w:keepLines w:val="0"/>
        <w:pageBreakBefore w:val="0"/>
        <w:kinsoku/>
        <w:wordWrap/>
        <w:overflowPunct/>
        <w:topLinePunct w:val="0"/>
        <w:bidi w:val="0"/>
        <w:adjustRightInd/>
        <w:snapToGrid/>
        <w:spacing w:after="0" w:line="24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drawing>
          <wp:inline distT="0" distB="0" distL="114300" distR="114300">
            <wp:extent cx="4123690" cy="3093085"/>
            <wp:effectExtent l="0" t="0" r="635" b="2540"/>
            <wp:docPr id="6" name="图片 6" descr="2023-09-07 22:13:29.39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3-09-07 22:13:29.399000"/>
                    <pic:cNvPicPr>
                      <a:picLocks noChangeAspect="1"/>
                    </pic:cNvPicPr>
                  </pic:nvPicPr>
                  <pic:blipFill>
                    <a:blip r:embed="rId12"/>
                    <a:stretch>
                      <a:fillRect/>
                    </a:stretch>
                  </pic:blipFill>
                  <pic:spPr>
                    <a:xfrm>
                      <a:off x="0" y="0"/>
                      <a:ext cx="4123690" cy="3093085"/>
                    </a:xfrm>
                    <a:prstGeom prst="rect">
                      <a:avLst/>
                    </a:prstGeom>
                  </pic:spPr>
                </pic:pic>
              </a:graphicData>
            </a:graphic>
          </wp:inline>
        </w:drawing>
      </w:r>
    </w:p>
    <w:p>
      <w:pPr>
        <w:keepNext w:val="0"/>
        <w:keepLines w:val="0"/>
        <w:pageBreakBefore w:val="0"/>
        <w:kinsoku/>
        <w:wordWrap/>
        <w:overflowPunct/>
        <w:topLinePunct w:val="0"/>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（1）M2C模式</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概述：两家公司的成交量不同，但实质上是基于商家的平台。交易由商家和消费者自行进行，通过平台解决支付和信息交流。</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优点：模式轻，投资低。如何赚钱并不关键。该平台需要做的是实际交易量。赚钱与否并不关键。</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弊端：没有利润点；无法控制货物资量的；售后服务差。毕竟，跨国争端不同于国内争端。一旦涌现问题，退换货是一件非常麻烦的事情。</w:t>
      </w:r>
    </w:p>
    <w:p>
      <w:pPr>
        <w:keepNext w:val="0"/>
        <w:keepLines w:val="0"/>
        <w:pageBreakBefore w:val="0"/>
        <w:kinsoku/>
        <w:wordWrap/>
        <w:overflowPunct/>
        <w:topLinePunct w:val="0"/>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（2）B2C模式</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概述：竞争非常剧烈。B2C不是普通小家伙能做的事，没有一个环节比不上资金、团队、货源和物流。建议希望成为这种模式的跨境电子商务创业者的创业者，要想了解。</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优点：因为跨境网购的实质是“物美价廉”。廉价是一个非常关键的特征。产品质量容易控制，售后难度不高，客户投诉率不高。</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弊端：它烧钱。利润菲薄。只有成熟的电子商务能力做到。企业家永远不应当接触B2C。</w:t>
      </w:r>
    </w:p>
    <w:p>
      <w:pPr>
        <w:keepNext w:val="0"/>
        <w:keepLines w:val="0"/>
        <w:pageBreakBefore w:val="0"/>
        <w:kinsoku/>
        <w:wordWrap/>
        <w:overflowPunct/>
        <w:topLinePunct w:val="0"/>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（3）出售模式</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概述：考拉是网易系的电子商务项目。更具实力的公司在国内通关物流环节和海外采购方面都具有优点。</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优点：特卖的性质本身就符合海外购物的特征。海外购物的货源采购通常是不明确的，正好符合特价出售的性质，而且出售已经停止。如果你有钱，你可以得到很低的折扣和足够的利润率。</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弊端：像B2C一样，不管你有多少钱，但面对世界仍然远远不够。进入门槛对比低，大家都可以尝试，竞争剧烈。物流成本不低。</w:t>
      </w:r>
    </w:p>
    <w:p>
      <w:pPr>
        <w:keepNext w:val="0"/>
        <w:keepLines w:val="0"/>
        <w:pageBreakBefore w:val="0"/>
        <w:kinsoku/>
        <w:wordWrap/>
        <w:overflowPunct/>
        <w:topLinePunct w:val="0"/>
        <w:bidi w:val="0"/>
        <w:adjustRightInd/>
        <w:snapToGrid/>
        <w:spacing w:after="0" w:line="360" w:lineRule="auto"/>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（4）社交、购物类</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概述：小而美企业的实质是市场细分。但我相信每个企业家都有雄心壮志。否则，就没有必要创业了。即使没有野心，投资者也有野心，鞭策你做大。</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优点：团队小，模型轻，投资少。具有品牌效应，用户忠实度高，威望性强。他善于炒作一些大批商品和创立热点基金。</w:t>
      </w:r>
    </w:p>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弊端：由于该模型非常轻盈，对外部供给商的依附性极强，而且供给链需要外包，因此不易控制数目和及时性。</w:t>
      </w:r>
    </w:p>
    <w:p>
      <w:pPr>
        <w:pStyle w:val="2"/>
        <w:bidi w:val="0"/>
        <w:jc w:val="center"/>
        <w:rPr>
          <w:rFonts w:hint="eastAsia"/>
          <w:b/>
          <w:bCs/>
          <w:color w:val="0070C0"/>
        </w:rPr>
      </w:pPr>
    </w:p>
    <w:p>
      <w:pPr>
        <w:rPr>
          <w:rFonts w:hint="eastAsia"/>
          <w:b/>
          <w:bCs/>
          <w:color w:val="0070C0"/>
        </w:rPr>
      </w:pPr>
    </w:p>
    <w:p>
      <w:pPr>
        <w:rPr>
          <w:rFonts w:hint="eastAsia"/>
          <w:b/>
          <w:bCs/>
          <w:color w:val="0070C0"/>
        </w:rPr>
      </w:pPr>
    </w:p>
    <w:p>
      <w:pPr>
        <w:rPr>
          <w:rFonts w:hint="eastAsia"/>
          <w:b/>
          <w:bCs/>
          <w:color w:val="0070C0"/>
        </w:rPr>
      </w:pPr>
    </w:p>
    <w:p>
      <w:pPr>
        <w:rPr>
          <w:rFonts w:hint="eastAsia"/>
          <w:b/>
          <w:bCs/>
          <w:color w:val="0070C0"/>
        </w:rPr>
      </w:pPr>
    </w:p>
    <w:p>
      <w:pPr>
        <w:pStyle w:val="2"/>
        <w:bidi w:val="0"/>
        <w:jc w:val="both"/>
        <w:rPr>
          <w:rFonts w:hint="eastAsia"/>
          <w:b/>
          <w:bCs/>
          <w:color w:val="0070C0"/>
        </w:rPr>
      </w:pPr>
    </w:p>
    <w:p>
      <w:pPr>
        <w:rPr>
          <w:rFonts w:hint="eastAsia"/>
          <w:b/>
          <w:bCs/>
          <w:color w:val="0070C0"/>
        </w:rPr>
      </w:pPr>
    </w:p>
    <w:p>
      <w:pPr>
        <w:rPr>
          <w:rFonts w:hint="eastAsia"/>
          <w:b/>
          <w:bCs/>
          <w:color w:val="0070C0"/>
        </w:rPr>
      </w:pPr>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NDM2MDNiM2VmMmI1NmMzNGVjM2Y3NDMxMGI1MjQifQ=="/>
  </w:docVars>
  <w:rsids>
    <w:rsidRoot w:val="00000000"/>
    <w:rsid w:val="05D21BFA"/>
    <w:rsid w:val="06F943A4"/>
    <w:rsid w:val="09C95ABE"/>
    <w:rsid w:val="0D2157E1"/>
    <w:rsid w:val="111666F3"/>
    <w:rsid w:val="159A69D6"/>
    <w:rsid w:val="1A7C0F65"/>
    <w:rsid w:val="43D97C34"/>
    <w:rsid w:val="4ABC7D2C"/>
    <w:rsid w:val="4D8A68DC"/>
    <w:rsid w:val="58812ABF"/>
    <w:rsid w:val="73F8607C"/>
    <w:rsid w:val="76027742"/>
    <w:rsid w:val="775564F4"/>
    <w:rsid w:val="77562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EastAsia" w:cstheme="minorBidi"/>
      <w:kern w:val="2"/>
      <w:sz w:val="22"/>
      <w:szCs w:val="22"/>
      <w:lang w:val="en-US" w:eastAsia="zh-CN" w:bidi="ar-SA"/>
    </w:rPr>
  </w:style>
  <w:style w:type="paragraph" w:styleId="2">
    <w:name w:val="heading 1"/>
    <w:basedOn w:val="1"/>
    <w:next w:val="1"/>
    <w:qFormat/>
    <w:uiPriority w:val="9"/>
    <w:pPr>
      <w:keepNext/>
      <w:keepLines/>
      <w:pBdr>
        <w:top w:val="none" w:color="auto" w:sz="0" w:space="1"/>
        <w:left w:val="none" w:color="auto" w:sz="0" w:space="4"/>
        <w:bottom w:val="none" w:color="DAE3F4" w:themeColor="accent1" w:themeTint="33" w:sz="0" w:space="0"/>
        <w:right w:val="none" w:color="auto" w:sz="0" w:space="4"/>
      </w:pBdr>
      <w:spacing w:after="200" w:line="300" w:lineRule="auto"/>
      <w:outlineLvl w:val="0"/>
    </w:pPr>
    <w:rPr>
      <w:rFonts w:eastAsia="微软雅黑" w:asciiTheme="majorAscii" w:hAnsiTheme="majorAscii" w:cstheme="majorBidi"/>
      <w:color w:val="4874CB" w:themeColor="accent1"/>
      <w:sz w:val="36"/>
      <w:szCs w:val="36"/>
      <w:lang w:eastAsia="ja-JP"/>
      <w14:textFill>
        <w14:solidFill>
          <w14:schemeClr w14:val="accent1"/>
        </w14:solidFill>
      </w14:textFill>
    </w:rPr>
  </w:style>
  <w:style w:type="character" w:default="1" w:styleId="8">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val="0"/>
      <w:spacing w:after="0" w:line="240" w:lineRule="auto"/>
      <w:jc w:val="both"/>
    </w:pPr>
    <w:rPr>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7286</Words>
  <Characters>7895</Characters>
  <Lines>0</Lines>
  <Paragraphs>0</Paragraphs>
  <TotalTime>1</TotalTime>
  <ScaleCrop>false</ScaleCrop>
  <LinksUpToDate>false</LinksUpToDate>
  <CharactersWithSpaces>7991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2024-02-20T08:26:00Z</dcterms:created>
  <dc:creator>16420</dc:creator>
  <cp:lastModifiedBy>小燕子</cp:lastModifiedBy>
  <dcterms:modified xsi:type="dcterms:W3CDTF">2024-06-28T01:54:59Z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2DC1F22B41914486A32A6FAFA983F504_12</vt:lpwstr>
  </property>
</Properties>
</file>