
<file path=[Content_Types].xml><?xml version="1.0" encoding="utf-8"?>
<Types xmlns="http://schemas.openxmlformats.org/package/2006/content-types">
  <Default Extension="xml" ContentType="application/xml"/>
  <Default Extension="xlsx" ContentType="application/vnd.openxmlformats-officedocument.spreadsheetml.sheet"/>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微软雅黑" w:hAnsi="微软雅黑" w:eastAsia="微软雅黑" w:cs="微软雅黑"/>
          <w:b/>
          <w:bCs/>
          <w:sz w:val="36"/>
          <w:szCs w:val="36"/>
          <w:lang w:val="en-US" w:eastAsia="zh-CN"/>
        </w:rPr>
      </w:pPr>
      <w:bookmarkStart w:id="0" w:name="_Toc15768"/>
      <w:r>
        <w:rPr>
          <w:rFonts w:hint="eastAsia" w:ascii="微软雅黑" w:hAnsi="微软雅黑" w:eastAsia="微软雅黑" w:cs="微软雅黑"/>
          <w:b/>
          <w:bCs/>
          <w:sz w:val="36"/>
          <w:szCs w:val="36"/>
          <w:lang w:val="en-US" w:eastAsia="zh-CN"/>
        </w:rPr>
        <w:t>《铜陵有色</w:t>
      </w:r>
      <w:r>
        <w:rPr>
          <w:rFonts w:hint="eastAsia" w:ascii="微软雅黑" w:hAnsi="微软雅黑" w:eastAsia="微软雅黑" w:cs="微软雅黑"/>
          <w:b/>
          <w:bCs/>
          <w:sz w:val="36"/>
          <w:szCs w:val="36"/>
        </w:rPr>
        <w:t>：</w:t>
      </w:r>
      <w:r>
        <w:rPr>
          <w:rFonts w:hint="eastAsia" w:ascii="微软雅黑" w:hAnsi="微软雅黑" w:eastAsia="微软雅黑" w:cs="微软雅黑"/>
          <w:b/>
          <w:bCs/>
          <w:sz w:val="36"/>
          <w:szCs w:val="36"/>
          <w:lang w:val="en-US" w:eastAsia="zh-CN"/>
        </w:rPr>
        <w:t>“双碳”目标下碳信息披露的优化路径</w:t>
      </w:r>
      <w:bookmarkEnd w:id="0"/>
      <w:r>
        <w:rPr>
          <w:rFonts w:hint="eastAsia" w:ascii="微软雅黑" w:hAnsi="微软雅黑" w:eastAsia="微软雅黑" w:cs="微软雅黑"/>
          <w:b/>
          <w:bCs/>
          <w:sz w:val="36"/>
          <w:szCs w:val="36"/>
          <w:lang w:val="en-US" w:eastAsia="zh-CN"/>
        </w:rPr>
        <w:t>》</w:t>
      </w:r>
    </w:p>
    <w:p>
      <w:pPr>
        <w:bidi w:val="0"/>
        <w:jc w:val="center"/>
        <w:rPr>
          <w:rFonts w:hint="eastAsia" w:ascii="微软雅黑" w:hAnsi="微软雅黑" w:eastAsia="微软雅黑" w:cs="微软雅黑"/>
          <w:b/>
          <w:bCs/>
          <w:sz w:val="36"/>
          <w:szCs w:val="36"/>
          <w:lang w:val="en-US" w:eastAsia="zh-CN"/>
        </w:rPr>
      </w:pPr>
      <w:bookmarkStart w:id="1" w:name="_Toc14265"/>
      <w:r>
        <w:rPr>
          <w:rFonts w:hint="eastAsia" w:ascii="微软雅黑" w:hAnsi="微软雅黑" w:eastAsia="微软雅黑" w:cs="微软雅黑"/>
          <w:b/>
          <w:bCs/>
          <w:sz w:val="36"/>
          <w:szCs w:val="36"/>
          <w:lang w:val="en-US" w:eastAsia="zh-CN"/>
        </w:rPr>
        <w:t>案例正文</w:t>
      </w:r>
      <w:bookmarkEnd w:id="1"/>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"https://baike.baidu.com/item/%E9%93%9C%E9%99%B5/1538653?fromModule=lemma_inlink"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铜陵</w:t>
      </w:r>
      <w:r>
        <w:rPr>
          <w:rFonts w:hint="eastAsia" w:ascii="宋体" w:hAnsi="宋体" w:eastAsia="宋体" w:cs="宋体"/>
          <w:sz w:val="21"/>
          <w:szCs w:val="21"/>
        </w:rPr>
        <w:fldChar w:fldCharType="end"/>
      </w:r>
      <w:r>
        <w:rPr>
          <w:rFonts w:hint="eastAsia" w:ascii="宋体" w:hAnsi="宋体" w:eastAsia="宋体" w:cs="宋体"/>
          <w:sz w:val="21"/>
          <w:szCs w:val="21"/>
        </w:rPr>
        <w:t>有色金属集团股份有限公司是一家集铜金属采选，冶炼，加工，贸易为一体的上市公司，公司坐落于素有"中国古铜都"之誉的</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"https://baike.baidu.com/item/%E5%AE%89%E5%BE%BD/37014?fromModule=lemma_inlink"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安徽</w:t>
      </w:r>
      <w:r>
        <w:rPr>
          <w:rFonts w:hint="eastAsia" w:ascii="宋体" w:hAnsi="宋体" w:eastAsia="宋体" w:cs="宋体"/>
          <w:sz w:val="21"/>
          <w:szCs w:val="21"/>
        </w:rPr>
        <w:fldChar w:fldCharType="end"/>
      </w:r>
      <w:r>
        <w:rPr>
          <w:rFonts w:hint="eastAsia" w:ascii="宋体" w:hAnsi="宋体" w:eastAsia="宋体" w:cs="宋体"/>
          <w:sz w:val="21"/>
          <w:szCs w:val="21"/>
        </w:rPr>
        <w:t>省铜陵市，是新中国最早建立起来的铜</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"https://baike.baidu.com/item/%E5%B7%A5%E4%B8%9A%E5%9F%BA%E5%9C%B0/10919906?fromModule=lemma_inlink"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工业基地</w:t>
      </w:r>
      <w:r>
        <w:rPr>
          <w:rFonts w:hint="eastAsia" w:ascii="宋体" w:hAnsi="宋体" w:eastAsia="宋体" w:cs="宋体"/>
          <w:sz w:val="21"/>
          <w:szCs w:val="21"/>
        </w:rPr>
        <w:fldChar w:fldCharType="end"/>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公司为全国300家重点扶持和</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"https://baike.baidu.com/item/%E5%AE%89%E5%BE%BD/37014?fromModule=lemma_inlink"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安徽</w:t>
      </w:r>
      <w:r>
        <w:rPr>
          <w:rFonts w:hint="eastAsia" w:ascii="宋体" w:hAnsi="宋体" w:eastAsia="宋体" w:cs="宋体"/>
          <w:sz w:val="21"/>
          <w:szCs w:val="21"/>
        </w:rPr>
        <w:fldChar w:fldCharType="end"/>
      </w:r>
      <w:r>
        <w:rPr>
          <w:rFonts w:hint="eastAsia" w:ascii="宋体" w:hAnsi="宋体" w:eastAsia="宋体" w:cs="宋体"/>
          <w:sz w:val="21"/>
          <w:szCs w:val="21"/>
        </w:rPr>
        <w:t>省重点培育的大型企业集团之一。2012年实现</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"https://baike.baidu.com/item/%E9%94%80%E5%94%AE%E6%94%B6%E5%85%A5/10836801?fromModule=lemma_inlink"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销售收入</w:t>
      </w:r>
      <w:r>
        <w:rPr>
          <w:rFonts w:hint="eastAsia" w:ascii="宋体" w:hAnsi="宋体" w:eastAsia="宋体" w:cs="宋体"/>
          <w:sz w:val="21"/>
          <w:szCs w:val="21"/>
        </w:rPr>
        <w:fldChar w:fldCharType="end"/>
      </w:r>
      <w:r>
        <w:rPr>
          <w:rFonts w:hint="eastAsia" w:ascii="宋体" w:hAnsi="宋体" w:eastAsia="宋体" w:cs="宋体"/>
          <w:sz w:val="21"/>
          <w:szCs w:val="21"/>
        </w:rPr>
        <w:t>1065亿元，成为安徽省首家千亿元企业，</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"https://baike.baidu.com/item/%E8%BF%9B%E5%87%BA%E5%8F%A3%E8%B4%B8%E6%98%93/10806673?fromModule=lemma_inlink"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进出口贸易</w:t>
      </w:r>
      <w:r>
        <w:rPr>
          <w:rFonts w:hint="eastAsia" w:ascii="宋体" w:hAnsi="宋体" w:eastAsia="宋体" w:cs="宋体"/>
          <w:sz w:val="21"/>
          <w:szCs w:val="21"/>
        </w:rPr>
        <w:fldChar w:fldCharType="end"/>
      </w:r>
      <w:r>
        <w:rPr>
          <w:rFonts w:hint="eastAsia" w:ascii="宋体" w:hAnsi="宋体" w:eastAsia="宋体" w:cs="宋体"/>
          <w:sz w:val="21"/>
          <w:szCs w:val="21"/>
        </w:rPr>
        <w:t>总额连续14年保持全国铜行业首位，主产品</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"https://baike.baidu.com/item/%E9%98%B4%E6%9E%81%E9%93%9C/6453119?fromModule=lemma_inlink"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阴极铜</w:t>
      </w:r>
      <w:r>
        <w:rPr>
          <w:rFonts w:hint="eastAsia" w:ascii="宋体" w:hAnsi="宋体" w:eastAsia="宋体" w:cs="宋体"/>
          <w:sz w:val="21"/>
          <w:szCs w:val="21"/>
        </w:rPr>
        <w:fldChar w:fldCharType="end"/>
      </w:r>
      <w:r>
        <w:rPr>
          <w:rFonts w:hint="eastAsia" w:ascii="宋体" w:hAnsi="宋体" w:eastAsia="宋体" w:cs="宋体"/>
          <w:sz w:val="21"/>
          <w:szCs w:val="21"/>
        </w:rPr>
        <w:t>产量位居世界铜精炼企业第五位。</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铜陵有色是国家</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"https://baike.baidu.com/item/%E5%88%9B%E6%96%B0%E5%9E%8B%E4%BC%81%E4%B8%9A/6769445?fromModule=lemma_inlink"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创新型企业</w:t>
      </w:r>
      <w:r>
        <w:rPr>
          <w:rFonts w:hint="eastAsia" w:ascii="宋体" w:hAnsi="宋体" w:eastAsia="宋体" w:cs="宋体"/>
          <w:sz w:val="21"/>
          <w:szCs w:val="21"/>
        </w:rPr>
        <w:fldChar w:fldCharType="end"/>
      </w:r>
      <w:r>
        <w:rPr>
          <w:rFonts w:hint="eastAsia" w:ascii="宋体" w:hAnsi="宋体" w:eastAsia="宋体" w:cs="宋体"/>
          <w:sz w:val="21"/>
          <w:szCs w:val="21"/>
        </w:rPr>
        <w:t>、全国技术创新示范企业，拥有国家级技术中心和</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"https://baike.baidu.com/item/%E5%9B%BD%E5%AE%B6%E8%AE%A4%E5%8F%AF/22311544?fromModule=lemma_inlink"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国家认可</w:t>
      </w:r>
      <w:r>
        <w:rPr>
          <w:rFonts w:hint="eastAsia" w:ascii="宋体" w:hAnsi="宋体" w:eastAsia="宋体" w:cs="宋体"/>
          <w:sz w:val="21"/>
          <w:szCs w:val="21"/>
        </w:rPr>
        <w:fldChar w:fldCharType="end"/>
      </w:r>
      <w:r>
        <w:rPr>
          <w:rFonts w:hint="eastAsia" w:ascii="宋体" w:hAnsi="宋体" w:eastAsia="宋体" w:cs="宋体"/>
          <w:sz w:val="21"/>
          <w:szCs w:val="21"/>
        </w:rPr>
        <w:t>试验室。主产品“铜冠”牌高纯阴极铜在</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"https://baike.baidu.com/item/%E4%BC%A6%E6%95%A6%E9%87%91%E5%B1%9E%E4%BA%A4%E6%98%93%E6%89%80/6225987?fromModule=lemma_inlink"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伦敦金属交易所</w:t>
      </w:r>
      <w:r>
        <w:rPr>
          <w:rFonts w:hint="eastAsia" w:ascii="宋体" w:hAnsi="宋体" w:eastAsia="宋体" w:cs="宋体"/>
          <w:sz w:val="21"/>
          <w:szCs w:val="21"/>
        </w:rPr>
        <w:fldChar w:fldCharType="end"/>
      </w:r>
      <w:r>
        <w:rPr>
          <w:rFonts w:hint="eastAsia" w:ascii="宋体" w:hAnsi="宋体" w:eastAsia="宋体" w:cs="宋体"/>
          <w:sz w:val="21"/>
          <w:szCs w:val="21"/>
        </w:rPr>
        <w:t>(LME)注册，“铜冠”牌</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"https://baike.baidu.com/item/%E9%93%B6%E9%94%AD/1049319?fromModule=lemma_inlink"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银锭</w:t>
      </w:r>
      <w:r>
        <w:rPr>
          <w:rFonts w:hint="eastAsia" w:ascii="宋体" w:hAnsi="宋体" w:eastAsia="宋体" w:cs="宋体"/>
          <w:sz w:val="21"/>
          <w:szCs w:val="21"/>
        </w:rPr>
        <w:fldChar w:fldCharType="end"/>
      </w:r>
      <w:r>
        <w:rPr>
          <w:rFonts w:hint="eastAsia" w:ascii="宋体" w:hAnsi="宋体" w:eastAsia="宋体" w:cs="宋体"/>
          <w:sz w:val="21"/>
          <w:szCs w:val="21"/>
        </w:rPr>
        <w:t>在伦敦金银协会（LBMA）注册，成为国际知名品牌。“铜冠”牌阴极铜是“</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"https://baike.baidu.com/item/%E4%B8%AD%E5%9B%BD%E5%90%8D%E7%89%8C/5987080?fromModule=lemma_inlink"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中国名牌</w:t>
      </w:r>
      <w:r>
        <w:rPr>
          <w:rFonts w:hint="eastAsia" w:ascii="宋体" w:hAnsi="宋体" w:eastAsia="宋体" w:cs="宋体"/>
          <w:sz w:val="21"/>
          <w:szCs w:val="21"/>
        </w:rPr>
        <w:fldChar w:fldCharType="end"/>
      </w:r>
      <w:r>
        <w:rPr>
          <w:rFonts w:hint="eastAsia" w:ascii="宋体" w:hAnsi="宋体" w:eastAsia="宋体" w:cs="宋体"/>
          <w:sz w:val="21"/>
          <w:szCs w:val="21"/>
        </w:rPr>
        <w:t>”产品，“铜冠”牌阴极铜、铜带、</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"https://baike.baidu.com/item/%E9%BB%84%E9%93%9C/1624753?fromModule=lemma_inlink"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黄铜</w:t>
      </w:r>
      <w:r>
        <w:rPr>
          <w:rFonts w:hint="eastAsia" w:ascii="宋体" w:hAnsi="宋体" w:eastAsia="宋体" w:cs="宋体"/>
          <w:sz w:val="21"/>
          <w:szCs w:val="21"/>
        </w:rPr>
        <w:fldChar w:fldCharType="end"/>
      </w:r>
      <w:r>
        <w:rPr>
          <w:rFonts w:hint="eastAsia" w:ascii="宋体" w:hAnsi="宋体" w:eastAsia="宋体" w:cs="宋体"/>
          <w:sz w:val="21"/>
          <w:szCs w:val="21"/>
        </w:rPr>
        <w:t>被认定为“</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"https://baike.baidu.com/item/%E4%B8%AD%E5%9B%BD%E9%A9%B0%E5%90%8D%E5%95%86%E6%A0%87/9999062?fromModule=lemma_inlink"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中国驰名商标</w:t>
      </w:r>
      <w:r>
        <w:rPr>
          <w:rFonts w:hint="eastAsia" w:ascii="宋体" w:hAnsi="宋体" w:eastAsia="宋体" w:cs="宋体"/>
          <w:sz w:val="21"/>
          <w:szCs w:val="21"/>
        </w:rPr>
        <w:fldChar w:fldCharType="end"/>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铜陵有色与世界30多个</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"https://baike.baidu.com/item/%E5%9B%BD%E5%AE%B6%E5%92%8C%E5%9C%B0%E5%8C%BA/52039732?fromModule=lemma_inlink"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国家和地区</w:t>
      </w:r>
      <w:r>
        <w:rPr>
          <w:rFonts w:hint="eastAsia" w:ascii="宋体" w:hAnsi="宋体" w:eastAsia="宋体" w:cs="宋体"/>
          <w:sz w:val="21"/>
          <w:szCs w:val="21"/>
        </w:rPr>
        <w:fldChar w:fldCharType="end"/>
      </w:r>
      <w:r>
        <w:rPr>
          <w:rFonts w:hint="eastAsia" w:ascii="宋体" w:hAnsi="宋体" w:eastAsia="宋体" w:cs="宋体"/>
          <w:sz w:val="21"/>
          <w:szCs w:val="21"/>
        </w:rPr>
        <w:t>建立了经济技术和贸易合作关系，数十种产品分别出口到日本、德国、美国、</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"https://baike.baidu.com/item/%E6%96%B0%E5%8A%A0%E5%9D%A1/145065?fromModule=lemma_inlink"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新加坡</w:t>
      </w:r>
      <w:r>
        <w:rPr>
          <w:rFonts w:hint="eastAsia" w:ascii="宋体" w:hAnsi="宋体" w:eastAsia="宋体" w:cs="宋体"/>
          <w:sz w:val="21"/>
          <w:szCs w:val="21"/>
        </w:rPr>
        <w:fldChar w:fldCharType="end"/>
      </w:r>
      <w:r>
        <w:rPr>
          <w:rFonts w:hint="eastAsia" w:ascii="宋体" w:hAnsi="宋体" w:eastAsia="宋体" w:cs="宋体"/>
          <w:sz w:val="21"/>
          <w:szCs w:val="21"/>
        </w:rPr>
        <w:t>等十多个国家和地区。公司现为全国有外贸</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"https://baike.baidu.com/item/%E7%BB%8F%E8%90%A5%E6%9D%83/10431619?fromModule=lemma_inlink"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经营权</w:t>
      </w:r>
      <w:r>
        <w:rPr>
          <w:rFonts w:hint="eastAsia" w:ascii="宋体" w:hAnsi="宋体" w:eastAsia="宋体" w:cs="宋体"/>
          <w:sz w:val="21"/>
          <w:szCs w:val="21"/>
        </w:rPr>
        <w:fldChar w:fldCharType="end"/>
      </w:r>
      <w:r>
        <w:rPr>
          <w:rFonts w:hint="eastAsia" w:ascii="宋体" w:hAnsi="宋体" w:eastAsia="宋体" w:cs="宋体"/>
          <w:sz w:val="21"/>
          <w:szCs w:val="21"/>
        </w:rPr>
        <w:t>100强企业，进出口贸易总额名列中国进出口额最大500强企业之一。公司先后在</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"https://baike.baidu.com/item/%E6%99%BA%E5%88%A9/256376?fromModule=lemma_inlink"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智利</w:t>
      </w:r>
      <w:r>
        <w:rPr>
          <w:rFonts w:hint="eastAsia" w:ascii="宋体" w:hAnsi="宋体" w:eastAsia="宋体" w:cs="宋体"/>
          <w:sz w:val="21"/>
          <w:szCs w:val="21"/>
        </w:rPr>
        <w:fldChar w:fldCharType="end"/>
      </w:r>
      <w:r>
        <w:rPr>
          <w:rFonts w:hint="eastAsia" w:ascii="宋体" w:hAnsi="宋体" w:eastAsia="宋体" w:cs="宋体"/>
          <w:sz w:val="21"/>
          <w:szCs w:val="21"/>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"https://baike.baidu.com/item/%E7%A7%98%E9%B2%81/258354?fromModule=lemma_inlink"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秘鲁</w:t>
      </w:r>
      <w:r>
        <w:rPr>
          <w:rFonts w:hint="eastAsia" w:ascii="宋体" w:hAnsi="宋体" w:eastAsia="宋体" w:cs="宋体"/>
          <w:sz w:val="21"/>
          <w:szCs w:val="21"/>
        </w:rPr>
        <w:fldChar w:fldCharType="end"/>
      </w:r>
      <w:r>
        <w:rPr>
          <w:rFonts w:hint="eastAsia" w:ascii="宋体" w:hAnsi="宋体" w:eastAsia="宋体" w:cs="宋体"/>
          <w:sz w:val="21"/>
          <w:szCs w:val="21"/>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"https://baike.baidu.com/item/%E5%8A%A0%E6%8B%BF%E5%A4%A7/145973?fromModule=lemma_inlink"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加拿大</w:t>
      </w:r>
      <w:r>
        <w:rPr>
          <w:rFonts w:hint="eastAsia" w:ascii="宋体" w:hAnsi="宋体" w:eastAsia="宋体" w:cs="宋体"/>
          <w:sz w:val="21"/>
          <w:szCs w:val="21"/>
        </w:rPr>
        <w:fldChar w:fldCharType="end"/>
      </w:r>
      <w:r>
        <w:rPr>
          <w:rFonts w:hint="eastAsia" w:ascii="宋体" w:hAnsi="宋体" w:eastAsia="宋体" w:cs="宋体"/>
          <w:sz w:val="21"/>
          <w:szCs w:val="21"/>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"https://baike.baidu.com/item/%E5%8E%84%E7%93%9C%E5%A4%9A%E5%B0%94/183715?fromModule=lemma_inlink"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厄瓜多尔</w:t>
      </w:r>
      <w:r>
        <w:rPr>
          <w:rFonts w:hint="eastAsia" w:ascii="宋体" w:hAnsi="宋体" w:eastAsia="宋体" w:cs="宋体"/>
          <w:sz w:val="21"/>
          <w:szCs w:val="21"/>
        </w:rPr>
        <w:fldChar w:fldCharType="end"/>
      </w:r>
      <w:r>
        <w:rPr>
          <w:rFonts w:hint="eastAsia" w:ascii="宋体" w:hAnsi="宋体" w:eastAsia="宋体" w:cs="宋体"/>
          <w:sz w:val="21"/>
          <w:szCs w:val="21"/>
        </w:rPr>
        <w:t>等国参与资源勘探与开发，是全球第一家参与</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"https://baike.baidu.com/item/%E6%B5%B7%E5%BA%95%E7%9F%BF%E4%BA%A7/7159692?fromModule=lemma_inlink"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海底产</w:t>
      </w:r>
      <w:r>
        <w:rPr>
          <w:rFonts w:hint="eastAsia" w:ascii="宋体" w:hAnsi="宋体" w:eastAsia="宋体" w:cs="宋体"/>
          <w:sz w:val="21"/>
          <w:szCs w:val="21"/>
        </w:rPr>
        <w:fldChar w:fldCharType="end"/>
      </w:r>
      <w:r>
        <w:rPr>
          <w:rFonts w:hint="eastAsia" w:ascii="宋体" w:hAnsi="宋体" w:eastAsia="宋体" w:cs="宋体"/>
          <w:sz w:val="21"/>
          <w:szCs w:val="21"/>
        </w:rPr>
        <w:t>资源</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"https://baike.baidu.com/item/%E5%90%88%E4%BD%9C%E5%BC%80%E5%8F%91/10850509?fromModule=lemma_inlink"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合作开发</w:t>
      </w:r>
      <w:r>
        <w:rPr>
          <w:rFonts w:hint="eastAsia" w:ascii="宋体" w:hAnsi="宋体" w:eastAsia="宋体" w:cs="宋体"/>
          <w:sz w:val="21"/>
          <w:szCs w:val="21"/>
        </w:rPr>
        <w:fldChar w:fldCharType="end"/>
      </w:r>
      <w:r>
        <w:rPr>
          <w:rFonts w:hint="eastAsia" w:ascii="宋体" w:hAnsi="宋体" w:eastAsia="宋体" w:cs="宋体"/>
          <w:sz w:val="21"/>
          <w:szCs w:val="21"/>
        </w:rPr>
        <w:t>的企业，建立并形成了</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"https://baike.baidu.com/item/%E5%9B%BD%E9%99%85%E5%8C%96%E7%BB%8F%E8%90%A5/8853108?fromModule=lemma_inlink" \t "https://baike.baidu.com/item/_blank" </w:instrText>
      </w:r>
      <w:r>
        <w:rPr>
          <w:rFonts w:hint="eastAsia" w:ascii="宋体" w:hAnsi="宋体" w:eastAsia="宋体" w:cs="宋体"/>
          <w:sz w:val="21"/>
          <w:szCs w:val="21"/>
        </w:rPr>
        <w:fldChar w:fldCharType="separate"/>
      </w:r>
      <w:r>
        <w:rPr>
          <w:rFonts w:hint="eastAsia" w:ascii="宋体" w:hAnsi="宋体" w:eastAsia="宋体" w:cs="宋体"/>
          <w:sz w:val="21"/>
          <w:szCs w:val="21"/>
        </w:rPr>
        <w:t>国际化经营</w:t>
      </w:r>
      <w:r>
        <w:rPr>
          <w:rFonts w:hint="eastAsia" w:ascii="宋体" w:hAnsi="宋体" w:eastAsia="宋体" w:cs="宋体"/>
          <w:sz w:val="21"/>
          <w:szCs w:val="21"/>
        </w:rPr>
        <w:fldChar w:fldCharType="end"/>
      </w:r>
      <w:r>
        <w:rPr>
          <w:rFonts w:hint="eastAsia" w:ascii="宋体" w:hAnsi="宋体" w:eastAsia="宋体" w:cs="宋体"/>
          <w:sz w:val="21"/>
          <w:szCs w:val="21"/>
        </w:rPr>
        <w:t>的新格局</w:t>
      </w:r>
      <w:r>
        <w:rPr>
          <w:rFonts w:hint="eastAsia" w:ascii="宋体" w:hAnsi="宋体" w:eastAsia="宋体" w:cs="宋体"/>
          <w:sz w:val="21"/>
          <w:szCs w:val="21"/>
          <w:lang w:eastAsia="zh-CN"/>
        </w:rPr>
        <w:t>。</w:t>
      </w:r>
    </w:p>
    <w:p>
      <w:pPr>
        <w:keepNext w:val="0"/>
        <w:keepLines w:val="0"/>
        <w:pageBreakBefore w:val="0"/>
        <w:kinsoku/>
        <w:wordWrap/>
        <w:overflowPunct/>
        <w:topLinePunct w:val="0"/>
        <w:bidi w:val="0"/>
        <w:adjustRightInd/>
        <w:snapToGrid/>
        <w:spacing w:after="0" w:line="480" w:lineRule="auto"/>
        <w:jc w:val="center"/>
        <w:textAlignment w:val="auto"/>
        <w:rPr>
          <w:rFonts w:hint="eastAsia"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双碳</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双碳”即“碳达峰”、“碳中和”的简称，其中“碳达峰”指二氧化碳排放量达到历史最高值，然后经历平台期进入持续下降的过程，是二氧化碳排放量由增转降的历史拐点，标志着碳排放与经济发展实现脱钩；“碳中和”指某个地区在一定时间内人为活动直接和间接排放的二氧化碳，与其通过碳汇相互抵消，实现二氧化碳“净零排放”。</w:t>
      </w:r>
      <w:r>
        <w:rPr>
          <w:rFonts w:hint="eastAsia" w:ascii="宋体" w:hAnsi="宋体" w:eastAsia="宋体" w:cs="宋体"/>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    不良气候变化的灾难性影响推动全球减少碳排放。自从人类社会进入工业化时代以来，以二氧化碳为主的温室气体排放量迅速增加，温室气体浓度升高强化了大气层阻挡热量逃逸的能力，形成更强的温室效应，从而产生了温室气体排放与气候变化之间的紧密联系。</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对于制造企业而言，</w:t>
      </w:r>
      <w:r>
        <w:rPr>
          <w:rFonts w:hint="eastAsia" w:ascii="宋体" w:hAnsi="宋体" w:eastAsia="宋体" w:cs="宋体"/>
          <w:sz w:val="21"/>
          <w:szCs w:val="21"/>
        </w:rPr>
        <w:t>实现碳中和碳达峰，是推动企业高质量发展的内在要求，是一项复杂，多视角的系统工程，也是一项是中长期工作，需坚持系统观念，运用系统方法。从宏观层面看，碳达峰碳中和关乎着全球全人类的可持续发展；从中观层面看，它关系着一个国家的能源安全、技术转型和产升级；从微观角度看，企业作为市场经济活动的主体，同样无法置身事外。</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在国家碳达峰碳中和的政策领导下，制造企业掀起一股争取实现碳达峰碳中和目标的热潮，双碳是一项中长期工作，</w:t>
      </w:r>
      <w:r>
        <w:rPr>
          <w:rFonts w:hint="eastAsia" w:ascii="宋体" w:hAnsi="宋体" w:eastAsia="宋体" w:cs="宋体"/>
          <w:sz w:val="21"/>
          <w:szCs w:val="21"/>
          <w:lang w:val="en-US" w:eastAsia="zh-CN"/>
        </w:rPr>
        <w:t>铜陵有色等制造</w:t>
      </w:r>
      <w:r>
        <w:rPr>
          <w:rFonts w:hint="eastAsia" w:ascii="宋体" w:hAnsi="宋体" w:eastAsia="宋体" w:cs="宋体"/>
          <w:sz w:val="21"/>
          <w:szCs w:val="21"/>
        </w:rPr>
        <w:t>企业都在积极探究“双碳”实现路径</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去建立</w:t>
      </w:r>
      <w:r>
        <w:rPr>
          <w:rFonts w:hint="eastAsia" w:ascii="宋体" w:hAnsi="宋体" w:eastAsia="宋体" w:cs="宋体"/>
          <w:sz w:val="21"/>
          <w:szCs w:val="21"/>
        </w:rPr>
        <w:t>系统科学的碳达峰碳中和工作管理机制及评价体系以支撑碳达峰碳中和工作的持续开展</w:t>
      </w:r>
      <w:r>
        <w:rPr>
          <w:rFonts w:hint="eastAsia" w:ascii="宋体" w:hAnsi="宋体" w:eastAsia="宋体" w:cs="宋体"/>
          <w:sz w:val="21"/>
          <w:szCs w:val="21"/>
          <w:lang w:eastAsia="zh-CN"/>
        </w:rPr>
        <w:t>。</w:t>
      </w:r>
    </w:p>
    <w:p>
      <w:pPr>
        <w:keepNext w:val="0"/>
        <w:keepLines w:val="0"/>
        <w:pageBreakBefore w:val="0"/>
        <w:kinsoku/>
        <w:wordWrap/>
        <w:overflowPunct/>
        <w:topLinePunct w:val="0"/>
        <w:bidi w:val="0"/>
        <w:adjustRightInd/>
        <w:snapToGrid/>
        <w:spacing w:after="0" w:line="480" w:lineRule="auto"/>
        <w:jc w:val="center"/>
        <w:textAlignment w:val="auto"/>
        <w:rPr>
          <w:rFonts w:hint="eastAsia"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碳信息披露</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双碳”政策的引导下，市场主体绿色低碳投资有望保持活跃增长，铜陵有色作为负责任的国有企业不断发展新能源产业，以“工业固废综合利用”“碳达峰碳中和”为中心，丰富大宗固废综合利用产品，提升固废资源综合利用价值的宗旨，优化能源使用结构，有效降低温室气体排放，不但有助于铜边际消费大幅增加，更有利于企业优化产业结构，提高核心竞争力。</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碳信息披露。通常指，温室气体排放单位以定期报告和临时报告等形式，真实、全面、及时、充分地把碳排放相关的信息向投资者和社会公众公开披露的行为。</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铜陵有色从2015年开始一直有开展环保管理的主题活动。铜陵有色披露环境信息的载体主要还是年报和社会责任报告（见附录1）。在2022年报中，有专门的环境和社会责任板块，披露的主要内容有重大的环保问题、防治污染设施的建设和运行情况等。在社会责任报告中，大多是定性分析，强调了让绿驻企，诉说绿色发展，从突重点，抓整改、重问题，强警示、降耗能，促节约、倡双碳，减排放四个方面进行阐述。</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年报中主要披露了铜陵有色上市公司和其子公司的排污情况，它们都是环保部门重点排污对象。2022年铜陵有色排放方式主要有直排、组织排放、间歇性排放、连续排放、集中排放这几种方式，具体根据污染物的形式判断。排放口数量多，排放口情况具体有炼铜，炼贵金属，废水等,排放浓度均符合相关标准。但是在2021年报中，很多污染物排放都已超标。公司不但要接受外界的监督，比如环境保护，也要对公司的环境进行自我检查。公司应遵循的法律法规（见附录2所示）。</w:t>
      </w:r>
    </w:p>
    <w:p>
      <w:pPr>
        <w:keepNext w:val="0"/>
        <w:keepLines w:val="0"/>
        <w:pageBreakBefore w:val="0"/>
        <w:kinsoku/>
        <w:wordWrap/>
        <w:overflowPunct/>
        <w:topLinePunct w:val="0"/>
        <w:bidi w:val="0"/>
        <w:adjustRightInd/>
        <w:snapToGrid/>
        <w:spacing w:after="0" w:line="480" w:lineRule="auto"/>
        <w:jc w:val="center"/>
        <w:textAlignment w:val="auto"/>
        <w:rPr>
          <w:rFonts w:hint="eastAsia"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“双碳”目标下碳信息披露的现实困境</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2" w:name="_Toc19072"/>
      <w:r>
        <w:rPr>
          <w:rFonts w:hint="eastAsia" w:ascii="宋体" w:hAnsi="宋体" w:eastAsia="宋体" w:cs="宋体"/>
          <w:sz w:val="21"/>
          <w:szCs w:val="21"/>
          <w:lang w:val="en-US" w:eastAsia="zh-CN"/>
        </w:rPr>
        <w:t>1.碳信息披露分散，信息使用者难聚焦</w:t>
      </w:r>
      <w:bookmarkEnd w:id="2"/>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通过对铜陵有色碳信息披露的信息，发现信息披露没有条理性和独立性都夹杂在各种报表中。在年报中的环境和社会责任章节有一部分环境的信息，在财务报表附注中也有一部分的信息，碳信息散落在各个位置。在社会责任报告中，2020年能源消耗和碳排放在经济责任模块，2021年则在绿色发展模块。披露信息的位置具有随意性，需要信息使用者逐字逐句的寻找信息，很难在短时间内找到碳信息披露的信息，有的信息甚至重复出现在几个报表中，缺乏规范性和统一性。铜陵有色作为优秀的国有企业，它的披露方式可能在一定程度上影响其他制造企业，这对信息使用者来说，分散的会计信息加大了寻找数据难度，同时大大降低了信息使用者的效率。信息披露的不规范同样也导致了企业与企业之间不具有可比性。</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3" w:name="_Toc26714"/>
      <w:r>
        <w:rPr>
          <w:rFonts w:hint="eastAsia" w:ascii="宋体" w:hAnsi="宋体" w:eastAsia="宋体" w:cs="宋体"/>
          <w:sz w:val="21"/>
          <w:szCs w:val="21"/>
          <w:lang w:val="en-US" w:eastAsia="zh-CN"/>
        </w:rPr>
        <w:t>2.定性信息披露多，定量信息披露少</w:t>
      </w:r>
      <w:bookmarkEnd w:id="3"/>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年报中，相关环境整治措施和成果都是一些定性描述，比如一些环境政策及目标，极少有定量信息对此进行描述。定量信息主要是污染物排放和一些环保投资和环保收入，但是披露的都不全面。对自己不利的信息极少披露，乐于保存自己对环境保护投资做出贡献的信息，主观意愿占主导地位。在社会责任报告中，二氧化碳排放只是简单的描述了下降比，大段篇幅对减排措施进行描述。企业虽然在报告中多次提到花费了大量的人力物力和资金对低碳设备进行采购和改进（见附录3），但是却没有在财务报告中披露出具体的改进采购了哪些设备，总共耗费多少，低碳减排的管理披露多，碳管理之后的绩效披露少，所以总体缺乏充分的量化信息作为支撑。</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4" w:name="_Toc16173"/>
      <w:r>
        <w:rPr>
          <w:rFonts w:hint="eastAsia" w:ascii="宋体" w:hAnsi="宋体" w:eastAsia="宋体" w:cs="宋体"/>
          <w:sz w:val="21"/>
          <w:szCs w:val="21"/>
          <w:lang w:val="en-US" w:eastAsia="zh-CN"/>
        </w:rPr>
        <w:t>3.披露信息监管力度不够</w:t>
      </w:r>
      <w:bookmarkEnd w:id="4"/>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企业与政府利益是交叉的，企业发展的越好交的税也就越多，地方政府的财政收入也就越多，对于环境污染问题有的人熟视无睹。铜陵有色在安徽省国有控股企业中挺进十强。再有就是我国除了规定在招股说明书中必须披露环境相关信息，并没有相关的法律法规做出来硬性要求，只是提倡企业自愿披露，这就是一个监查盲区。所以有的企业并不在乎碳信息披露，自身信息披露的真实可靠性还有待进一步审查。我国也没有规范的审查标准，所以在第三方审计审查时对定量的信息没有标准，对定性的信息更是无从下手，所以就会忽略对碳信息这一部分的审查。铜陵有色在年报中披露了相关环境问题，只有2021年披露了处罚金额及整改措施，并没有对整改措施进行描述（见附录4）。我们大众也没有形成强烈的监督意识，外部也没有对环境信息具有丰富审计经验的审查机构对企业的社会责任报告进行审查。总体而言，我国的对碳信息监管力度不够。</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5" w:name="_Toc20675"/>
      <w:r>
        <w:rPr>
          <w:rFonts w:hint="eastAsia" w:ascii="宋体" w:hAnsi="宋体" w:eastAsia="宋体" w:cs="宋体"/>
          <w:sz w:val="21"/>
          <w:szCs w:val="21"/>
          <w:lang w:val="en-US" w:eastAsia="zh-CN"/>
        </w:rPr>
        <w:t>4.信息披露缺乏时效性和实用性</w:t>
      </w:r>
      <w:bookmarkEnd w:id="5"/>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铜陵有色的披露内容主要是根据以往的交易情况，包括以往的经营活动所涉及的有关问题，比如公司的运营、财务状况、所负的环保责任等。但公司在报告中并没有说明将来会发生的环境问题，也没有考虑到诸如环境债务之类的问题，使信息不具有前瞻性。企业的管理层更加关注未来企业有可能发生的环境风险，风险发生了该如何降低和转化，过于关注过去得不到管理层想要的经济效益。报告中专业术语较多且不加以解释，让信息使用者如果不是财务方面人员就无法理解，导致实用性不高。</w:t>
      </w:r>
      <w:bookmarkStart w:id="6" w:name="_Toc19972"/>
    </w:p>
    <w:bookmarkEnd w:id="6"/>
    <w:p>
      <w:pPr>
        <w:keepNext w:val="0"/>
        <w:keepLines w:val="0"/>
        <w:pageBreakBefore w:val="0"/>
        <w:kinsoku/>
        <w:wordWrap/>
        <w:overflowPunct/>
        <w:topLinePunct w:val="0"/>
        <w:bidi w:val="0"/>
        <w:adjustRightInd/>
        <w:snapToGrid/>
        <w:spacing w:after="0" w:line="480" w:lineRule="auto"/>
        <w:jc w:val="center"/>
        <w:textAlignment w:val="auto"/>
        <w:rPr>
          <w:rFonts w:hint="eastAsia"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优势分析</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表外披露方面，铜陵有色在企业年度报告和可持续发展报告中，都披露了铜陵有色新引进的碳减排设施与技术，已经实现的碳减排目标，并且在最近五年的年报都透露了防治污染设施的建设和运行情况，均严格按照国家要求对建设项目环保“三同时”要求，同步配套建设污染防治设施。且对突发环境事件进行了应急预案，重点排污单位如期完成年度环境保护目标考核任务。</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铜陵有色在年度报告中披露企业始终秉承“绿水青山就是金山银山”的绿色发展理念，积极践行清洁生产、绿色生态、低碳发展，将绿色低碳战略和循环经济融入企业日常生产中，以更高的标准、更严的要求、更多的行动推动生态文明建设，为绿水青山贡献企业力量。且铜陵有色积极倡导“倡双碳，减排放”（见附录5），明确双碳发展规划分四个阶段进行：第一阶段为碳达峰阶段，按照十四五规划开展节能减排项目，努力实现 2030年前碳达峰；第二阶段为碳排放稳步下降阶段，开展烟气二氧化碳捕集和化学转化利用技术，试点示范新型低碳冶金技术和生物质能发电供热等清洁能源利用技术，并继续挖掘节能减排潜力；第三阶段为大幅度减碳阶段，应用新型冶炼技术，示范开展并逐步推广应用生物质能捕集和二氧化碳化工利用等多种技术协同，大幅度挖掘减排潜力；第四阶段为深度脱碳阶段，大规模开展多技术协同减排，实现碳排放清零。</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于风险应对角度，铜陵有色在其2021年年度报告中披露公司环保优化升级步伐继续加快，不断推进环保设施升级改造，相继完成安庆、铜矿、铜冠电工公司3000吨铝线等环保工程建设并投入运行。坚持环保科技创新工作，建设推广和使用iVMS集中监控客户端平台，实现了重要环节因素监控系统化、智能化和可视化，结合铜陵市无废城市试点，推行互联网+危废监管模式，优先保证环保项目资金，保障了重点排污企业环保设施100%正常运行。</w:t>
      </w:r>
    </w:p>
    <w:p>
      <w:pPr>
        <w:keepNext w:val="0"/>
        <w:keepLines w:val="0"/>
        <w:pageBreakBefore w:val="0"/>
        <w:kinsoku/>
        <w:wordWrap/>
        <w:overflowPunct/>
        <w:topLinePunct w:val="0"/>
        <w:bidi w:val="0"/>
        <w:adjustRightInd/>
        <w:snapToGrid/>
        <w:spacing w:after="0" w:line="480" w:lineRule="auto"/>
        <w:jc w:val="center"/>
        <w:textAlignment w:val="auto"/>
        <w:outlineLvl w:val="1"/>
        <w:rPr>
          <w:rFonts w:hint="eastAsia" w:ascii="微软雅黑" w:hAnsi="微软雅黑" w:eastAsia="微软雅黑" w:cs="微软雅黑"/>
          <w:b w:val="0"/>
          <w:bCs w:val="0"/>
          <w:sz w:val="28"/>
          <w:szCs w:val="28"/>
          <w:lang w:val="en-US" w:eastAsia="zh-CN"/>
        </w:rPr>
      </w:pPr>
      <w:r>
        <w:rPr>
          <w:rFonts w:hint="eastAsia" w:ascii="微软雅黑" w:hAnsi="微软雅黑" w:eastAsia="微软雅黑" w:cs="微软雅黑"/>
          <w:b w:val="0"/>
          <w:bCs w:val="0"/>
          <w:sz w:val="28"/>
          <w:szCs w:val="28"/>
          <w:lang w:val="en-US" w:eastAsia="zh-CN"/>
        </w:rPr>
        <w:t>基于“双碳”的铜陵有色碳信息披露优化路径实施</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7" w:name="_Toc9281"/>
      <w:r>
        <w:rPr>
          <w:rFonts w:hint="eastAsia" w:ascii="宋体" w:hAnsi="宋体" w:eastAsia="宋体" w:cs="宋体"/>
          <w:sz w:val="21"/>
          <w:szCs w:val="21"/>
          <w:lang w:val="en-US" w:eastAsia="zh-CN"/>
        </w:rPr>
        <w:t>1.政府层面</w:t>
      </w:r>
      <w:bookmarkEnd w:id="7"/>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（1）构建完善的碳信息披露体系</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政府作为市场强有力的监管者，对市场中的企业表现有指导作用。当前，我国还没有对碳信息披露设立专门的法律法规，来约束企业披露行为，划定披露范围，这会导致一部分企业由于自身意识较低而选择性的忽视或对碳信息披露工作认识不到位。这对政府相关体系建设提出了更高的要求，随着碳排放在人群中的受关注度日益提高，完善健全的披露体系可以给企业提供良好的指引作用，是企业进行相关工作时的行动指南。2021年公布的《企业环境信息依法披露管理办法》中明确企业是环境信息依法披露的责任主体，这向社会传递了政府重视环境信息披露的积极信号。但是由于我国碳信息制度起步较晚，尚处于发展阶段，体系中有关规定还不明确，比如对企业披露范围的界定，描述的还比较笼统，不是很具体，这就导致企业在披露碳信息时不规范，披露质量差异较大。其次，针对碳排放情况不同的企业应该弹性设立不同的标准，比如对高碳企业的碳信息披露质量要求要更高，对于低碳企业的披露要求可以适度放宽。我国可以参考借鉴国际上较为成熟的披露框架，并结合我国国情，制定适合中国特色社会主义的可持续发展碳披露体系，从而提高企业碳治理水平，助推“双碳”目标实现。</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（2）加强碳信息披露监管制度</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国要求相关高污染行业强制披露碳信息，但是出于种种原因，可能导致企业存在侥幸心理，不重视、不作为、不真实的披露碳信息，这对整个碳市场发展和我国积极应对气候变化都会造成不利影响。以期避免这种影响造成的危害，有关部门可以视企业规模对违规不配合的企业设惩罚机制，加大违规成本，避免企业权衡下觉得违规成本较披露成本更低而选择承担罚款的情况。此外，可以设专人对接企业，主动为企业提供碳信息咨询，详细说明碳信息披露的内涵和效果，与此同时也对企业有一定监管作用，做制度和企业之间的桥梁。学术界现有的碳信息披露效果分析已经证实披露碳信息可以有利于企业绩 效的提升，在监管力度不足的情况下，很有可能导致投机者被一时利益蒙蔽而选择披露虚假、伪造碳信息，从而获得更多经济利益。为了维护资本市场的有序运行，政府应当积极承担起监管责任，设有司对碳信息披露质量的真实性进行审查，推进碳审计发展，保障企业披露信息的真实性、可靠性，同时为利益相关方做出正确决策提供信息保障。</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8" w:name="_Toc29111"/>
      <w:r>
        <w:rPr>
          <w:rFonts w:hint="eastAsia" w:ascii="宋体" w:hAnsi="宋体" w:eastAsia="宋体" w:cs="宋体"/>
          <w:sz w:val="21"/>
          <w:szCs w:val="21"/>
          <w:lang w:val="en-US" w:eastAsia="zh-CN"/>
        </w:rPr>
        <w:t>2.企业层面</w:t>
      </w:r>
      <w:bookmarkEnd w:id="8"/>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（1）提高碳信息披露意识</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加大环境保护的投入，铜陵有色作为国有企业碳信息披露水平应该更高。一方面，国有公司得到了政府的财政补助，另一方面，国有公司内部控制体系相对于其他公司来说更加完善，更加有利于投资者的信赖。而国有企业也更乐于响应政府的号召，成为环保行业的标杆。为了实现可持续发展目标，铜陵有色也应更积极响应国家号召，把握碳风险，抓住碳机遇，提高碳信息披露意识，改变对碳信息披露的固有印象，做好碳信息披露工作，为低碳转型做好准备。</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（2）完善ESG工作方面的管理体系</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铜陵有色可以进一步去完善ESG工作方面的管理体系，促进公司可持续发展，推动公司成为社会信赖的责任型企业。专门设立管理机构去领导ESG工作，对公司ESG目标、政策实施全面监督，具体去落实ESG工作，及时向上反馈实践情况，确保ESG工作高效运行。公司也可以通过交流培训等方式，去加强中高层管理人员对ESG的认知，推动员工树立和践行ESG发展理念，促进铜陵有色公司ESG整体能力提升。</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bookmarkStart w:id="9" w:name="_Toc20343"/>
      <w:r>
        <w:rPr>
          <w:rFonts w:hint="eastAsia" w:ascii="宋体" w:hAnsi="宋体" w:eastAsia="宋体" w:cs="宋体"/>
          <w:sz w:val="21"/>
          <w:szCs w:val="21"/>
          <w:lang w:val="en-US" w:eastAsia="zh-CN"/>
        </w:rPr>
        <w:t>3.社会层面</w:t>
      </w:r>
      <w:bookmarkEnd w:id="9"/>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（1）培养碳会计人才</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随着我国碳中和目标的提出和全国碳交易市场的正式启动，国家对于企业的碳减排情况越来越重视，市场对碳会计人才的需求也越来越大。专业的碳会计人才可以帮助企业建立规范的碳资产管理体系，有助于企业制定合理的碳减排目标，推进企业的碳减排工作，助力企业早日实现碳中和目标。为此，铜陵有色、当地政府与本省高校应该共同努力，加强环境会计专业建设，加大对环境会计的投资力度，培养具有适应时代要求的复合型人才。在一些财经类或拥有相关低碳教学基础的高校建立碳会计人才培养试点，开设碳会计专业，同时鼓励高校和企业开展合作交流，增强碳会计人才的实践操作能力，给企业的碳资产管理带去新的灵感。</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（2）接受公众监督</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铜陵有色也更应去接受公众监督，将更多的碳信息进行披露，基于很多研究已经证实碳信息的披露会对公司价值造成一定的影响，因此铜陵有色企业高层更应加强对企业有关碳信息的关注与监督，积极参与公司的低碳建设，提出低碳要求，这样有助于企业根据外部投资者的低碳需求，及时跟进企业的碳信息披露工作，提高碳信息披露水平。</w:t>
      </w:r>
    </w:p>
    <w:p>
      <w:pPr>
        <w:keepNext w:val="0"/>
        <w:keepLines w:val="0"/>
        <w:pageBreakBefore w:val="0"/>
        <w:widowControl/>
        <w:kinsoku/>
        <w:wordWrap/>
        <w:overflowPunct/>
        <w:topLinePunct w:val="0"/>
        <w:bidi w:val="0"/>
        <w:adjustRightInd/>
        <w:snapToGrid/>
        <w:spacing w:after="0"/>
        <w:jc w:val="center"/>
        <w:textAlignment w:val="auto"/>
        <w:rPr>
          <w:rFonts w:hint="eastAsia" w:ascii="微软雅黑" w:hAnsi="微软雅黑" w:eastAsia="微软雅黑" w:cs="微软雅黑"/>
          <w:sz w:val="28"/>
          <w:szCs w:val="28"/>
        </w:rPr>
      </w:pPr>
      <w:r>
        <w:rPr>
          <w:rFonts w:hint="eastAsia" w:ascii="微软雅黑" w:hAnsi="微软雅黑" w:eastAsia="微软雅黑" w:cs="微软雅黑"/>
          <w:sz w:val="28"/>
          <w:szCs w:val="28"/>
        </w:rPr>
        <w:t>实施效果</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对比铜陵有色2021与2022年的碳信息披露内容，发现碳中和视角下公司碳信息披露质量有所提升，在各项目的披露内容上更加具体，如明确了公司 ESG 管理组织的责任，积极响应碳减排政策，制定碳减排目标，更加重视低碳研发等等。</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碳”背景下，短期内铜陵有色积极的碳信息披露有助于提升公司价值，而消极的碳信息披露会抑制公司的价值；从长期来看，碳信息披露可以明显提升公司价值，“双碳”战略背景下，碳信息披露质量的提升明显增加了公司价值。</w:t>
      </w:r>
    </w:p>
    <w:p>
      <w:pPr>
        <w:keepNext w:val="0"/>
        <w:keepLines w:val="0"/>
        <w:pageBreakBefore w:val="0"/>
        <w:widowControl/>
        <w:kinsoku/>
        <w:wordWrap/>
        <w:overflowPunct/>
        <w:topLinePunct w:val="0"/>
        <w:bidi w:val="0"/>
        <w:adjustRightInd/>
        <w:snapToGrid/>
        <w:spacing w:after="0"/>
        <w:jc w:val="center"/>
        <w:textAlignment w:val="auto"/>
        <w:outlineLvl w:val="0"/>
        <w:rPr>
          <w:rFonts w:hint="eastAsia" w:ascii="微软雅黑" w:hAnsi="微软雅黑" w:eastAsia="微软雅黑" w:cs="微软雅黑"/>
          <w:sz w:val="28"/>
          <w:szCs w:val="28"/>
          <w:lang w:val="en-US" w:eastAsia="zh-CN"/>
        </w:rPr>
      </w:pPr>
      <w:bookmarkStart w:id="10" w:name="_Toc18941"/>
      <w:r>
        <w:rPr>
          <w:rFonts w:hint="eastAsia" w:ascii="微软雅黑" w:hAnsi="微软雅黑" w:eastAsia="微软雅黑" w:cs="微软雅黑"/>
          <w:sz w:val="28"/>
          <w:szCs w:val="28"/>
          <w:lang w:val="en-US" w:eastAsia="zh-CN"/>
        </w:rPr>
        <w:t>铜陵有色碳信息披露未来展望</w:t>
      </w:r>
      <w:bookmarkEnd w:id="10"/>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碳”是外部环境与内部需求共同作用下的重要战略，对我国有深刻的意义。它可以让我国主动迎接全球能源革命进程，倒逼自身产业转型升级，提高经济增长质量，也能打破单边主义，为我国赢得国际声誉，是符合国家安全和可持续发展战略的必然路径。企业的碳会计信息对各类信息使用者来说尤为重要。对于企业自身来说，碳会计信息披露不仅是其履行社会责任的证明，也是让企业收获公众信任，树立良好形象的途径之一。</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双碳”目标的提出给铜陵有色低碳发展带来了新的挑战，需要企业不断进行自身技术创新升级，加快低碳转型步伐，并且披露高质量的碳会计信息。在“双碳”时代下，铜陵有色将更加规范碳交易活动，注重所披露的碳信息质量，实现履行企业社会责任与提升企业绩效的良性互动。</w:t>
      </w:r>
    </w:p>
    <w:p>
      <w:pPr>
        <w:keepNext w:val="0"/>
        <w:keepLines w:val="0"/>
        <w:pageBreakBefore w:val="0"/>
        <w:numPr>
          <w:ilvl w:val="0"/>
          <w:numId w:val="0"/>
        </w:numPr>
        <w:kinsoku/>
        <w:wordWrap/>
        <w:overflowPunct/>
        <w:topLinePunct w:val="0"/>
        <w:bidi w:val="0"/>
        <w:adjustRightInd/>
        <w:snapToGrid/>
        <w:spacing w:after="0"/>
        <w:ind w:leftChars="0"/>
        <w:jc w:val="center"/>
        <w:textAlignment w:val="auto"/>
        <w:rPr>
          <w:rFonts w:hint="eastAsia" w:ascii="宋体" w:hAnsi="宋体" w:eastAsia="宋体" w:cs="宋体"/>
          <w:b/>
          <w:bCs/>
          <w:sz w:val="21"/>
          <w:szCs w:val="21"/>
          <w:lang w:val="en-US" w:eastAsia="zh-CN"/>
        </w:rPr>
      </w:pP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附录：</w:t>
      </w: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（资料皆来源于铜陵有色公司年报与环境责任报告）</w:t>
      </w: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附录1  铜陵有色碳信息披露渠道示意图</w:t>
      </w: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r>
        <w:rPr>
          <w:rFonts w:hint="eastAsia" w:ascii="宋体" w:hAnsi="宋体" w:eastAsia="宋体" w:cs="宋体"/>
          <w:sz w:val="21"/>
          <w:szCs w:val="21"/>
        </w:rPr>
        <w:drawing>
          <wp:anchor distT="0" distB="0" distL="114300" distR="114300" simplePos="0" relativeHeight="251660288" behindDoc="1" locked="0" layoutInCell="1" allowOverlap="1">
            <wp:simplePos x="0" y="0"/>
            <wp:positionH relativeFrom="column">
              <wp:posOffset>-421640</wp:posOffset>
            </wp:positionH>
            <wp:positionV relativeFrom="paragraph">
              <wp:posOffset>190500</wp:posOffset>
            </wp:positionV>
            <wp:extent cx="5944235" cy="1970405"/>
            <wp:effectExtent l="0" t="0" r="18415" b="29845"/>
            <wp:wrapTight wrapText="bothSides">
              <wp:wrapPolygon>
                <wp:start x="0" y="0"/>
                <wp:lineTo x="0" y="21510"/>
                <wp:lineTo x="21563" y="21510"/>
                <wp:lineTo x="21563" y="0"/>
                <wp:lineTo x="0" y="0"/>
              </wp:wrapPolygon>
            </wp:wrapTight>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7"/>
                    <a:stretch>
                      <a:fillRect/>
                    </a:stretch>
                  </pic:blipFill>
                  <pic:spPr>
                    <a:xfrm>
                      <a:off x="0" y="0"/>
                      <a:ext cx="5944235" cy="1970405"/>
                    </a:xfrm>
                    <a:prstGeom prst="rect">
                      <a:avLst/>
                    </a:prstGeom>
                    <a:noFill/>
                    <a:ln w="9525">
                      <a:noFill/>
                    </a:ln>
                  </pic:spPr>
                </pic:pic>
              </a:graphicData>
            </a:graphic>
          </wp:anchor>
        </w:drawing>
      </w: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附录2  铜陵有色污染物排放遵循的法律法规</w:t>
      </w:r>
    </w:p>
    <w:p>
      <w:pPr>
        <w:keepNext w:val="0"/>
        <w:keepLines w:val="0"/>
        <w:pageBreakBefore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污染物排放相关法律法规</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5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091"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年份</w:t>
            </w:r>
          </w:p>
        </w:tc>
        <w:tc>
          <w:tcPr>
            <w:tcW w:w="5888"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污染物排放相关法律法规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091"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2011年</w:t>
            </w:r>
          </w:p>
        </w:tc>
        <w:tc>
          <w:tcPr>
            <w:tcW w:w="5888"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color w:val="000000"/>
                <w:sz w:val="21"/>
                <w:szCs w:val="21"/>
              </w:rPr>
              <w:t>火电厂大气污染物排放标准</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091"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1996年</w:t>
            </w:r>
          </w:p>
        </w:tc>
        <w:tc>
          <w:tcPr>
            <w:tcW w:w="5888"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color w:val="000000"/>
                <w:sz w:val="21"/>
                <w:szCs w:val="21"/>
              </w:rPr>
              <w:t>大气污染物综合排放标准</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091"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2020年</w:t>
            </w:r>
          </w:p>
        </w:tc>
        <w:tc>
          <w:tcPr>
            <w:tcW w:w="5888"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《铜、镍、钴工业污染物排放标准》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091"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1996年</w:t>
            </w:r>
          </w:p>
        </w:tc>
        <w:tc>
          <w:tcPr>
            <w:tcW w:w="5888"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《污水综合排放标准》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091"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2010年</w:t>
            </w:r>
          </w:p>
        </w:tc>
        <w:tc>
          <w:tcPr>
            <w:tcW w:w="5888"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《硫酸工业污染物排放标准》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2091"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2008年</w:t>
            </w:r>
          </w:p>
        </w:tc>
        <w:tc>
          <w:tcPr>
            <w:tcW w:w="5888"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《电镀污染物排放标准》</w:t>
            </w:r>
          </w:p>
        </w:tc>
      </w:tr>
    </w:tbl>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附录3 铜陵有色环保相关投入</w:t>
      </w:r>
    </w:p>
    <w:p>
      <w:pPr>
        <w:keepNext w:val="0"/>
        <w:keepLines w:val="0"/>
        <w:pageBreakBefore w:val="0"/>
        <w:kinsoku/>
        <w:wordWrap/>
        <w:overflowPunct/>
        <w:topLinePunct w:val="0"/>
        <w:bidi w:val="0"/>
        <w:adjustRightInd/>
        <w:snapToGrid/>
        <w:spacing w:after="0"/>
        <w:jc w:val="center"/>
        <w:textAlignment w:val="auto"/>
        <w:rPr>
          <w:rFonts w:hint="eastAsia" w:ascii="宋体" w:hAnsi="宋体" w:eastAsia="宋体" w:cs="宋体"/>
          <w:b/>
          <w:sz w:val="21"/>
          <w:szCs w:val="21"/>
        </w:rPr>
      </w:pPr>
      <w:r>
        <w:rPr>
          <w:rFonts w:hint="eastAsia" w:ascii="宋体" w:hAnsi="宋体" w:eastAsia="宋体" w:cs="宋体"/>
          <w:sz w:val="21"/>
          <w:szCs w:val="21"/>
        </w:rPr>
        <w:drawing>
          <wp:inline distT="0" distB="0" distL="114300" distR="114300">
            <wp:extent cx="4837430" cy="1747520"/>
            <wp:effectExtent l="4445" t="4445" r="6350" b="1016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 xml:space="preserve"> 2018-2021</w:t>
      </w:r>
      <w:r>
        <w:rPr>
          <w:rFonts w:hint="eastAsia" w:ascii="宋体" w:hAnsi="宋体" w:eastAsia="宋体" w:cs="宋体"/>
          <w:sz w:val="21"/>
          <w:szCs w:val="21"/>
          <w:lang w:val="en-US" w:eastAsia="zh-CN"/>
        </w:rPr>
        <w:t>铜陵有色</w:t>
      </w:r>
      <w:r>
        <w:rPr>
          <w:rFonts w:hint="eastAsia" w:ascii="宋体" w:hAnsi="宋体" w:eastAsia="宋体" w:cs="宋体"/>
          <w:sz w:val="21"/>
          <w:szCs w:val="21"/>
        </w:rPr>
        <w:t>环保投资额</w:t>
      </w:r>
    </w:p>
    <w:p>
      <w:pPr>
        <w:keepNext w:val="0"/>
        <w:keepLines w:val="0"/>
        <w:pageBreakBefore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p>
    <w:p>
      <w:pPr>
        <w:keepNext w:val="0"/>
        <w:keepLines w:val="0"/>
        <w:pageBreakBefore w:val="0"/>
        <w:kinsoku/>
        <w:wordWrap/>
        <w:overflowPunct/>
        <w:topLinePunct w:val="0"/>
        <w:bidi w:val="0"/>
        <w:adjustRightInd/>
        <w:snapToGrid/>
        <w:spacing w:after="0"/>
        <w:textAlignment w:val="auto"/>
        <w:rPr>
          <w:rFonts w:hint="eastAsia" w:ascii="宋体" w:hAnsi="宋体" w:eastAsia="宋体" w:cs="宋体"/>
          <w:b/>
          <w:sz w:val="21"/>
          <w:szCs w:val="21"/>
        </w:rPr>
      </w:pPr>
      <w:r>
        <w:rPr>
          <w:rFonts w:hint="eastAsia" w:ascii="宋体" w:hAnsi="宋体" w:eastAsia="宋体" w:cs="宋体"/>
          <w:sz w:val="21"/>
          <w:szCs w:val="21"/>
        </w:rPr>
        <w:drawing>
          <wp:inline distT="0" distB="0" distL="114300" distR="114300">
            <wp:extent cx="5069205" cy="2729230"/>
            <wp:effectExtent l="4445" t="4445" r="1270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2018-2021铜陵有色管理费用及税费情况（单位：万）</w:t>
      </w: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附录4 铜陵有色关于环境问题的行政处罚</w:t>
      </w:r>
    </w:p>
    <w:p>
      <w:pPr>
        <w:keepNext w:val="0"/>
        <w:keepLines w:val="0"/>
        <w:pageBreakBefore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表 5-4铜陵有色关于环境问题的行政处罚</w:t>
      </w:r>
    </w:p>
    <w:tbl>
      <w:tblPr>
        <w:tblStyle w:val="7"/>
        <w:tblW w:w="8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4"/>
        <w:gridCol w:w="4078"/>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974"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时间</w:t>
            </w:r>
          </w:p>
        </w:tc>
        <w:tc>
          <w:tcPr>
            <w:tcW w:w="4078"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处罚事件</w:t>
            </w:r>
          </w:p>
        </w:tc>
        <w:tc>
          <w:tcPr>
            <w:tcW w:w="2287"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处罚金额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974" w:type="dxa"/>
            <w:vMerge w:val="restart"/>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2021</w:t>
            </w:r>
          </w:p>
        </w:tc>
        <w:tc>
          <w:tcPr>
            <w:tcW w:w="4078" w:type="dxa"/>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厂区原矿仓下料口区域未有效密闭，现有除尘设施老化，存在粉尘无组织排放。</w:t>
            </w:r>
          </w:p>
        </w:tc>
        <w:tc>
          <w:tcPr>
            <w:tcW w:w="2287"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3.98万元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974" w:type="dxa"/>
            <w:vMerge w:val="continue"/>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p>
        </w:tc>
        <w:tc>
          <w:tcPr>
            <w:tcW w:w="4078" w:type="dxa"/>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雨水样总砷、化学需氧量超标</w:t>
            </w:r>
          </w:p>
        </w:tc>
        <w:tc>
          <w:tcPr>
            <w:tcW w:w="2287" w:type="dxa"/>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1974" w:type="dxa"/>
            <w:vMerge w:val="restart"/>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2020</w:t>
            </w:r>
          </w:p>
        </w:tc>
        <w:tc>
          <w:tcPr>
            <w:tcW w:w="4078" w:type="dxa"/>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循环水池为采取防渗漏措施</w:t>
            </w:r>
          </w:p>
        </w:tc>
        <w:tc>
          <w:tcPr>
            <w:tcW w:w="2287" w:type="dxa"/>
            <w:vMerge w:val="restart"/>
          </w:tcPr>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bidi w:val="0"/>
              <w:adjustRightInd/>
              <w:snapToGrid/>
              <w:spacing w:after="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未披露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974" w:type="dxa"/>
            <w:vMerge w:val="continue"/>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p>
        </w:tc>
        <w:tc>
          <w:tcPr>
            <w:tcW w:w="4078" w:type="dxa"/>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超标废水排放</w:t>
            </w:r>
          </w:p>
        </w:tc>
        <w:tc>
          <w:tcPr>
            <w:tcW w:w="2287" w:type="dxa"/>
            <w:vMerge w:val="continue"/>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974" w:type="dxa"/>
            <w:vMerge w:val="continue"/>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p>
        </w:tc>
        <w:tc>
          <w:tcPr>
            <w:tcW w:w="4078" w:type="dxa"/>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危废暂存库外、重介质车间废矿物油桶露天堆放</w:t>
            </w:r>
          </w:p>
        </w:tc>
        <w:tc>
          <w:tcPr>
            <w:tcW w:w="2287" w:type="dxa"/>
            <w:vMerge w:val="continue"/>
          </w:tcPr>
          <w:p>
            <w:pPr>
              <w:keepNext w:val="0"/>
              <w:keepLines w:val="0"/>
              <w:pageBreakBefore w:val="0"/>
              <w:widowControl w:val="0"/>
              <w:kinsoku/>
              <w:wordWrap/>
              <w:overflowPunct/>
              <w:topLinePunct w:val="0"/>
              <w:bidi w:val="0"/>
              <w:adjustRightInd/>
              <w:snapToGrid/>
              <w:spacing w:after="0" w:line="360" w:lineRule="exact"/>
              <w:jc w:val="left"/>
              <w:textAlignment w:val="auto"/>
              <w:rPr>
                <w:rFonts w:hint="eastAsia" w:ascii="宋体" w:hAnsi="宋体" w:eastAsia="宋体" w:cs="宋体"/>
                <w:sz w:val="21"/>
                <w:szCs w:val="21"/>
              </w:rPr>
            </w:pPr>
          </w:p>
        </w:tc>
      </w:tr>
    </w:tbl>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附录5 铜陵有色节约标准煤和电力情况</w:t>
      </w:r>
    </w:p>
    <w:p>
      <w:pPr>
        <w:keepNext w:val="0"/>
        <w:keepLines w:val="0"/>
        <w:pageBreakBefore w:val="0"/>
        <w:tabs>
          <w:tab w:val="left" w:pos="4830"/>
        </w:tabs>
        <w:kinsoku/>
        <w:wordWrap/>
        <w:overflowPunct/>
        <w:topLinePunct w:val="0"/>
        <w:bidi w:val="0"/>
        <w:adjustRightInd/>
        <w:snapToGrid/>
        <w:spacing w:after="0"/>
        <w:jc w:val="right"/>
        <w:textAlignment w:val="auto"/>
        <w:rPr>
          <w:rFonts w:hint="eastAsia" w:ascii="宋体" w:hAnsi="宋体" w:eastAsia="宋体" w:cs="宋体"/>
          <w:b w:val="0"/>
          <w:bCs w:val="0"/>
          <w:sz w:val="21"/>
          <w:szCs w:val="21"/>
          <w:lang w:val="en-US" w:eastAsia="zh-CN"/>
        </w:rPr>
      </w:pPr>
      <w:r>
        <w:rPr>
          <w:rFonts w:hint="eastAsia" w:ascii="宋体" w:hAnsi="宋体" w:eastAsia="宋体" w:cs="宋体"/>
          <w:sz w:val="21"/>
          <w:szCs w:val="21"/>
        </w:rPr>
        <w:drawing>
          <wp:inline distT="0" distB="0" distL="114300" distR="114300">
            <wp:extent cx="5292725" cy="1787525"/>
            <wp:effectExtent l="4445" t="4445" r="8255" b="825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numPr>
          <w:ilvl w:val="0"/>
          <w:numId w:val="0"/>
        </w:numPr>
        <w:kinsoku/>
        <w:wordWrap/>
        <w:overflowPunct/>
        <w:topLinePunct w:val="0"/>
        <w:bidi w:val="0"/>
        <w:adjustRightInd/>
        <w:snapToGrid/>
        <w:spacing w:after="0"/>
        <w:ind w:leftChars="0"/>
        <w:jc w:val="both"/>
        <w:textAlignment w:val="auto"/>
        <w:rPr>
          <w:rFonts w:hint="eastAsia" w:ascii="宋体" w:hAnsi="宋体" w:eastAsia="宋体" w:cs="宋体"/>
          <w:b/>
          <w:bCs/>
          <w:sz w:val="21"/>
          <w:szCs w:val="21"/>
          <w:lang w:val="en-US" w:eastAsia="zh-CN"/>
        </w:rPr>
      </w:pPr>
    </w:p>
    <w:p>
      <w:pPr>
        <w:pStyle w:val="2"/>
        <w:bidi w:val="0"/>
        <w:jc w:val="center"/>
        <w:rPr>
          <w:rFonts w:hint="eastAsia"/>
        </w:rPr>
      </w:pPr>
      <w:bookmarkStart w:id="11" w:name="_Toc11405"/>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2"/>
        <w:bidi w:val="0"/>
        <w:jc w:val="both"/>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bidi w:val="0"/>
        <w:jc w:val="center"/>
        <w:rPr>
          <w:rFonts w:hint="eastAsia" w:ascii="微软雅黑" w:hAnsi="微软雅黑" w:eastAsia="微软雅黑" w:cs="微软雅黑"/>
          <w:b/>
          <w:bCs/>
          <w:sz w:val="36"/>
          <w:szCs w:val="36"/>
          <w:lang w:val="en-US" w:eastAsia="zh-CN"/>
        </w:rPr>
      </w:pPr>
      <w:r>
        <w:rPr>
          <w:rFonts w:hint="eastAsia" w:ascii="微软雅黑" w:hAnsi="微软雅黑" w:eastAsia="微软雅黑" w:cs="微软雅黑"/>
          <w:b/>
          <w:bCs/>
          <w:sz w:val="36"/>
          <w:szCs w:val="36"/>
          <w:lang w:val="en-US" w:eastAsia="zh-CN"/>
        </w:rPr>
        <w:t>《铜陵有色：“双碳”目标下碳信息披露的优化路径</w:t>
      </w:r>
      <w:bookmarkEnd w:id="11"/>
      <w:bookmarkStart w:id="19" w:name="_GoBack"/>
      <w:r>
        <w:rPr>
          <w:rFonts w:hint="eastAsia" w:ascii="微软雅黑" w:hAnsi="微软雅黑" w:eastAsia="微软雅黑" w:cs="微软雅黑"/>
          <w:b/>
          <w:bCs/>
          <w:sz w:val="36"/>
          <w:szCs w:val="36"/>
          <w:lang w:val="en-US" w:eastAsia="zh-CN"/>
        </w:rPr>
        <w:t>》</w:t>
      </w:r>
      <w:bookmarkEnd w:id="19"/>
    </w:p>
    <w:p>
      <w:pPr>
        <w:bidi w:val="0"/>
        <w:jc w:val="center"/>
        <w:rPr>
          <w:rFonts w:hint="eastAsia" w:ascii="微软雅黑" w:hAnsi="微软雅黑" w:eastAsia="微软雅黑" w:cs="微软雅黑"/>
          <w:b/>
          <w:bCs/>
          <w:sz w:val="36"/>
          <w:szCs w:val="36"/>
          <w:lang w:val="en-US" w:eastAsia="zh-CN"/>
        </w:rPr>
      </w:pPr>
      <w:bookmarkStart w:id="12" w:name="_Toc9765"/>
      <w:r>
        <w:rPr>
          <w:rFonts w:hint="eastAsia" w:ascii="微软雅黑" w:hAnsi="微软雅黑" w:eastAsia="微软雅黑" w:cs="微软雅黑"/>
          <w:b/>
          <w:bCs/>
          <w:sz w:val="36"/>
          <w:szCs w:val="36"/>
          <w:lang w:val="en-US" w:eastAsia="zh-CN"/>
        </w:rPr>
        <w:t>教学说明</w:t>
      </w:r>
      <w:bookmarkEnd w:id="12"/>
    </w:p>
    <w:p>
      <w:pPr>
        <w:pStyle w:val="5"/>
        <w:keepNext w:val="0"/>
        <w:keepLines w:val="0"/>
        <w:pageBreakBefore w:val="0"/>
        <w:widowControl/>
        <w:suppressLineNumbers w:val="0"/>
        <w:kinsoku/>
        <w:wordWrap/>
        <w:overflowPunct/>
        <w:topLinePunct w:val="0"/>
        <w:bidi w:val="0"/>
        <w:adjustRightInd/>
        <w:snapToGrid/>
        <w:spacing w:beforeAutospacing="0" w:after="0" w:afterAutospacing="0"/>
        <w:ind w:left="0" w:right="0" w:firstLine="0"/>
        <w:jc w:val="center"/>
        <w:textAlignment w:val="auto"/>
        <w:rPr>
          <w:rFonts w:hint="eastAsia" w:ascii="宋体" w:hAnsi="宋体" w:eastAsia="宋体" w:cs="宋体"/>
          <w:b/>
          <w:bCs/>
          <w:sz w:val="21"/>
          <w:szCs w:val="21"/>
          <w:lang w:val="en-US" w:eastAsia="zh-CN"/>
        </w:rPr>
      </w:pPr>
    </w:p>
    <w:p>
      <w:pPr>
        <w:pStyle w:val="5"/>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right="0" w:firstLine="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案例概要</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sz w:val="21"/>
          <w:szCs w:val="21"/>
        </w:rPr>
        <w:drawing>
          <wp:anchor distT="0" distB="0" distL="114300" distR="114300" simplePos="0" relativeHeight="251661312" behindDoc="1" locked="0" layoutInCell="1" allowOverlap="1">
            <wp:simplePos x="0" y="0"/>
            <wp:positionH relativeFrom="column">
              <wp:posOffset>4010025</wp:posOffset>
            </wp:positionH>
            <wp:positionV relativeFrom="paragraph">
              <wp:posOffset>311785</wp:posOffset>
            </wp:positionV>
            <wp:extent cx="1284605" cy="2034540"/>
            <wp:effectExtent l="0" t="0" r="1270" b="3810"/>
            <wp:wrapTight wrapText="bothSides">
              <wp:wrapPolygon>
                <wp:start x="0" y="0"/>
                <wp:lineTo x="0" y="21539"/>
                <wp:lineTo x="21461" y="21539"/>
                <wp:lineTo x="21461" y="0"/>
                <wp:lineTo x="0" y="0"/>
              </wp:wrapPolygon>
            </wp:wrapTigh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lum bright="-6000"/>
                    </a:blip>
                    <a:stretch>
                      <a:fillRect/>
                    </a:stretch>
                  </pic:blipFill>
                  <pic:spPr>
                    <a:xfrm>
                      <a:off x="0" y="0"/>
                      <a:ext cx="1284605" cy="2034540"/>
                    </a:xfrm>
                    <a:prstGeom prst="rect">
                      <a:avLst/>
                    </a:prstGeom>
                    <a:noFill/>
                    <a:ln>
                      <a:noFill/>
                    </a:ln>
                  </pic:spPr>
                </pic:pic>
              </a:graphicData>
            </a:graphic>
          </wp:anchor>
        </w:drawing>
      </w:r>
      <w:r>
        <w:rPr>
          <w:rFonts w:hint="eastAsia" w:ascii="宋体" w:hAnsi="宋体" w:eastAsia="宋体" w:cs="宋体"/>
          <w:i w:val="0"/>
          <w:iCs w:val="0"/>
          <w:caps w:val="0"/>
          <w:color w:val="000000"/>
          <w:spacing w:val="0"/>
          <w:sz w:val="21"/>
          <w:szCs w:val="21"/>
          <w:shd w:val="clear" w:fill="FFFFFF"/>
        </w:rPr>
        <w:t>铜陵有色于1949年12月由中央决定恢复建设，1952年6月正式投产，是新中国最早建设起来的铜工业基地，中国铜工业的摇篮，先后建成了新中国第一座铜矿，自行设计建造了新中国第一座铜冶炼厂、第一座机械化露天铜矿等。经过70多年的建设，铜陵有色集团现已发展成为以有色金属及非金属采选、冶炼、加工和以金融贸易为核心的现代服务业为主业，集精细化工、科研设计、建筑安装、井巷施工等相关产业多元化发展的大型企业集团。</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i w:val="0"/>
          <w:iCs w:val="0"/>
          <w:caps w:val="0"/>
          <w:color w:val="333333"/>
          <w:spacing w:val="0"/>
          <w:sz w:val="21"/>
          <w:szCs w:val="21"/>
          <w:shd w:val="clear" w:fill="FFFFFF"/>
        </w:rPr>
        <w:t>“十四五”期间，</w:t>
      </w:r>
      <w:r>
        <w:rPr>
          <w:rFonts w:hint="eastAsia" w:ascii="宋体" w:hAnsi="宋体" w:eastAsia="宋体" w:cs="宋体"/>
          <w:i w:val="0"/>
          <w:iCs w:val="0"/>
          <w:caps w:val="0"/>
          <w:color w:val="333333"/>
          <w:spacing w:val="0"/>
          <w:sz w:val="21"/>
          <w:szCs w:val="21"/>
          <w:shd w:val="clear" w:fill="FFFFFF"/>
          <w:lang w:val="en-US" w:eastAsia="zh-CN"/>
        </w:rPr>
        <w:t>铜陵有色</w:t>
      </w:r>
      <w:r>
        <w:rPr>
          <w:rFonts w:hint="eastAsia" w:ascii="宋体" w:hAnsi="宋体" w:eastAsia="宋体" w:cs="宋体"/>
          <w:i w:val="0"/>
          <w:iCs w:val="0"/>
          <w:caps w:val="0"/>
          <w:color w:val="333333"/>
          <w:spacing w:val="0"/>
          <w:sz w:val="21"/>
          <w:szCs w:val="21"/>
          <w:shd w:val="clear" w:fill="FFFFFF"/>
        </w:rPr>
        <w:t>坚持稳中求进工作总基调，以推动高质量发展为主题，积极响应国家政策，将碳中和纳入企业发展战略总体布局，不断巩固深入落实节能减排、绿色转型路径，并取得了较好的成果。在国家</w:t>
      </w:r>
      <w:r>
        <w:rPr>
          <w:rFonts w:hint="eastAsia" w:ascii="宋体" w:hAnsi="宋体" w:eastAsia="宋体" w:cs="宋体"/>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lang w:val="en-US" w:eastAsia="zh-CN"/>
        </w:rPr>
        <w:t>双碳</w:t>
      </w:r>
      <w:r>
        <w:rPr>
          <w:rFonts w:hint="eastAsia" w:ascii="宋体" w:hAnsi="宋体" w:eastAsia="宋体" w:cs="宋体"/>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rPr>
        <w:t>目标提出后，</w:t>
      </w:r>
      <w:r>
        <w:rPr>
          <w:rFonts w:hint="eastAsia" w:ascii="宋体" w:hAnsi="宋体" w:eastAsia="宋体" w:cs="宋体"/>
          <w:i w:val="0"/>
          <w:iCs w:val="0"/>
          <w:caps w:val="0"/>
          <w:color w:val="333333"/>
          <w:spacing w:val="0"/>
          <w:sz w:val="21"/>
          <w:szCs w:val="21"/>
          <w:shd w:val="clear" w:fill="FFFFFF"/>
          <w:lang w:val="en-US" w:eastAsia="zh-CN"/>
        </w:rPr>
        <w:t>铜陵有色</w:t>
      </w:r>
      <w:r>
        <w:rPr>
          <w:rFonts w:hint="eastAsia" w:ascii="宋体" w:hAnsi="宋体" w:eastAsia="宋体" w:cs="宋体"/>
          <w:i w:val="0"/>
          <w:iCs w:val="0"/>
          <w:caps w:val="0"/>
          <w:color w:val="333333"/>
          <w:spacing w:val="0"/>
          <w:sz w:val="21"/>
          <w:szCs w:val="21"/>
          <w:shd w:val="clear" w:fill="FFFFFF"/>
        </w:rPr>
        <w:t>针对企业发展现状提出企业自身的双碳战略规划，力争实现“碳中和”目标。</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在课程中的定位</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本案例可以用于《财务管理》、《管理会计》课程，针对双碳、碳信息披露等话题</w:t>
      </w:r>
      <w:r>
        <w:rPr>
          <w:rFonts w:hint="eastAsia" w:ascii="宋体" w:hAnsi="宋体" w:eastAsia="宋体" w:cs="宋体"/>
          <w:sz w:val="21"/>
          <w:szCs w:val="21"/>
        </w:rPr>
        <w:t>进行讨论，适用于会计学、财务管理、审计</w:t>
      </w:r>
      <w:r>
        <w:rPr>
          <w:rFonts w:hint="eastAsia" w:ascii="宋体" w:hAnsi="宋体" w:eastAsia="宋体" w:cs="宋体"/>
          <w:sz w:val="21"/>
          <w:szCs w:val="21"/>
          <w:lang w:val="en-US" w:eastAsia="zh-CN"/>
        </w:rPr>
        <w:t>学</w:t>
      </w:r>
      <w:r>
        <w:rPr>
          <w:rFonts w:hint="eastAsia" w:ascii="宋体" w:hAnsi="宋体" w:eastAsia="宋体" w:cs="宋体"/>
          <w:sz w:val="21"/>
          <w:szCs w:val="21"/>
        </w:rPr>
        <w:t>等专业本科生</w:t>
      </w:r>
      <w:r>
        <w:rPr>
          <w:rFonts w:hint="eastAsia" w:ascii="宋体" w:hAnsi="宋体" w:eastAsia="宋体" w:cs="宋体"/>
          <w:sz w:val="21"/>
          <w:szCs w:val="21"/>
          <w:lang w:val="en-US" w:eastAsia="zh-CN"/>
        </w:rPr>
        <w:t>以及企业管理人员</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学习目标</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1.学习国内上市公司碳信息披露现状；</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2.分析铜陵有色进行碳信息披露存在的问题及解决对策；</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3.思考如何提高企业碳信息披露的自主性，完善相关披露内容，提高碳信息披露质量。</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相关阅读资料</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outlineLvl w:val="0"/>
        <w:rPr>
          <w:rFonts w:hint="eastAsia" w:ascii="宋体" w:hAnsi="宋体" w:eastAsia="宋体" w:cs="宋体"/>
          <w:sz w:val="21"/>
          <w:szCs w:val="21"/>
          <w:lang w:val="en-US" w:eastAsia="zh-CN"/>
        </w:rPr>
      </w:pPr>
      <w:bookmarkStart w:id="13" w:name="_Toc20080"/>
      <w:r>
        <w:rPr>
          <w:rFonts w:hint="eastAsia" w:ascii="宋体" w:hAnsi="宋体" w:eastAsia="宋体" w:cs="宋体"/>
          <w:sz w:val="21"/>
          <w:szCs w:val="21"/>
          <w:lang w:val="en-US" w:eastAsia="zh-CN"/>
        </w:rPr>
        <w:t>1.生态环境部.环境信息披露管理办法[S].2021.12.</w:t>
      </w:r>
      <w:bookmarkEnd w:id="13"/>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2.彭屹松,伍中信.“双碳”目标下控排企业碳信息披露优化路径研究[J].财会通讯,2023(17):16-19.</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3.蒋琰，唐清亮.会计视角下的碳信息披露：研究综述与展望[J].财务管理研究，2021（12）：1-16.</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4.阳秋林，刘婕“. 双碳”目标下我国企业碳绩效评价指标体系构建探析[J].财务与会计，2022（3）：57-60.</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讨论问题</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1.铜陵有色进行碳信息披露的背景是什么？</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“双碳”目标下</w:t>
      </w:r>
      <w:r>
        <w:rPr>
          <w:rFonts w:hint="eastAsia" w:ascii="宋体" w:hAnsi="宋体" w:eastAsia="宋体" w:cs="宋体"/>
          <w:sz w:val="21"/>
          <w:szCs w:val="21"/>
          <w:lang w:val="en-US" w:eastAsia="zh-CN"/>
        </w:rPr>
        <w:t>的高质量</w:t>
      </w:r>
      <w:r>
        <w:rPr>
          <w:rFonts w:hint="eastAsia" w:ascii="宋体" w:hAnsi="宋体" w:eastAsia="宋体" w:cs="宋体"/>
          <w:sz w:val="21"/>
          <w:szCs w:val="21"/>
        </w:rPr>
        <w:t>碳信息披露</w:t>
      </w:r>
      <w:r>
        <w:rPr>
          <w:rFonts w:hint="eastAsia" w:ascii="宋体" w:hAnsi="宋体" w:eastAsia="宋体" w:cs="宋体"/>
          <w:sz w:val="21"/>
          <w:szCs w:val="21"/>
          <w:lang w:val="en-US" w:eastAsia="zh-CN"/>
        </w:rPr>
        <w:t>对制造企业有什么影响？</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3.铜陵有色在“双碳”背景下遇到哪些机遇与挑战？</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4.铜陵有色进行的碳信息披露达到了哪些效果？</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5.铜陵有色的碳信息披露对其他企业有哪些借鉴作用？</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教学计划</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i w:val="0"/>
          <w:iCs w:val="0"/>
          <w:caps w:val="0"/>
          <w:color w:val="333333"/>
          <w:spacing w:val="0"/>
          <w:sz w:val="21"/>
          <w:szCs w:val="21"/>
          <w:shd w:val="clear" w:fill="FFFFFF"/>
        </w:rPr>
      </w:pPr>
      <w:r>
        <w:rPr>
          <w:rFonts w:hint="eastAsia" w:ascii="宋体" w:hAnsi="宋体" w:eastAsia="宋体" w:cs="宋体"/>
          <w:sz w:val="21"/>
          <w:szCs w:val="21"/>
        </w:rPr>
        <w:t>本案例的学习时间预计在90分钟，教师可以根据</w:t>
      </w:r>
      <w:r>
        <w:rPr>
          <w:rFonts w:hint="eastAsia" w:ascii="宋体" w:hAnsi="宋体" w:eastAsia="宋体" w:cs="宋体"/>
          <w:sz w:val="21"/>
          <w:szCs w:val="21"/>
          <w:lang w:val="en-US" w:eastAsia="zh-CN"/>
        </w:rPr>
        <w:t>课堂实际</w:t>
      </w:r>
      <w:r>
        <w:rPr>
          <w:rFonts w:hint="eastAsia" w:ascii="宋体" w:hAnsi="宋体" w:eastAsia="宋体" w:cs="宋体"/>
          <w:sz w:val="21"/>
          <w:szCs w:val="21"/>
        </w:rPr>
        <w:t>情况</w:t>
      </w:r>
      <w:r>
        <w:rPr>
          <w:rFonts w:hint="eastAsia" w:ascii="宋体" w:hAnsi="宋体" w:eastAsia="宋体" w:cs="宋体"/>
          <w:sz w:val="21"/>
          <w:szCs w:val="21"/>
          <w:lang w:val="en-US" w:eastAsia="zh-CN"/>
        </w:rPr>
        <w:t>灵活调整</w:t>
      </w:r>
      <w:r>
        <w:rPr>
          <w:rFonts w:hint="eastAsia" w:ascii="宋体" w:hAnsi="宋体" w:eastAsia="宋体" w:cs="宋体"/>
          <w:sz w:val="21"/>
          <w:szCs w:val="21"/>
        </w:rPr>
        <w:t>时间。</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宋体" w:hAnsi="宋体" w:eastAsia="宋体" w:cs="宋体"/>
          <w:b/>
          <w:bCs/>
          <w:i w:val="0"/>
          <w:iCs w:val="0"/>
          <w:caps w:val="0"/>
          <w:color w:val="333333"/>
          <w:spacing w:val="0"/>
          <w:sz w:val="21"/>
          <w:szCs w:val="21"/>
          <w:shd w:val="clear" w:fill="FFFFFF"/>
          <w:lang w:val="en-US" w:eastAsia="zh-CN"/>
        </w:rPr>
      </w:pPr>
      <w:r>
        <w:rPr>
          <w:rFonts w:hint="eastAsia" w:ascii="宋体" w:hAnsi="宋体" w:eastAsia="宋体" w:cs="宋体"/>
          <w:b/>
          <w:bCs/>
          <w:i w:val="0"/>
          <w:iCs w:val="0"/>
          <w:caps w:val="0"/>
          <w:color w:val="333333"/>
          <w:spacing w:val="0"/>
          <w:sz w:val="21"/>
          <w:szCs w:val="21"/>
          <w:shd w:val="clear" w:fill="FFFFFF"/>
          <w:lang w:val="en-US" w:eastAsia="zh-CN"/>
        </w:rPr>
        <w:t>讨论问题分析</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b/>
          <w:bCs/>
          <w:i w:val="0"/>
          <w:iCs w:val="0"/>
          <w:caps w:val="0"/>
          <w:color w:val="333333"/>
          <w:spacing w:val="0"/>
          <w:sz w:val="21"/>
          <w:szCs w:val="21"/>
          <w:shd w:val="clear" w:fill="FFFFFF"/>
          <w:lang w:val="en-US" w:eastAsia="zh-CN"/>
        </w:rPr>
      </w:pPr>
      <w:bookmarkStart w:id="14" w:name="_Toc27525"/>
      <w:r>
        <w:rPr>
          <w:rFonts w:hint="eastAsia" w:ascii="宋体" w:hAnsi="宋体" w:eastAsia="宋体" w:cs="宋体"/>
          <w:b/>
          <w:bCs/>
          <w:i w:val="0"/>
          <w:iCs w:val="0"/>
          <w:caps w:val="0"/>
          <w:color w:val="333333"/>
          <w:spacing w:val="0"/>
          <w:sz w:val="21"/>
          <w:szCs w:val="21"/>
          <w:shd w:val="clear" w:fill="FFFFFF"/>
          <w:lang w:val="en-US" w:eastAsia="zh-CN"/>
        </w:rPr>
        <w:t>1.铜陵有色进行碳信息披露的背景是什么？</w:t>
      </w:r>
      <w:bookmarkEnd w:id="14"/>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b w:val="0"/>
          <w:bCs w:val="0"/>
          <w:i w:val="0"/>
          <w:iCs w:val="0"/>
          <w:caps w:val="0"/>
          <w:color w:val="333333"/>
          <w:spacing w:val="0"/>
          <w:sz w:val="21"/>
          <w:szCs w:val="21"/>
          <w:shd w:val="clear" w:fill="FFFFFF"/>
          <w:lang w:val="en-US" w:eastAsia="zh-CN"/>
        </w:rPr>
        <w:t>实现碳中和碳达峰，是以习近平同志为核心的党中央经过深思熟虑做出的重大战略决策，是我们党把握历史主动，是把握新发展阶段、贯彻新发展理念、构建新发展格局、推动高质量发展的内在要求，也是着力解决资源环境约束突出问题、推动经济结构转型升级、构建人类命运共同体的必然选择。</w:t>
      </w:r>
      <w:r>
        <w:rPr>
          <w:rFonts w:hint="eastAsia" w:ascii="宋体" w:hAnsi="宋体" w:eastAsia="宋体" w:cs="宋体"/>
          <w:sz w:val="21"/>
          <w:szCs w:val="21"/>
          <w:lang w:val="en-US" w:eastAsia="zh-CN"/>
        </w:rPr>
        <w:t>在“双碳”目标的背景约束下，企业也需要去承担更多的环境保护方面的责任。党的二十大报告中明确指出，高质量发展是全面建设社会主义现代化国家的首要任务。</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落实“双碳”目标，需要做好战略规划与制度建设。我国现有的碳信息披露制度安排，仅强制要求重点排污单位等企业披露碳排放数据，不能满足需要。面对全球碳信息强制披露和强制鉴证趋势，考虑到碳信息披露体系在推进碳达峰碳中和工作中的基础作用，不断创新理念去建立我国碳信息披露制度势在必行。</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国家碳达峰碳中和的政策领导下，制造企业掀起一股争取实现碳达峰碳中和目标的热潮，不少企业都在积极探究“双碳”实现路径。但是双碳是一项中长期工作，绝大部分企业尚未建立系统科学的碳达峰碳中和工作管理机制及评价体系以支撑碳达峰碳中和工作的持续开展。</w:t>
      </w:r>
    </w:p>
    <w:p>
      <w:pPr>
        <w:keepNext w:val="0"/>
        <w:keepLines w:val="0"/>
        <w:pageBreakBefore w:val="0"/>
        <w:widowControl/>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sz w:val="21"/>
          <w:szCs w:val="21"/>
          <w:lang w:val="en-US" w:eastAsia="zh-CN"/>
        </w:rPr>
      </w:pPr>
      <w:bookmarkStart w:id="15" w:name="_Toc4823"/>
      <w:r>
        <w:rPr>
          <w:rFonts w:hint="eastAsia" w:ascii="宋体" w:hAnsi="宋体" w:eastAsia="宋体" w:cs="宋体"/>
          <w:b/>
          <w:bCs/>
          <w:sz w:val="21"/>
          <w:szCs w:val="21"/>
          <w:lang w:val="en-US" w:eastAsia="zh-CN"/>
        </w:rPr>
        <w:t>2.</w:t>
      </w:r>
      <w:r>
        <w:rPr>
          <w:rFonts w:hint="eastAsia" w:ascii="宋体" w:hAnsi="宋体" w:eastAsia="宋体" w:cs="宋体"/>
          <w:b/>
          <w:bCs/>
          <w:sz w:val="21"/>
          <w:szCs w:val="21"/>
        </w:rPr>
        <w:t>“双碳”目标下</w:t>
      </w:r>
      <w:r>
        <w:rPr>
          <w:rFonts w:hint="eastAsia" w:ascii="宋体" w:hAnsi="宋体" w:eastAsia="宋体" w:cs="宋体"/>
          <w:b/>
          <w:bCs/>
          <w:sz w:val="21"/>
          <w:szCs w:val="21"/>
          <w:lang w:val="en-US" w:eastAsia="zh-CN"/>
        </w:rPr>
        <w:t>的高质量</w:t>
      </w:r>
      <w:r>
        <w:rPr>
          <w:rFonts w:hint="eastAsia" w:ascii="宋体" w:hAnsi="宋体" w:eastAsia="宋体" w:cs="宋体"/>
          <w:b/>
          <w:bCs/>
          <w:sz w:val="21"/>
          <w:szCs w:val="21"/>
        </w:rPr>
        <w:t>碳信息披露</w:t>
      </w:r>
      <w:r>
        <w:rPr>
          <w:rFonts w:hint="eastAsia" w:ascii="宋体" w:hAnsi="宋体" w:eastAsia="宋体" w:cs="宋体"/>
          <w:b/>
          <w:bCs/>
          <w:sz w:val="21"/>
          <w:szCs w:val="21"/>
          <w:lang w:val="en-US" w:eastAsia="zh-CN"/>
        </w:rPr>
        <w:t>对制造企业有什么影响？</w:t>
      </w:r>
      <w:bookmarkEnd w:id="15"/>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i w:val="0"/>
          <w:iCs w:val="0"/>
          <w:caps w:val="0"/>
          <w:color w:val="333333"/>
          <w:spacing w:val="0"/>
          <w:sz w:val="21"/>
          <w:szCs w:val="21"/>
          <w:shd w:val="clear" w:fill="FFFFFF"/>
          <w:lang w:val="en-US" w:eastAsia="zh-CN"/>
        </w:rPr>
      </w:pPr>
      <w:r>
        <w:rPr>
          <w:rFonts w:hint="eastAsia" w:ascii="宋体" w:hAnsi="宋体" w:eastAsia="宋体" w:cs="宋体"/>
          <w:b/>
          <w:bCs/>
          <w:i w:val="0"/>
          <w:iCs w:val="0"/>
          <w:caps w:val="0"/>
          <w:color w:val="333333"/>
          <w:spacing w:val="0"/>
          <w:sz w:val="21"/>
          <w:szCs w:val="21"/>
          <w:shd w:val="clear" w:fill="FFFFFF"/>
          <w:lang w:val="en-US" w:eastAsia="zh-CN"/>
        </w:rPr>
        <w:t>（1）企业碳信息披露是外部信息报告使用者的需要。</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于政府有关部门来说，他们需要知道企业环境资源的利用情况和环境污染情况，以便于对环境保护进行管控。政府掌握企业的碳信息，有助于评估其对社会的贡献。对于投资者来说，他们在投资一家公司时，必然要对其财务报告进行分析，评价企业的获利能力和安全性，而碳信息披露将直接影响企业的利益。所以企业要做好碳信息披露，提高企业的大众认可度和品牌效益。</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i w:val="0"/>
          <w:iCs w:val="0"/>
          <w:caps w:val="0"/>
          <w:color w:val="333333"/>
          <w:spacing w:val="0"/>
          <w:sz w:val="21"/>
          <w:szCs w:val="21"/>
          <w:shd w:val="clear" w:fill="FFFFFF"/>
          <w:lang w:val="en-US" w:eastAsia="zh-CN"/>
        </w:rPr>
      </w:pPr>
      <w:r>
        <w:rPr>
          <w:rFonts w:hint="eastAsia" w:ascii="宋体" w:hAnsi="宋体" w:eastAsia="宋体" w:cs="宋体"/>
          <w:b/>
          <w:bCs/>
          <w:i w:val="0"/>
          <w:iCs w:val="0"/>
          <w:caps w:val="0"/>
          <w:color w:val="333333"/>
          <w:spacing w:val="0"/>
          <w:sz w:val="21"/>
          <w:szCs w:val="21"/>
          <w:shd w:val="clear" w:fill="FFFFFF"/>
          <w:lang w:val="en-US" w:eastAsia="zh-CN"/>
        </w:rPr>
        <w:t>（2）企业碳信息披露是自身可持续发展的需要。</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政府的法律法规，投资者的期盼，社会公众的目光，企业想要长期的发展，必须重视环境会计的应用。在碳中和这个大背景下，企业应当抓住这个机遇形成竞争优势，有助于企业加快降低碳排放，有助于企业全运参与环境成本控制，有助于企业提高经济效益实现绿色转型，使企业立于不败之地。</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textAlignment w:val="auto"/>
        <w:outlineLvl w:val="1"/>
        <w:rPr>
          <w:rFonts w:hint="eastAsia" w:ascii="宋体" w:hAnsi="宋体" w:eastAsia="宋体" w:cs="宋体"/>
          <w:b/>
          <w:bCs/>
          <w:i w:val="0"/>
          <w:iCs w:val="0"/>
          <w:caps w:val="0"/>
          <w:color w:val="333333"/>
          <w:spacing w:val="9"/>
          <w:sz w:val="21"/>
          <w:szCs w:val="21"/>
          <w:shd w:val="clear" w:fill="FFFFFF"/>
        </w:rPr>
      </w:pPr>
      <w:r>
        <w:rPr>
          <w:rFonts w:hint="eastAsia" w:ascii="宋体" w:hAnsi="宋体" w:eastAsia="宋体" w:cs="宋体"/>
          <w:b/>
          <w:bCs/>
          <w:i w:val="0"/>
          <w:iCs w:val="0"/>
          <w:caps w:val="0"/>
          <w:color w:val="333333"/>
          <w:spacing w:val="0"/>
          <w:sz w:val="21"/>
          <w:szCs w:val="21"/>
          <w:shd w:val="clear" w:fill="FFFFFF"/>
          <w:lang w:val="en-US" w:eastAsia="zh-CN"/>
        </w:rPr>
        <w:t>（3）碳信</w:t>
      </w:r>
      <w:r>
        <w:rPr>
          <w:rFonts w:hint="eastAsia" w:ascii="宋体" w:hAnsi="宋体" w:eastAsia="宋体" w:cs="宋体"/>
          <w:b/>
          <w:bCs/>
          <w:i w:val="0"/>
          <w:iCs w:val="0"/>
          <w:caps w:val="0"/>
          <w:color w:val="333333"/>
          <w:spacing w:val="9"/>
          <w:sz w:val="21"/>
          <w:szCs w:val="21"/>
          <w:shd w:val="clear" w:fill="FFFFFF"/>
          <w:lang w:val="en-US" w:eastAsia="zh-CN"/>
        </w:rPr>
        <w:t>息</w:t>
      </w:r>
      <w:r>
        <w:rPr>
          <w:rFonts w:hint="eastAsia" w:ascii="宋体" w:hAnsi="宋体" w:eastAsia="宋体" w:cs="宋体"/>
          <w:b/>
          <w:bCs/>
          <w:i w:val="0"/>
          <w:iCs w:val="0"/>
          <w:caps w:val="0"/>
          <w:color w:val="333333"/>
          <w:spacing w:val="9"/>
          <w:sz w:val="21"/>
          <w:szCs w:val="21"/>
          <w:shd w:val="clear" w:fill="FFFFFF"/>
        </w:rPr>
        <w:t>披露对碳绩效有积极影响</w:t>
      </w:r>
      <w:r>
        <w:rPr>
          <w:rFonts w:hint="eastAsia" w:ascii="宋体" w:hAnsi="宋体" w:eastAsia="宋体" w:cs="宋体"/>
          <w:b/>
          <w:bCs/>
          <w:i w:val="0"/>
          <w:iCs w:val="0"/>
          <w:caps w:val="0"/>
          <w:color w:val="333333"/>
          <w:spacing w:val="9"/>
          <w:sz w:val="21"/>
          <w:szCs w:val="21"/>
          <w:shd w:val="clear" w:fill="FFFFFF"/>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企业披露碳信息会树立良好的社会形象，注重环保的企业产品更受消费者的青睐，从而增加营业额。在一定程度上约束其碳排放量，从而取得良好的环境绩效；相反，环境绩效较差的企业，前期产生的成本虽然会相对较低，但与环境绩效好的企业相比，不仅不会获得相应收益，如企业低碳转型升级带来的低成本、绿色商誉等，而且可能面临未来逐步提高的碳排放标准导致成本增加的风险和不确定性。关注环保的利益相关者会更加认可披露碳等相关环境信息的企业，使企业有动机改善其碳绩效。</w:t>
      </w:r>
    </w:p>
    <w:p>
      <w:pPr>
        <w:keepNext w:val="0"/>
        <w:keepLines w:val="0"/>
        <w:pageBreakBefore w:val="0"/>
        <w:numPr>
          <w:ilvl w:val="0"/>
          <w:numId w:val="0"/>
        </w:numPr>
        <w:kinsoku/>
        <w:wordWrap/>
        <w:overflowPunct/>
        <w:topLinePunct w:val="0"/>
        <w:bidi w:val="0"/>
        <w:adjustRightInd/>
        <w:snapToGrid/>
        <w:spacing w:after="0" w:line="360" w:lineRule="auto"/>
        <w:ind w:leftChars="0" w:firstLine="420" w:firstLineChars="200"/>
        <w:textAlignment w:val="auto"/>
        <w:rPr>
          <w:rFonts w:hint="eastAsia" w:ascii="宋体" w:hAnsi="宋体" w:eastAsia="宋体" w:cs="宋体"/>
          <w:i w:val="0"/>
          <w:iCs w:val="0"/>
          <w:caps w:val="0"/>
          <w:color w:val="333333"/>
          <w:spacing w:val="9"/>
          <w:sz w:val="21"/>
          <w:szCs w:val="21"/>
          <w:shd w:val="clear" w:fill="FFFFFF"/>
          <w:lang w:val="en-US" w:eastAsia="zh-CN"/>
        </w:rPr>
      </w:pPr>
      <w:r>
        <w:rPr>
          <w:rFonts w:hint="eastAsia" w:ascii="宋体" w:hAnsi="宋体" w:eastAsia="宋体" w:cs="宋体"/>
          <w:sz w:val="21"/>
          <w:szCs w:val="21"/>
        </w:rPr>
        <w:drawing>
          <wp:anchor distT="0" distB="0" distL="114300" distR="114300" simplePos="0" relativeHeight="251662336" behindDoc="0" locked="0" layoutInCell="1" allowOverlap="1">
            <wp:simplePos x="0" y="0"/>
            <wp:positionH relativeFrom="column">
              <wp:posOffset>-47625</wp:posOffset>
            </wp:positionH>
            <wp:positionV relativeFrom="paragraph">
              <wp:posOffset>78740</wp:posOffset>
            </wp:positionV>
            <wp:extent cx="4012565" cy="3383915"/>
            <wp:effectExtent l="0" t="0" r="6985" b="6985"/>
            <wp:wrapTopAndBottom/>
            <wp:docPr id="1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IMG_256"/>
                    <pic:cNvPicPr>
                      <a:picLocks noChangeAspect="1"/>
                    </pic:cNvPicPr>
                  </pic:nvPicPr>
                  <pic:blipFill>
                    <a:blip r:embed="rId12"/>
                    <a:stretch>
                      <a:fillRect/>
                    </a:stretch>
                  </pic:blipFill>
                  <pic:spPr>
                    <a:xfrm>
                      <a:off x="0" y="0"/>
                      <a:ext cx="4012565" cy="3383915"/>
                    </a:xfrm>
                    <a:prstGeom prst="rect">
                      <a:avLst/>
                    </a:prstGeom>
                    <a:noFill/>
                    <a:ln w="9525">
                      <a:noFill/>
                    </a:ln>
                  </pic:spPr>
                </pic:pic>
              </a:graphicData>
            </a:graphic>
          </wp:anchor>
        </w:drawing>
      </w:r>
      <w:r>
        <w:rPr>
          <w:rFonts w:hint="eastAsia" w:ascii="宋体" w:hAnsi="宋体" w:eastAsia="宋体" w:cs="宋体"/>
          <w:i w:val="0"/>
          <w:iCs w:val="0"/>
          <w:caps w:val="0"/>
          <w:color w:val="333333"/>
          <w:spacing w:val="9"/>
          <w:sz w:val="21"/>
          <w:szCs w:val="21"/>
          <w:shd w:val="clear" w:fill="FFFFFF"/>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b/>
          <w:bCs/>
          <w:i w:val="0"/>
          <w:iCs w:val="0"/>
          <w:caps w:val="0"/>
          <w:color w:val="333333"/>
          <w:spacing w:val="9"/>
          <w:sz w:val="21"/>
          <w:szCs w:val="21"/>
          <w:shd w:val="clear" w:fill="FFFFFF"/>
          <w:lang w:val="en-US" w:eastAsia="zh-CN"/>
        </w:rPr>
      </w:pPr>
      <w:bookmarkStart w:id="16" w:name="_Toc8161"/>
      <w:r>
        <w:rPr>
          <w:rFonts w:hint="eastAsia" w:ascii="宋体" w:hAnsi="宋体" w:eastAsia="宋体" w:cs="宋体"/>
          <w:b/>
          <w:bCs/>
          <w:sz w:val="21"/>
          <w:szCs w:val="21"/>
          <w:lang w:val="en-US" w:eastAsia="zh-CN"/>
        </w:rPr>
        <w:t>3.铜陵有色</w:t>
      </w:r>
      <w:r>
        <w:rPr>
          <w:rFonts w:hint="eastAsia" w:ascii="宋体" w:hAnsi="宋体" w:eastAsia="宋体" w:cs="宋体"/>
          <w:b/>
          <w:bCs/>
          <w:i w:val="0"/>
          <w:iCs w:val="0"/>
          <w:caps w:val="0"/>
          <w:color w:val="333333"/>
          <w:spacing w:val="9"/>
          <w:sz w:val="21"/>
          <w:szCs w:val="21"/>
          <w:shd w:val="clear" w:fill="FFFFFF"/>
          <w:lang w:val="en-US" w:eastAsia="zh-CN"/>
        </w:rPr>
        <w:t>在“双碳”背景下遇到哪些机遇与挑战？</w:t>
      </w:r>
      <w:bookmarkEnd w:id="16"/>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2022年4月，安徽省生态环境保护督察工作领导小组办公室向有色控股下发了2021年省生态环境保护督察报告，在对铜陵有色控股环境保护工作给予充分肯定的同时，也提出了相关改进意见。铜陵有色对此在企业可持续发展报告中作出了披露。</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val="0"/>
          <w:bCs w:val="0"/>
          <w:sz w:val="21"/>
          <w:szCs w:val="21"/>
          <w:lang w:val="en-US" w:eastAsia="zh-CN"/>
        </w:rPr>
        <w:t>经历省政府层面监督机构的实时监管、企业自行检测可以在一定程度提升铜陵有色在风险识别及评估方面的能力。风险应对角度，铜陵有色在其2021年年度报告中披露</w:t>
      </w:r>
      <w:r>
        <w:rPr>
          <w:rFonts w:hint="eastAsia" w:ascii="宋体" w:hAnsi="宋体" w:eastAsia="宋体" w:cs="宋体"/>
          <w:sz w:val="21"/>
          <w:szCs w:val="21"/>
        </w:rPr>
        <w:t>公司环保优化升级步伐继续加快</w:t>
      </w:r>
      <w:r>
        <w:rPr>
          <w:rFonts w:hint="eastAsia" w:ascii="宋体" w:hAnsi="宋体" w:eastAsia="宋体" w:cs="宋体"/>
          <w:sz w:val="21"/>
          <w:szCs w:val="21"/>
          <w:lang w:eastAsia="zh-CN"/>
        </w:rPr>
        <w:t>，</w:t>
      </w:r>
      <w:r>
        <w:rPr>
          <w:rFonts w:hint="eastAsia" w:ascii="宋体" w:hAnsi="宋体" w:eastAsia="宋体" w:cs="宋体"/>
          <w:sz w:val="21"/>
          <w:szCs w:val="21"/>
        </w:rPr>
        <w:t>不断推进环保设施升级改造，相继完成安庆</w:t>
      </w:r>
      <w:r>
        <w:rPr>
          <w:rFonts w:hint="eastAsia" w:ascii="宋体" w:hAnsi="宋体" w:eastAsia="宋体" w:cs="宋体"/>
          <w:sz w:val="21"/>
          <w:szCs w:val="21"/>
          <w:lang w:val="en-US" w:eastAsia="zh-CN"/>
        </w:rPr>
        <w:t>、</w:t>
      </w:r>
      <w:r>
        <w:rPr>
          <w:rFonts w:hint="eastAsia" w:ascii="宋体" w:hAnsi="宋体" w:eastAsia="宋体" w:cs="宋体"/>
          <w:sz w:val="21"/>
          <w:szCs w:val="21"/>
        </w:rPr>
        <w:t>铜矿、铜冠电工公司3000吨铝线等环保工程建设并投入运行。坚持环保科技创新工作，建设推广和使用iVMS集中监控客户端平台，实现了重要环节因素监控系统化、智能化和可视化，结合铜陵市无废城市试点，推行互联网+危废监管模式，优先保证环保项目资金，保障了重点排污企业环保设施100%正常运行。</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此外，铜陵有色一直实时监测企业环境污染，每年都编制有企业《突发环境事件应急预案》以上的种种措施，都有助于铜陵有色积极应对环境、气候变化带来的风险。 </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b/>
          <w:bCs/>
          <w:sz w:val="21"/>
          <w:szCs w:val="21"/>
          <w:lang w:val="en-US" w:eastAsia="zh-CN"/>
        </w:rPr>
      </w:pPr>
      <w:bookmarkStart w:id="17" w:name="_Toc13233"/>
      <w:r>
        <w:rPr>
          <w:rFonts w:hint="eastAsia" w:ascii="宋体" w:hAnsi="宋体" w:eastAsia="宋体" w:cs="宋体"/>
          <w:b/>
          <w:bCs/>
          <w:sz w:val="21"/>
          <w:szCs w:val="21"/>
          <w:lang w:val="en-US" w:eastAsia="zh-CN"/>
        </w:rPr>
        <w:t>4.铜陵有色进行的碳信息披露达到了哪些效果？</w:t>
      </w:r>
      <w:bookmarkEnd w:id="17"/>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随着国家生态文明建设的深入推进，解决生态环境问题，打好污染防治攻坚战已然成为经济发展的重要问题，这也对铜陵有色的污染排放提出了更高的要求。而作为企业环保成效体现的碳信息披露，在一定程度上可以引导铜陵有色以履行环境责任的态度和原则去进行研发创新。</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从2015年开始，铜陵有色已经开始树立碳信息披露意识。铜陵有色聘请了环境会计领域的权威人员对公司先现有的财务人员进行培养，提高财务人员的专业素养，并培养财务人员的低碳环保意识，并与院校展开联合，培养一部分碳会计方面的专业人员，帮助铜陵有色对碳信息进行更好地披露。</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铜陵有色近几年对于碳信息披露的主观意愿逐渐加强，披露的碳信息越来越多，碳会计信息披露内容也在不断地规范起来，认真完整地披露碳信息，碳会计信息的质量也在逐年升高。</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铜陵有色着眼于企业的长远发展，力行转型升级的新局面，不遗余力地抓好环保工作，积极跟进国家碳减排政策，发展大量的低碳经济业务，制定了气候战略目标和气候治理体系，将绿色低碳发展规划至企业的长期规划发展战略中，有效的降低了碳排放量，提升了企业碳绩效水平，这也在一定程度上促进了企业绩效的增长。</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b/>
          <w:bCs/>
          <w:sz w:val="21"/>
          <w:szCs w:val="21"/>
          <w:lang w:val="en-US" w:eastAsia="zh-CN"/>
        </w:rPr>
      </w:pPr>
      <w:bookmarkStart w:id="18" w:name="_Toc15268"/>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outlineLvl w:val="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5.铜陵有色的碳信息披露对其他企业有哪些借鉴作用？</w:t>
      </w:r>
      <w:bookmarkEnd w:id="18"/>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（1）提高碳信息披露意识</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随着利益相关者对碳信息的需求越来越大，碳信息在市场中也扮演着越来 越重要的角色。但是仍然存在一部分企业对碳信息披露的认识不够，披露意识不强，无形中错失了许多潜在机会。企业要积极探索披露碳信息的合理有效道路，向行业内龙头企业学习，借鉴碳信息披露模式和内容，制定个性化披露方式。提高碳信息披露意识可以从企业宏观战略方面展现，将低碳可持续发展纳入公司战略方针，从大方向上把握低碳机遇。从内容和形式上体现本年度碳排放、碳管理工作成效，</w:t>
      </w:r>
      <w:r>
        <w:rPr>
          <w:rFonts w:hint="eastAsia" w:ascii="宋体" w:hAnsi="宋体" w:eastAsia="宋体" w:cs="宋体"/>
          <w:sz w:val="21"/>
          <w:szCs w:val="21"/>
          <w:lang w:val="en-US" w:eastAsia="zh-CN"/>
        </w:rPr>
        <w:t>铜陵有色</w:t>
      </w:r>
      <w:r>
        <w:rPr>
          <w:rFonts w:hint="eastAsia" w:ascii="宋体" w:hAnsi="宋体" w:eastAsia="宋体" w:cs="宋体"/>
          <w:sz w:val="21"/>
          <w:szCs w:val="21"/>
        </w:rPr>
        <w:t>在 2021 年度碳信息披露意识空前提高，不仅形式更加美观，内容更加全面，报告在阅读的时候也更容易让读者抓住企业披露的重点有利信息，留下积极正面的公司印象。在日常的生产经营过程中，也要向员工积极传递低碳意识，督促有关岗位人员积极记录和核查碳排放、碳绩效、碳研发等碳信息，为企业披露碳信息提供数据基础。在与供应商和客户的交流过程中，也要充分践行可持续发展方针，制定相关制度报告，通过签署社会责任承诺书等形式向上下游传递环保意识。</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（2）构建碳管理体系</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首先，企业应该设置专门的环保机构，制定环保制度，明确环保责任。虽然现在很多企业有设置</w:t>
      </w:r>
      <w:r>
        <w:rPr>
          <w:rFonts w:hint="eastAsia" w:ascii="宋体" w:hAnsi="宋体" w:eastAsia="宋体" w:cs="宋体"/>
          <w:sz w:val="21"/>
          <w:szCs w:val="21"/>
          <w:lang w:val="en-US" w:eastAsia="zh-CN"/>
        </w:rPr>
        <w:t>ESG</w:t>
      </w:r>
      <w:r>
        <w:rPr>
          <w:rFonts w:hint="eastAsia" w:ascii="宋体" w:hAnsi="宋体" w:eastAsia="宋体" w:cs="宋体"/>
          <w:sz w:val="21"/>
          <w:szCs w:val="21"/>
        </w:rPr>
        <w:t>委员会或CSR委员会，分别从环境健康安全和可持续发展角度进行治理，环保单位往往下设于此类组织，但是发展水平较低，对环境工作的划分尚不明确。</w:t>
      </w:r>
      <w:r>
        <w:rPr>
          <w:rFonts w:hint="eastAsia" w:ascii="宋体" w:hAnsi="宋体" w:eastAsia="宋体" w:cs="宋体"/>
          <w:sz w:val="21"/>
          <w:szCs w:val="21"/>
          <w:lang w:val="en-US" w:eastAsia="zh-CN"/>
        </w:rPr>
        <w:t>铜陵有色的EESG管理</w:t>
      </w:r>
      <w:r>
        <w:rPr>
          <w:rFonts w:hint="eastAsia" w:ascii="宋体" w:hAnsi="宋体" w:eastAsia="宋体" w:cs="宋体"/>
          <w:sz w:val="21"/>
          <w:szCs w:val="21"/>
        </w:rPr>
        <w:t>委员会主要职责更多的体现于安全生产和员工培训方面，和绿色生产的关联性较低，可见日常工作中环保低碳并不是</w:t>
      </w:r>
      <w:r>
        <w:rPr>
          <w:rFonts w:hint="eastAsia" w:ascii="宋体" w:hAnsi="宋体" w:eastAsia="宋体" w:cs="宋体"/>
          <w:sz w:val="21"/>
          <w:szCs w:val="21"/>
          <w:lang w:val="en-US" w:eastAsia="zh-CN"/>
        </w:rPr>
        <w:t>ESG</w:t>
      </w:r>
      <w:r>
        <w:rPr>
          <w:rFonts w:hint="eastAsia" w:ascii="宋体" w:hAnsi="宋体" w:eastAsia="宋体" w:cs="宋体"/>
          <w:sz w:val="21"/>
          <w:szCs w:val="21"/>
        </w:rPr>
        <w:t>委员会关注的重点。企业应该重视环保部门的建设，管理碳信息</w:t>
      </w:r>
      <w:r>
        <w:rPr>
          <w:rFonts w:hint="eastAsia" w:ascii="宋体" w:hAnsi="宋体" w:eastAsia="宋体" w:cs="宋体"/>
          <w:sz w:val="21"/>
          <w:szCs w:val="21"/>
          <w:lang w:eastAsia="zh-CN"/>
        </w:rPr>
        <w:t>，</w:t>
      </w:r>
      <w:r>
        <w:rPr>
          <w:rFonts w:hint="eastAsia" w:ascii="宋体" w:hAnsi="宋体" w:eastAsia="宋体" w:cs="宋体"/>
          <w:sz w:val="21"/>
          <w:szCs w:val="21"/>
        </w:rPr>
        <w:t>为低碳工作提供指导意见。其次，企业应该加大对此类机构的人员、资金投入。培养高水平的碳工作人才，鼓励技术创新、投资绿色金融等，助力企业低碳发展。 最后，在企业日常经营中，也要重视气候变化可能带来的风险和机遇，对企业员工进行气候变化知识和现状培训，定期组织各部门管理人员讨论应对气候变化可能带来的风险和机遇的合理对策，提高企业应对变化和危机的能力，也有助于及时把握机遇。</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（3）加强碳排放量核算披露</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铜陵有色</w:t>
      </w:r>
      <w:r>
        <w:rPr>
          <w:rFonts w:hint="eastAsia" w:ascii="宋体" w:hAnsi="宋体" w:eastAsia="宋体" w:cs="宋体"/>
          <w:sz w:val="21"/>
          <w:szCs w:val="21"/>
        </w:rPr>
        <w:t>在报告中对温室气体核算过程及排放数据的标准和方法进行详细披露，主要是依据温室气体核算范围，而非简单地披露相较于基准年的二氧化碳排放强度强度。在呈现核算结果和流程的同时，还需要考虑企业自身碳排放的达标情况以及低碳目标的实现进度，使得报告使用者直观了解公司碳排放管理成效。同时</w:t>
      </w:r>
      <w:r>
        <w:rPr>
          <w:rFonts w:hint="eastAsia" w:ascii="宋体" w:hAnsi="宋体" w:eastAsia="宋体" w:cs="宋体"/>
          <w:sz w:val="21"/>
          <w:szCs w:val="21"/>
          <w:lang w:val="en-US" w:eastAsia="zh-CN"/>
        </w:rPr>
        <w:t>企业</w:t>
      </w:r>
      <w:r>
        <w:rPr>
          <w:rFonts w:hint="eastAsia" w:ascii="宋体" w:hAnsi="宋体" w:eastAsia="宋体" w:cs="宋体"/>
          <w:sz w:val="21"/>
          <w:szCs w:val="21"/>
        </w:rPr>
        <w:t>披露生产全流程的碳排放情况，不仅只关注自身碳排放的核算和报告，也要关注企业整体产业链的低碳绩效，及时核实企业在供应链上下游的</w:t>
      </w:r>
      <w:r>
        <w:rPr>
          <w:rFonts w:hint="eastAsia" w:ascii="宋体" w:hAnsi="宋体" w:eastAsia="宋体" w:cs="宋体"/>
          <w:sz w:val="21"/>
          <w:szCs w:val="21"/>
          <w:lang w:val="en-US" w:eastAsia="zh-CN"/>
        </w:rPr>
        <w:t>碳</w:t>
      </w:r>
      <w:r>
        <w:rPr>
          <w:rFonts w:hint="eastAsia" w:ascii="宋体" w:hAnsi="宋体" w:eastAsia="宋体" w:cs="宋体"/>
          <w:sz w:val="21"/>
          <w:szCs w:val="21"/>
        </w:rPr>
        <w:t>排放数据，并逐一披露。在报告中以数字化形式表达企业的碳排放信息，这不仅增加了报告的量化内容，提升报告披露质量，也满足了信息用户的使用需求。</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textAlignment w:val="auto"/>
        <w:outlineLvl w:val="1"/>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（4）合理增加碳信息负面披露</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作为实力雄厚且始终走在行业发展前列的钢铁企业，铜陵有色有更强的社会责任感和信息披露意识，即在进行正面信息披露的同时主动披露碳排放有关的负面信息。在企业的报告中，企业不仅要披露在环境治理和低碳管理方面的优势信息，还要去披露在低碳管理过程中存在的违规风险，如诉讼罚款、违规排放的判决等内容。这要求企业应合理披露其自身碳排放的负面信息，而且对于产业链中供应商因排放不达标而产生的问题进行及时回应，披露其对负面事项的处理方案以及与供应商等利益相关者的沟通情况，向外界表明其低碳发展态度，全面客观地披露当前低碳排放的违规风险等负面内容并积极应对，树立绿色发展且负责任的社会形象。</w:t>
      </w:r>
    </w:p>
    <w:p>
      <w:pPr>
        <w:keepNext w:val="0"/>
        <w:keepLines w:val="0"/>
        <w:pageBreakBefore w:val="0"/>
        <w:numPr>
          <w:ilvl w:val="0"/>
          <w:numId w:val="0"/>
        </w:numPr>
        <w:kinsoku/>
        <w:wordWrap/>
        <w:overflowPunct/>
        <w:topLinePunct w:val="0"/>
        <w:bidi w:val="0"/>
        <w:adjustRightInd/>
        <w:snapToGrid/>
        <w:spacing w:after="0" w:line="480" w:lineRule="auto"/>
        <w:textAlignment w:val="auto"/>
        <w:rPr>
          <w:rFonts w:hint="eastAsia" w:ascii="宋体" w:hAnsi="宋体" w:eastAsia="宋体" w:cs="宋体"/>
          <w:b w:val="0"/>
          <w:bCs w:val="0"/>
          <w:i w:val="0"/>
          <w:iCs w:val="0"/>
          <w:caps w:val="0"/>
          <w:color w:val="333333"/>
          <w:spacing w:val="0"/>
          <w:sz w:val="21"/>
          <w:szCs w:val="21"/>
          <w:shd w:val="clear" w:fill="FFFFFF"/>
          <w:lang w:val="en-US" w:eastAsia="zh-CN"/>
        </w:rPr>
      </w:pPr>
    </w:p>
    <w:p>
      <w:pPr>
        <w:keepNext w:val="0"/>
        <w:keepLines w:val="0"/>
        <w:pageBreakBefore w:val="0"/>
        <w:kinsoku/>
        <w:wordWrap/>
        <w:overflowPunct/>
        <w:topLinePunct w:val="0"/>
        <w:bidi w:val="0"/>
        <w:adjustRightInd/>
        <w:snapToGrid/>
        <w:spacing w:after="0" w:line="240" w:lineRule="auto"/>
        <w:textAlignment w:val="auto"/>
        <w:rPr>
          <w:rFonts w:hint="eastAsia" w:ascii="宋体" w:hAnsi="宋体" w:eastAsia="宋体" w:cs="宋体"/>
          <w:kern w:val="0"/>
          <w:sz w:val="21"/>
          <w:szCs w:val="21"/>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pPr>
        <w:keepNext w:val="0"/>
        <w:keepLines w:val="0"/>
        <w:pageBreakBefore w:val="0"/>
        <w:kinsoku/>
        <w:wordWrap/>
        <w:overflowPunct/>
        <w:topLinePunct w:val="0"/>
        <w:bidi w:val="0"/>
        <w:adjustRightInd/>
        <w:snapToGrid/>
        <w:spacing w:after="0"/>
        <w:jc w:val="left"/>
        <w:textAlignment w:val="auto"/>
        <w:rPr>
          <w:rFonts w:hint="eastAsia" w:ascii="宋体" w:hAnsi="宋体" w:eastAsia="宋体" w:cs="宋体"/>
          <w:sz w:val="21"/>
          <w:szCs w:val="21"/>
          <w:lang w:val="en-US" w:eastAsia="zh-CN"/>
        </w:rPr>
      </w:pPr>
    </w:p>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NDM2MDNiM2VmMmI1NmMzNGVjM2Y3NDMxMGI1MjQifQ=="/>
  </w:docVars>
  <w:rsids>
    <w:rsidRoot w:val="00000000"/>
    <w:rsid w:val="05D21BFA"/>
    <w:rsid w:val="06F943A4"/>
    <w:rsid w:val="0A7B6583"/>
    <w:rsid w:val="0D2157E1"/>
    <w:rsid w:val="111666F3"/>
    <w:rsid w:val="159A69D6"/>
    <w:rsid w:val="1A7C0F65"/>
    <w:rsid w:val="43D97C34"/>
    <w:rsid w:val="4ABC7D2C"/>
    <w:rsid w:val="4D8A68DC"/>
    <w:rsid w:val="58812ABF"/>
    <w:rsid w:val="73F8607C"/>
    <w:rsid w:val="76027742"/>
    <w:rsid w:val="77562DA8"/>
    <w:rsid w:val="7A506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EastAsia" w:cstheme="minorBidi"/>
      <w:kern w:val="2"/>
      <w:sz w:val="22"/>
      <w:szCs w:val="22"/>
      <w:lang w:val="en-US" w:eastAsia="zh-CN" w:bidi="ar-SA"/>
    </w:rPr>
  </w:style>
  <w:style w:type="paragraph" w:styleId="2">
    <w:name w:val="heading 1"/>
    <w:basedOn w:val="1"/>
    <w:next w:val="1"/>
    <w:qFormat/>
    <w:uiPriority w:val="9"/>
    <w:pPr>
      <w:keepNext/>
      <w:keepLines/>
      <w:pBdr>
        <w:top w:val="none" w:color="auto" w:sz="0" w:space="1"/>
        <w:left w:val="none" w:color="auto" w:sz="0" w:space="4"/>
        <w:bottom w:val="none" w:color="DAE3F4" w:themeColor="accent1" w:themeTint="33" w:sz="0" w:space="0"/>
        <w:right w:val="none" w:color="auto" w:sz="0" w:space="4"/>
      </w:pBdr>
      <w:spacing w:after="200" w:line="300" w:lineRule="auto"/>
      <w:outlineLvl w:val="0"/>
    </w:pPr>
    <w:rPr>
      <w:rFonts w:eastAsia="微软雅黑" w:asciiTheme="majorAscii" w:hAnsiTheme="majorAscii" w:cstheme="majorBidi"/>
      <w:color w:val="4874CB" w:themeColor="accent1"/>
      <w:sz w:val="36"/>
      <w:szCs w:val="36"/>
      <w:lang w:eastAsia="ja-JP"/>
      <w14:textFill>
        <w14:solidFill>
          <w14:schemeClr w14:val="accent1"/>
        </w14:solidFill>
      </w14:textFill>
    </w:rPr>
  </w:style>
  <w:style w:type="character" w:default="1" w:styleId="8">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val="0"/>
      <w:spacing w:after="0" w:line="240" w:lineRule="auto"/>
      <w:jc w:val="both"/>
    </w:pPr>
    <w:rPr>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268557372305"/>
          <c:y val="0.194014962593516"/>
          <c:w val="0.673766459267834"/>
          <c:h val="0.688628428927681"/>
        </c:manualLayout>
      </c:layout>
      <c:barChart>
        <c:barDir val="col"/>
        <c:grouping val="clustered"/>
        <c:varyColors val="0"/>
        <c:ser>
          <c:idx val="3"/>
          <c:order val="0"/>
          <c:tx>
            <c:strRef>
              <c:f>Sheet1!$B$1</c:f>
              <c:strCache>
                <c:ptCount val="1"/>
                <c:pt idx="0">
                  <c:v>环保投资额</c:v>
                </c:pt>
              </c:strCache>
            </c:strRef>
          </c:tx>
          <c:spPr>
            <a:solidFill>
              <a:schemeClr val="accent4"/>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Sheet1!$A$2:$A$6</c:f>
              <c:numCache>
                <c:formatCode>General</c:formatCode>
                <c:ptCount val="5"/>
                <c:pt idx="0">
                  <c:v>2018</c:v>
                </c:pt>
                <c:pt idx="1">
                  <c:v>2019</c:v>
                </c:pt>
                <c:pt idx="2">
                  <c:v>2020</c:v>
                </c:pt>
                <c:pt idx="3">
                  <c:v>2021</c:v>
                </c:pt>
              </c:numCache>
            </c:numRef>
          </c:cat>
          <c:val>
            <c:numRef>
              <c:f>Sheet1!$B$2:$B$6</c:f>
              <c:numCache>
                <c:formatCode>General</c:formatCode>
                <c:ptCount val="5"/>
                <c:pt idx="0">
                  <c:v>2000</c:v>
                </c:pt>
                <c:pt idx="1">
                  <c:v>13908</c:v>
                </c:pt>
                <c:pt idx="2">
                  <c:v>18194</c:v>
                </c:pt>
                <c:pt idx="3">
                  <c:v>19400</c:v>
                </c:pt>
              </c:numCache>
            </c:numRef>
          </c:val>
        </c:ser>
        <c:dLbls>
          <c:showLegendKey val="0"/>
          <c:showVal val="1"/>
          <c:showCatName val="0"/>
          <c:showSerName val="0"/>
          <c:showPercent val="0"/>
          <c:showBubbleSize val="0"/>
        </c:dLbls>
        <c:gapWidth val="219"/>
        <c:overlap val="-27"/>
        <c:axId val="141271040"/>
        <c:axId val="141273728"/>
      </c:barChart>
      <c:dateAx>
        <c:axId val="141271040"/>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crossAx val="141273728"/>
        <c:crosses val="autoZero"/>
        <c:auto val="0"/>
        <c:lblOffset val="100"/>
        <c:baseTimeUnit val="days"/>
      </c:dateAx>
      <c:valAx>
        <c:axId val="1412737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crossAx val="14127104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784707974285323"/>
          <c:y val="0.112207499295179"/>
          <c:w val="0.181370537546163"/>
          <c:h val="0.181561883281646"/>
        </c:manualLayout>
      </c:layout>
      <c:overlay val="0"/>
      <c:spPr>
        <a:noFill/>
        <a:ln>
          <a:noFill/>
        </a:ln>
        <a:effectLst/>
      </c:spPr>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1050"/>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2018</c:v>
                </c:pt>
              </c:strCache>
            </c:strRef>
          </c:tx>
          <c:spPr>
            <a:ln w="22225" cap="rnd" cmpd="sng" algn="ctr">
              <a:solidFill>
                <a:schemeClr val="accent1"/>
              </a:solidFill>
              <a:prstDash val="solid"/>
              <a:round/>
            </a:ln>
            <a:effectLst/>
          </c:spPr>
          <c:marker>
            <c:symbol val="none"/>
          </c:marker>
          <c:dLbls>
            <c:delete val="1"/>
          </c:dLbls>
          <c:cat>
            <c:strRef>
              <c:f>Sheet1!$A$2:$A$4</c:f>
              <c:strCache>
                <c:ptCount val="3"/>
                <c:pt idx="0">
                  <c:v>排污绿化费</c:v>
                </c:pt>
                <c:pt idx="1">
                  <c:v>资源税</c:v>
                </c:pt>
                <c:pt idx="2">
                  <c:v>环境保护税</c:v>
                </c:pt>
              </c:strCache>
            </c:strRef>
          </c:cat>
          <c:val>
            <c:numRef>
              <c:f>Sheet1!$B$2:$B$4</c:f>
              <c:numCache>
                <c:formatCode>General</c:formatCode>
                <c:ptCount val="3"/>
                <c:pt idx="0">
                  <c:v>1125</c:v>
                </c:pt>
                <c:pt idx="1">
                  <c:v>8575</c:v>
                </c:pt>
                <c:pt idx="2">
                  <c:v>526</c:v>
                </c:pt>
              </c:numCache>
            </c:numRef>
          </c:val>
          <c:smooth val="0"/>
        </c:ser>
        <c:ser>
          <c:idx val="1"/>
          <c:order val="1"/>
          <c:tx>
            <c:strRef>
              <c:f>Sheet1!$C$1</c:f>
              <c:strCache>
                <c:ptCount val="1"/>
                <c:pt idx="0">
                  <c:v>2019</c:v>
                </c:pt>
              </c:strCache>
            </c:strRef>
          </c:tx>
          <c:spPr>
            <a:ln w="22225" cap="rnd" cmpd="sng" algn="ctr">
              <a:solidFill>
                <a:schemeClr val="accent2"/>
              </a:solidFill>
              <a:prstDash val="solid"/>
              <a:round/>
            </a:ln>
            <a:effectLst/>
          </c:spPr>
          <c:marker>
            <c:symbol val="none"/>
          </c:marker>
          <c:dLbls>
            <c:delete val="1"/>
          </c:dLbls>
          <c:cat>
            <c:strRef>
              <c:f>Sheet1!$A$2:$A$4</c:f>
              <c:strCache>
                <c:ptCount val="3"/>
                <c:pt idx="0">
                  <c:v>排污绿化费</c:v>
                </c:pt>
                <c:pt idx="1">
                  <c:v>资源税</c:v>
                </c:pt>
                <c:pt idx="2">
                  <c:v>环境保护税</c:v>
                </c:pt>
              </c:strCache>
            </c:strRef>
          </c:cat>
          <c:val>
            <c:numRef>
              <c:f>Sheet1!$C$2:$C$4</c:f>
              <c:numCache>
                <c:formatCode>General</c:formatCode>
                <c:ptCount val="3"/>
                <c:pt idx="0">
                  <c:v>3249</c:v>
                </c:pt>
                <c:pt idx="1">
                  <c:v>4594</c:v>
                </c:pt>
                <c:pt idx="2">
                  <c:v>303</c:v>
                </c:pt>
              </c:numCache>
            </c:numRef>
          </c:val>
          <c:smooth val="0"/>
        </c:ser>
        <c:ser>
          <c:idx val="2"/>
          <c:order val="2"/>
          <c:tx>
            <c:strRef>
              <c:f>Sheet1!$D$1</c:f>
              <c:strCache>
                <c:ptCount val="1"/>
                <c:pt idx="0">
                  <c:v>2020</c:v>
                </c:pt>
              </c:strCache>
            </c:strRef>
          </c:tx>
          <c:spPr>
            <a:ln w="22225" cap="rnd" cmpd="sng" algn="ctr">
              <a:solidFill>
                <a:schemeClr val="accent3"/>
              </a:solidFill>
              <a:prstDash val="solid"/>
              <a:round/>
            </a:ln>
            <a:effectLst/>
          </c:spPr>
          <c:marker>
            <c:symbol val="none"/>
          </c:marker>
          <c:dLbls>
            <c:delete val="1"/>
          </c:dLbls>
          <c:cat>
            <c:strRef>
              <c:f>Sheet1!$A$2:$A$4</c:f>
              <c:strCache>
                <c:ptCount val="3"/>
                <c:pt idx="0">
                  <c:v>排污绿化费</c:v>
                </c:pt>
                <c:pt idx="1">
                  <c:v>资源税</c:v>
                </c:pt>
                <c:pt idx="2">
                  <c:v>环境保护税</c:v>
                </c:pt>
              </c:strCache>
            </c:strRef>
          </c:cat>
          <c:val>
            <c:numRef>
              <c:f>Sheet1!$D$2:$D$4</c:f>
              <c:numCache>
                <c:formatCode>General</c:formatCode>
                <c:ptCount val="3"/>
                <c:pt idx="0">
                  <c:v>2841</c:v>
                </c:pt>
                <c:pt idx="1">
                  <c:v>6764</c:v>
                </c:pt>
                <c:pt idx="2">
                  <c:v>239</c:v>
                </c:pt>
              </c:numCache>
            </c:numRef>
          </c:val>
          <c:smooth val="0"/>
        </c:ser>
        <c:ser>
          <c:idx val="3"/>
          <c:order val="3"/>
          <c:tx>
            <c:strRef>
              <c:f>Sheet1!$E$1</c:f>
              <c:strCache>
                <c:ptCount val="1"/>
                <c:pt idx="0">
                  <c:v>2021</c:v>
                </c:pt>
              </c:strCache>
            </c:strRef>
          </c:tx>
          <c:spPr>
            <a:ln w="22225" cap="rnd" cmpd="sng" algn="ctr">
              <a:solidFill>
                <a:schemeClr val="accent4"/>
              </a:solidFill>
              <a:prstDash val="solid"/>
              <a:round/>
            </a:ln>
            <a:effectLst/>
          </c:spPr>
          <c:marker>
            <c:symbol val="none"/>
          </c:marker>
          <c:dLbls>
            <c:delete val="1"/>
          </c:dLbls>
          <c:cat>
            <c:strRef>
              <c:f>Sheet1!$A$2:$A$4</c:f>
              <c:strCache>
                <c:ptCount val="3"/>
                <c:pt idx="0">
                  <c:v>排污绿化费</c:v>
                </c:pt>
                <c:pt idx="1">
                  <c:v>资源税</c:v>
                </c:pt>
                <c:pt idx="2">
                  <c:v>环境保护税</c:v>
                </c:pt>
              </c:strCache>
            </c:strRef>
          </c:cat>
          <c:val>
            <c:numRef>
              <c:f>Sheet1!$E$2:$E$4</c:f>
              <c:numCache>
                <c:formatCode>General</c:formatCode>
                <c:ptCount val="3"/>
                <c:pt idx="0">
                  <c:v>3948</c:v>
                </c:pt>
                <c:pt idx="1">
                  <c:v>13837</c:v>
                </c:pt>
                <c:pt idx="2">
                  <c:v>152</c:v>
                </c:pt>
              </c:numCache>
            </c:numRef>
          </c:val>
          <c:smooth val="0"/>
        </c:ser>
        <c:dLbls>
          <c:showLegendKey val="0"/>
          <c:showVal val="1"/>
          <c:showCatName val="0"/>
          <c:showSerName val="0"/>
          <c:showPercent val="0"/>
          <c:showBubbleSize val="0"/>
        </c:dLbls>
        <c:dropLines>
          <c:spPr>
            <a:ln w="9525" cap="flat" cmpd="sng" algn="ctr">
              <a:solidFill>
                <a:schemeClr val="dk1">
                  <a:lumMod val="35000"/>
                  <a:lumOff val="65000"/>
                  <a:alpha val="33000"/>
                </a:schemeClr>
              </a:solidFill>
              <a:prstDash val="solid"/>
              <a:round/>
            </a:ln>
            <a:effectLst/>
          </c:spPr>
        </c:dropLines>
        <c:marker val="0"/>
        <c:smooth val="0"/>
        <c:axId val="186099968"/>
        <c:axId val="186109952"/>
      </c:lineChart>
      <c:catAx>
        <c:axId val="186099968"/>
        <c:scaling>
          <c:orientation val="minMax"/>
        </c:scaling>
        <c:delete val="0"/>
        <c:axPos val="b"/>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spc="20" baseline="0">
                <a:solidFill>
                  <a:schemeClr val="dk1">
                    <a:lumMod val="65000"/>
                    <a:lumOff val="35000"/>
                  </a:schemeClr>
                </a:solidFill>
                <a:latin typeface="+mn-lt"/>
                <a:ea typeface="+mn-ea"/>
                <a:cs typeface="+mn-cs"/>
              </a:defRPr>
            </a:pPr>
          </a:p>
        </c:txPr>
        <c:crossAx val="186109952"/>
        <c:crosses val="autoZero"/>
        <c:auto val="1"/>
        <c:lblAlgn val="ctr"/>
        <c:lblOffset val="100"/>
        <c:noMultiLvlLbl val="0"/>
      </c:catAx>
      <c:valAx>
        <c:axId val="186109952"/>
        <c:scaling>
          <c:orientation val="minMax"/>
        </c:scaling>
        <c:delete val="0"/>
        <c:axPos val="l"/>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spc="20" baseline="0">
                <a:solidFill>
                  <a:schemeClr val="dk1">
                    <a:lumMod val="65000"/>
                    <a:lumOff val="35000"/>
                  </a:schemeClr>
                </a:solidFill>
                <a:latin typeface="+mn-lt"/>
                <a:ea typeface="+mn-ea"/>
                <a:cs typeface="+mn-cs"/>
              </a:defRPr>
            </a:pPr>
          </a:p>
        </c:txPr>
        <c:crossAx val="186099968"/>
        <c:crosses val="autoZero"/>
        <c:crossBetween val="between"/>
      </c:valAx>
      <c:dTable>
        <c:showHorzBorder val="1"/>
        <c:showVertBorder val="1"/>
        <c:showOutline val="1"/>
        <c:showKeys val="1"/>
        <c:spPr>
          <a:noFill/>
          <a:ln w="9525" cap="flat" cmpd="sng" algn="ctr">
            <a:solidFill>
              <a:schemeClr val="dk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dTable>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alpha val="61000"/>
      </a:schemeClr>
    </a:solidFill>
    <a:ln w="9525" cap="flat" cmpd="sng" algn="ctr">
      <a:solidFill>
        <a:schemeClr val="dk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1142857142857"/>
          <c:y val="0.0985373364126251"/>
          <c:w val="0.67503743315508"/>
          <c:h val="0.607698229407236"/>
        </c:manualLayout>
      </c:layout>
      <c:lineChart>
        <c:grouping val="standard"/>
        <c:varyColors val="0"/>
        <c:ser>
          <c:idx val="0"/>
          <c:order val="0"/>
          <c:tx>
            <c:strRef>
              <c:f>Sheet1!$B$1</c:f>
              <c:strCache>
                <c:ptCount val="1"/>
                <c:pt idx="0">
                  <c:v>节约标准煤（t)</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elete val="1"/>
          </c:dLbls>
          <c:cat>
            <c:numRef>
              <c:f>Sheet1!$A$2:$A$4</c:f>
              <c:numCache>
                <c:formatCode>General</c:formatCode>
                <c:ptCount val="3"/>
                <c:pt idx="0">
                  <c:v>2019</c:v>
                </c:pt>
                <c:pt idx="1">
                  <c:v>2020</c:v>
                </c:pt>
                <c:pt idx="2">
                  <c:v>2021</c:v>
                </c:pt>
              </c:numCache>
            </c:numRef>
          </c:cat>
          <c:val>
            <c:numRef>
              <c:f>Sheet1!$B$2:$B$4</c:f>
              <c:numCache>
                <c:formatCode>General</c:formatCode>
                <c:ptCount val="3"/>
                <c:pt idx="0">
                  <c:v>5962</c:v>
                </c:pt>
                <c:pt idx="1">
                  <c:v>7562</c:v>
                </c:pt>
                <c:pt idx="2">
                  <c:v>10000</c:v>
                </c:pt>
              </c:numCache>
            </c:numRef>
          </c:val>
          <c:smooth val="0"/>
        </c:ser>
        <c:ser>
          <c:idx val="1"/>
          <c:order val="1"/>
          <c:tx>
            <c:strRef>
              <c:f>Sheet1!$C$1</c:f>
              <c:strCache>
                <c:ptCount val="1"/>
                <c:pt idx="0">
                  <c:v>节约电力（万千瓦时）</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cat>
            <c:numRef>
              <c:f>Sheet1!$A$2:$A$4</c:f>
              <c:numCache>
                <c:formatCode>General</c:formatCode>
                <c:ptCount val="3"/>
                <c:pt idx="0">
                  <c:v>2019</c:v>
                </c:pt>
                <c:pt idx="1">
                  <c:v>2020</c:v>
                </c:pt>
                <c:pt idx="2">
                  <c:v>2021</c:v>
                </c:pt>
              </c:numCache>
            </c:numRef>
          </c:cat>
          <c:val>
            <c:numRef>
              <c:f>Sheet1!$C$2:$C$4</c:f>
              <c:numCache>
                <c:formatCode>General</c:formatCode>
                <c:ptCount val="3"/>
                <c:pt idx="0">
                  <c:v>7804</c:v>
                </c:pt>
                <c:pt idx="1">
                  <c:v>7437</c:v>
                </c:pt>
                <c:pt idx="2">
                  <c:v>6000</c:v>
                </c:pt>
              </c:numCache>
            </c:numRef>
          </c:val>
          <c:smooth val="0"/>
        </c:ser>
        <c:dLbls>
          <c:showLegendKey val="0"/>
          <c:showVal val="0"/>
          <c:showCatName val="0"/>
          <c:showSerName val="0"/>
          <c:showPercent val="0"/>
          <c:showBubbleSize val="0"/>
        </c:dLbls>
        <c:marker val="1"/>
        <c:smooth val="0"/>
        <c:axId val="379281792"/>
        <c:axId val="379283712"/>
        <c:extLst>
          <c:ext xmlns:c15="http://schemas.microsoft.com/office/drawing/2012/chart" uri="{02D57815-91ED-43cb-92C2-25804820EDAC}">
            <c15:filteredLineSeries>
              <c15:ser>
                <c:idx val="2"/>
                <c:order val="2"/>
                <c:tx>
                  <c:strRef>
                    <c:extLst>
                      <c:ext uri="{02D57815-91ED-43cb-92C2-25804820EDAC}">
                        <c15:formulaRef>
                          <c15:sqref>Sheet1!#REF!</c15:sqref>
                        </c15:formulaRef>
                      </c:ext>
                    </c:extLst>
                    <c:strCache>
                      <c:ptCount val="1"/>
                      <c:pt idx="0">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dLbls>
                  <c:delete val="1"/>
                </c:dLbls>
                <c:cat>
                  <c:numRef>
                    <c:extLst>
                      <c:ext uri="{02D57815-91ED-43cb-92C2-25804820EDAC}">
                        <c15:fullRef>
                          <c15:sqref/>
                        </c15:fullRef>
                        <c15:formulaRef>
                          <c15:sqref>Sheet1!$A$2:$A$4</c15:sqref>
                        </c15:formulaRef>
                      </c:ext>
                    </c:extLst>
                    <c:numCache>
                      <c:formatCode>General</c:formatCode>
                      <c:ptCount val="3"/>
                      <c:pt idx="0">
                        <c:v>2019</c:v>
                      </c:pt>
                      <c:pt idx="1">
                        <c:v>2020</c:v>
                      </c:pt>
                      <c:pt idx="2">
                        <c:v>2021</c:v>
                      </c:pt>
                    </c:numCache>
                  </c:numRef>
                </c:cat>
                <c:val>
                  <c:numRef>
                    <c:extLst>
                      <c:ext uri="{02D57815-91ED-43cb-92C2-25804820EDAC}">
                        <c15:formulaRef>
                          <c15:sqref>Sheet1!#REF!</c15:sqref>
                        </c15:formulaRef>
                      </c:ext>
                    </c:extLst>
                    <c:numCache>
                      <c:formatCode>General</c:formatCode>
                      <c:ptCount val="1"/>
                      <c:pt idx="0">
                        <c:v>1</c:v>
                      </c:pt>
                    </c:numCache>
                  </c:numRef>
                </c:val>
                <c:smooth val="0"/>
              </c15:ser>
            </c15:filteredLineSeries>
          </c:ext>
        </c:extLst>
      </c:lineChart>
      <c:catAx>
        <c:axId val="37928179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9283712"/>
        <c:crosses val="autoZero"/>
        <c:auto val="1"/>
        <c:lblAlgn val="ctr"/>
        <c:lblOffset val="100"/>
        <c:noMultiLvlLbl val="0"/>
      </c:catAx>
      <c:valAx>
        <c:axId val="37928371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928179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10744</Words>
  <Characters>10993</Characters>
  <Lines>0</Lines>
  <Paragraphs>0</Paragraphs>
  <TotalTime>0</TotalTime>
  <ScaleCrop>false</ScaleCrop>
  <LinksUpToDate>false</LinksUpToDate>
  <CharactersWithSpaces>11019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2024-02-20T08:26:00Z</dcterms:created>
  <dc:creator>16420</dc:creator>
  <cp:lastModifiedBy>小燕子</cp:lastModifiedBy>
  <dcterms:modified xsi:type="dcterms:W3CDTF">2024-06-28T01:56:17Z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2DC1F22B41914486A32A6FAFA983F504_12</vt:lpwstr>
  </property>
</Properties>
</file>