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2</w:t>
      </w:r>
    </w:p>
    <w:p/>
    <w:p>
      <w:pPr>
        <w:pStyle w:val="2"/>
        <w:rPr>
          <w:lang w:bidi="ar"/>
        </w:rPr>
      </w:pPr>
    </w:p>
    <w:p>
      <w:pPr>
        <w:widowControl/>
        <w:jc w:val="center"/>
        <w:rPr>
          <w:rFonts w:ascii="黑体" w:hAnsi="宋体" w:eastAsia="黑体" w:cs="黑体"/>
          <w:color w:val="000000"/>
          <w:kern w:val="0"/>
          <w:sz w:val="52"/>
          <w:szCs w:val="52"/>
          <w:lang w:bidi="ar"/>
        </w:rPr>
      </w:pPr>
      <w:r>
        <w:rPr>
          <w:rFonts w:hint="eastAsia" w:ascii="黑体" w:hAnsi="宋体" w:eastAsia="黑体" w:cs="黑体"/>
          <w:color w:val="000000"/>
          <w:kern w:val="0"/>
          <w:sz w:val="52"/>
          <w:szCs w:val="52"/>
          <w:lang w:eastAsia="zh-CN" w:bidi="ar"/>
        </w:rPr>
        <w:t>铜陵</w:t>
      </w:r>
      <w:r>
        <w:rPr>
          <w:rFonts w:hint="eastAsia" w:ascii="黑体" w:hAnsi="宋体" w:eastAsia="黑体" w:cs="黑体"/>
          <w:color w:val="000000"/>
          <w:kern w:val="0"/>
          <w:sz w:val="52"/>
          <w:szCs w:val="52"/>
          <w:lang w:bidi="ar"/>
        </w:rPr>
        <w:t>学院真实项目案例库</w:t>
      </w:r>
    </w:p>
    <w:p>
      <w:pPr>
        <w:jc w:val="center"/>
        <w:rPr>
          <w:b/>
          <w:sz w:val="36"/>
        </w:rPr>
      </w:pPr>
    </w:p>
    <w:p>
      <w:pPr>
        <w:jc w:val="center"/>
        <w:rPr>
          <w:b/>
          <w:sz w:val="36"/>
        </w:rPr>
      </w:pPr>
    </w:p>
    <w:p>
      <w:pPr>
        <w:jc w:val="center"/>
        <w:rPr>
          <w:b/>
          <w:sz w:val="72"/>
        </w:rPr>
      </w:pPr>
      <w:r>
        <w:rPr>
          <w:rFonts w:hint="eastAsia"/>
          <w:b/>
          <w:sz w:val="72"/>
        </w:rPr>
        <w:t>申  报  书</w:t>
      </w:r>
    </w:p>
    <w:p/>
    <w:p/>
    <w:p/>
    <w:p>
      <w:pPr>
        <w:ind w:firstLine="1500" w:firstLineChars="500"/>
        <w:rPr>
          <w:rFonts w:hint="default"/>
          <w:sz w:val="30"/>
          <w:lang w:val="en-US"/>
        </w:rPr>
      </w:pPr>
      <w:r>
        <w:rPr>
          <w:rFonts w:hint="eastAsia"/>
          <w:sz w:val="30"/>
        </w:rPr>
        <w:t xml:space="preserve">课程名称： </w:t>
      </w:r>
      <w:r>
        <w:rPr>
          <w:sz w:val="30"/>
        </w:rPr>
        <w:t xml:space="preserve">    </w:t>
      </w:r>
      <w:r>
        <w:rPr>
          <w:rFonts w:hint="eastAsia"/>
          <w:sz w:val="30"/>
          <w:u w:val="single"/>
          <w:lang w:val="en-US" w:eastAsia="zh-CN"/>
        </w:rPr>
        <w:t xml:space="preserve">      无形资产评估       </w:t>
      </w:r>
    </w:p>
    <w:p>
      <w:pPr>
        <w:ind w:firstLine="1500" w:firstLineChars="500"/>
        <w:rPr>
          <w:sz w:val="30"/>
        </w:rPr>
      </w:pPr>
    </w:p>
    <w:p>
      <w:pPr>
        <w:ind w:firstLine="1500" w:firstLineChars="500"/>
        <w:rPr>
          <w:sz w:val="30"/>
        </w:rPr>
      </w:pPr>
      <w:r>
        <w:rPr>
          <w:rFonts w:hint="eastAsia"/>
          <w:sz w:val="30"/>
        </w:rPr>
        <w:t>编写负责人姓名：</w:t>
      </w:r>
      <w:r>
        <w:rPr>
          <w:rFonts w:hint="eastAsia"/>
          <w:sz w:val="30"/>
          <w:u w:val="single"/>
          <w:lang w:val="en-US" w:eastAsia="zh-CN"/>
        </w:rPr>
        <w:t xml:space="preserve">        李振楠         </w:t>
      </w:r>
    </w:p>
    <w:p>
      <w:pPr>
        <w:ind w:firstLine="1500" w:firstLineChars="500"/>
        <w:rPr>
          <w:sz w:val="30"/>
        </w:rPr>
      </w:pPr>
    </w:p>
    <w:p>
      <w:pPr>
        <w:ind w:firstLine="1500" w:firstLineChars="500"/>
        <w:rPr>
          <w:sz w:val="30"/>
        </w:rPr>
      </w:pPr>
      <w:r>
        <w:rPr>
          <w:rFonts w:hint="eastAsia"/>
          <w:sz w:val="30"/>
        </w:rPr>
        <w:t xml:space="preserve">联系电话：      </w:t>
      </w:r>
      <w:r>
        <w:rPr>
          <w:rFonts w:hint="eastAsia"/>
          <w:sz w:val="30"/>
          <w:u w:val="single"/>
          <w:lang w:val="en-US" w:eastAsia="zh-CN"/>
        </w:rPr>
        <w:t xml:space="preserve">      18179429056      </w:t>
      </w:r>
    </w:p>
    <w:p>
      <w:pPr>
        <w:ind w:firstLine="1500" w:firstLineChars="500"/>
        <w:rPr>
          <w:sz w:val="30"/>
        </w:rPr>
      </w:pPr>
    </w:p>
    <w:p>
      <w:pPr>
        <w:ind w:firstLine="1500" w:firstLineChars="500"/>
        <w:rPr>
          <w:rFonts w:hint="default"/>
          <w:sz w:val="30"/>
          <w:u w:val="single"/>
          <w:lang w:val="en-US"/>
        </w:rPr>
      </w:pPr>
      <w:r>
        <w:rPr>
          <w:rFonts w:hint="eastAsia"/>
          <w:sz w:val="30"/>
        </w:rPr>
        <w:t>院（部）名称：</w:t>
      </w:r>
      <w:r>
        <w:rPr>
          <w:rFonts w:hint="eastAsia"/>
          <w:sz w:val="30"/>
          <w:lang w:val="en-US" w:eastAsia="zh-CN"/>
        </w:rPr>
        <w:t xml:space="preserve">  </w:t>
      </w:r>
      <w:r>
        <w:rPr>
          <w:rFonts w:hint="eastAsia"/>
          <w:sz w:val="30"/>
          <w:u w:val="single"/>
          <w:lang w:val="en-US" w:eastAsia="zh-CN"/>
        </w:rPr>
        <w:t xml:space="preserve">        会计学院        </w:t>
      </w:r>
    </w:p>
    <w:p>
      <w:pPr>
        <w:spacing w:line="276" w:lineRule="auto"/>
        <w:jc w:val="center"/>
        <w:rPr>
          <w:rFonts w:hint="eastAsia"/>
          <w:b/>
          <w:sz w:val="30"/>
        </w:rPr>
      </w:pPr>
    </w:p>
    <w:p>
      <w:pPr>
        <w:spacing w:line="276" w:lineRule="auto"/>
        <w:jc w:val="center"/>
        <w:rPr>
          <w:b/>
          <w:sz w:val="30"/>
        </w:rPr>
      </w:pPr>
      <w:r>
        <w:rPr>
          <w:rFonts w:hint="eastAsia"/>
          <w:b/>
          <w:sz w:val="30"/>
        </w:rPr>
        <w:t>二</w:t>
      </w:r>
      <w:r>
        <w:rPr>
          <w:rFonts w:hint="eastAsia" w:ascii="宋体" w:hAnsi="宋体"/>
          <w:b/>
          <w:sz w:val="30"/>
        </w:rPr>
        <w:t>〇二</w:t>
      </w:r>
      <w:r>
        <w:rPr>
          <w:rFonts w:hint="eastAsia" w:ascii="宋体" w:hAnsi="宋体"/>
          <w:b/>
          <w:sz w:val="30"/>
          <w:lang w:eastAsia="zh-CN"/>
        </w:rPr>
        <w:t>四</w:t>
      </w:r>
      <w:r>
        <w:rPr>
          <w:rFonts w:hint="eastAsia"/>
          <w:b/>
          <w:sz w:val="30"/>
        </w:rPr>
        <w:t>年</w:t>
      </w:r>
      <w:r>
        <w:rPr>
          <w:rFonts w:hint="eastAsia"/>
          <w:b/>
          <w:sz w:val="30"/>
          <w:lang w:eastAsia="zh-CN"/>
        </w:rPr>
        <w:t>一</w:t>
      </w:r>
      <w:r>
        <w:rPr>
          <w:rFonts w:hint="eastAsia"/>
          <w:b/>
          <w:sz w:val="30"/>
        </w:rPr>
        <w:t>月</w:t>
      </w:r>
    </w:p>
    <w:p>
      <w:pPr>
        <w:pStyle w:val="2"/>
        <w:sectPr>
          <w:pgSz w:w="11906" w:h="16838"/>
          <w:pgMar w:top="1440" w:right="1800" w:bottom="1440" w:left="1800" w:header="851" w:footer="992" w:gutter="0"/>
          <w:cols w:space="425" w:num="1"/>
          <w:docGrid w:type="lines" w:linePitch="312" w:charSpace="0"/>
        </w:sectPr>
      </w:pPr>
    </w:p>
    <w:p>
      <w:pPr>
        <w:widowControl/>
        <w:jc w:val="center"/>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eastAsia="zh-CN" w:bidi="ar"/>
        </w:rPr>
        <w:t>《</w:t>
      </w:r>
      <w:r>
        <w:rPr>
          <w:rFonts w:hint="eastAsia" w:ascii="黑体" w:hAnsi="黑体" w:eastAsia="黑体" w:cs="黑体"/>
          <w:b/>
          <w:bCs/>
          <w:color w:val="000000"/>
          <w:kern w:val="0"/>
          <w:sz w:val="32"/>
          <w:szCs w:val="32"/>
          <w:lang w:bidi="ar"/>
        </w:rPr>
        <w:t>无形资产评估</w:t>
      </w:r>
      <w:r>
        <w:rPr>
          <w:rFonts w:hint="eastAsia" w:ascii="黑体" w:hAnsi="黑体" w:eastAsia="黑体" w:cs="黑体"/>
          <w:b/>
          <w:bCs/>
          <w:color w:val="000000"/>
          <w:kern w:val="0"/>
          <w:sz w:val="32"/>
          <w:szCs w:val="32"/>
          <w:lang w:eastAsia="zh-CN" w:bidi="ar"/>
        </w:rPr>
        <w:t>》</w:t>
      </w:r>
      <w:r>
        <w:rPr>
          <w:rFonts w:hint="eastAsia" w:ascii="黑体" w:hAnsi="黑体" w:eastAsia="黑体" w:cs="黑体"/>
          <w:b/>
          <w:bCs/>
          <w:color w:val="000000"/>
          <w:kern w:val="0"/>
          <w:sz w:val="32"/>
          <w:szCs w:val="32"/>
          <w:lang w:bidi="ar"/>
        </w:rPr>
        <w:t>课程真实项目案例库</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snapToGrid/>
              <w:spacing w:line="60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课程名称</w:t>
            </w:r>
          </w:p>
        </w:tc>
        <w:tc>
          <w:tcPr>
            <w:tcW w:w="2130" w:type="dxa"/>
          </w:tcPr>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无形资产评估</w:t>
            </w:r>
          </w:p>
        </w:tc>
        <w:tc>
          <w:tcPr>
            <w:tcW w:w="2131" w:type="dxa"/>
          </w:tcPr>
          <w:p>
            <w:pPr>
              <w:keepNext w:val="0"/>
              <w:keepLines w:val="0"/>
              <w:pageBreakBefore w:val="0"/>
              <w:widowControl/>
              <w:kinsoku/>
              <w:wordWrap/>
              <w:overflowPunct/>
              <w:topLinePunct w:val="0"/>
              <w:autoSpaceDE/>
              <w:autoSpaceDN/>
              <w:bidi w:val="0"/>
              <w:adjustRightInd/>
              <w:snapToGrid/>
              <w:spacing w:line="60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学时</w:t>
            </w:r>
          </w:p>
        </w:tc>
        <w:tc>
          <w:tcPr>
            <w:tcW w:w="2131" w:type="dxa"/>
          </w:tcPr>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snapToGrid/>
              <w:spacing w:line="60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适用专业</w:t>
            </w:r>
          </w:p>
        </w:tc>
        <w:tc>
          <w:tcPr>
            <w:tcW w:w="2130" w:type="dxa"/>
          </w:tcPr>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资产评估</w:t>
            </w:r>
          </w:p>
        </w:tc>
        <w:tc>
          <w:tcPr>
            <w:tcW w:w="2131" w:type="dxa"/>
          </w:tcPr>
          <w:p>
            <w:pPr>
              <w:keepNext w:val="0"/>
              <w:keepLines w:val="0"/>
              <w:pageBreakBefore w:val="0"/>
              <w:widowControl/>
              <w:kinsoku/>
              <w:wordWrap/>
              <w:overflowPunct/>
              <w:topLinePunct w:val="0"/>
              <w:autoSpaceDE/>
              <w:autoSpaceDN/>
              <w:bidi w:val="0"/>
              <w:adjustRightInd/>
              <w:snapToGrid/>
              <w:spacing w:line="60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适用年级</w:t>
            </w:r>
          </w:p>
        </w:tc>
        <w:tc>
          <w:tcPr>
            <w:tcW w:w="2131" w:type="dxa"/>
          </w:tcPr>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本科三年级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snapToGrid/>
              <w:spacing w:line="60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制订人</w:t>
            </w:r>
          </w:p>
        </w:tc>
        <w:tc>
          <w:tcPr>
            <w:tcW w:w="2130" w:type="dxa"/>
          </w:tcPr>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李振楠</w:t>
            </w:r>
          </w:p>
        </w:tc>
        <w:tc>
          <w:tcPr>
            <w:tcW w:w="2131" w:type="dxa"/>
          </w:tcPr>
          <w:p>
            <w:pPr>
              <w:keepNext w:val="0"/>
              <w:keepLines w:val="0"/>
              <w:pageBreakBefore w:val="0"/>
              <w:widowControl/>
              <w:kinsoku/>
              <w:wordWrap/>
              <w:overflowPunct/>
              <w:topLinePunct w:val="0"/>
              <w:autoSpaceDE/>
              <w:autoSpaceDN/>
              <w:bidi w:val="0"/>
              <w:adjustRightInd/>
              <w:snapToGrid/>
              <w:spacing w:line="60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时间</w:t>
            </w:r>
          </w:p>
        </w:tc>
        <w:tc>
          <w:tcPr>
            <w:tcW w:w="2131" w:type="dxa"/>
          </w:tcPr>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2024.02.25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课程目标</w:t>
            </w:r>
          </w:p>
        </w:tc>
        <w:tc>
          <w:tcPr>
            <w:tcW w:w="6392" w:type="dxa"/>
            <w:gridSpan w:val="3"/>
          </w:tcPr>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bidi="ar"/>
              </w:rPr>
              <w:t>熟练掌握和运用无形资产评估理论的基本原理、基本概念、基本知识</w:t>
            </w:r>
            <w:r>
              <w:rPr>
                <w:rFonts w:hint="eastAsia" w:ascii="仿宋_GB2312" w:hAnsi="仿宋_GB2312" w:eastAsia="仿宋_GB2312" w:cs="仿宋_GB2312"/>
                <w:color w:val="000000"/>
                <w:kern w:val="0"/>
                <w:sz w:val="28"/>
                <w:szCs w:val="2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keepNext w:val="0"/>
              <w:keepLines w:val="0"/>
              <w:pageBreakBefore w:val="0"/>
              <w:widowControl/>
              <w:kinsoku/>
              <w:wordWrap/>
              <w:overflowPunct/>
              <w:topLinePunct w:val="0"/>
              <w:autoSpaceDE/>
              <w:autoSpaceDN/>
              <w:bidi w:val="0"/>
              <w:adjustRightInd/>
              <w:snapToGrid/>
              <w:spacing w:line="600" w:lineRule="exact"/>
              <w:jc w:val="distribute"/>
              <w:textAlignment w:val="auto"/>
              <w:rPr>
                <w:rFonts w:ascii="仿宋_GB2312" w:hAnsi="仿宋_GB2312" w:eastAsia="仿宋_GB2312" w:cs="仿宋_GB2312"/>
                <w:color w:val="000000"/>
                <w:kern w:val="0"/>
                <w:sz w:val="28"/>
                <w:szCs w:val="28"/>
                <w:lang w:bidi="ar"/>
              </w:rPr>
            </w:pPr>
          </w:p>
        </w:tc>
        <w:tc>
          <w:tcPr>
            <w:tcW w:w="6392" w:type="dxa"/>
            <w:gridSpan w:val="3"/>
          </w:tcPr>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拥有一定的无形资产评估思维逻辑，能够对无形资产评估对象建立基本评估模型，</w:t>
            </w:r>
            <w:r>
              <w:rPr>
                <w:rFonts w:hint="eastAsia" w:ascii="仿宋_GB2312" w:hAnsi="仿宋_GB2312" w:eastAsia="仿宋_GB2312" w:cs="仿宋_GB2312"/>
                <w:color w:val="000000"/>
                <w:kern w:val="0"/>
                <w:sz w:val="28"/>
                <w:szCs w:val="28"/>
                <w:lang w:val="en-US" w:eastAsia="zh-CN" w:bidi="ar"/>
              </w:rPr>
              <w:t>确定基本参数，</w:t>
            </w:r>
            <w:r>
              <w:rPr>
                <w:rFonts w:hint="eastAsia" w:ascii="仿宋_GB2312" w:hAnsi="仿宋_GB2312" w:eastAsia="仿宋_GB2312" w:cs="仿宋_GB2312"/>
                <w:color w:val="000000"/>
                <w:kern w:val="0"/>
                <w:sz w:val="28"/>
                <w:szCs w:val="28"/>
                <w:lang w:bidi="ar"/>
              </w:rPr>
              <w:t>建立无形资产评估基本框架。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keepNext w:val="0"/>
              <w:keepLines w:val="0"/>
              <w:pageBreakBefore w:val="0"/>
              <w:widowControl/>
              <w:kinsoku/>
              <w:wordWrap/>
              <w:overflowPunct/>
              <w:topLinePunct w:val="0"/>
              <w:autoSpaceDE/>
              <w:autoSpaceDN/>
              <w:bidi w:val="0"/>
              <w:adjustRightInd/>
              <w:snapToGrid/>
              <w:spacing w:line="600" w:lineRule="exact"/>
              <w:jc w:val="distribute"/>
              <w:textAlignment w:val="auto"/>
              <w:rPr>
                <w:rFonts w:ascii="仿宋_GB2312" w:hAnsi="仿宋_GB2312" w:eastAsia="仿宋_GB2312" w:cs="仿宋_GB2312"/>
                <w:color w:val="000000"/>
                <w:kern w:val="0"/>
                <w:sz w:val="28"/>
                <w:szCs w:val="28"/>
                <w:lang w:bidi="ar"/>
              </w:rPr>
            </w:pPr>
          </w:p>
        </w:tc>
        <w:tc>
          <w:tcPr>
            <w:tcW w:w="6392" w:type="dxa"/>
            <w:gridSpan w:val="3"/>
          </w:tcPr>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bidi="ar"/>
              </w:rPr>
              <w:t>熟练掌握编制无形资产评估报告，明确无形资产评估报告要点</w:t>
            </w:r>
            <w:r>
              <w:rPr>
                <w:rFonts w:hint="eastAsia" w:ascii="仿宋_GB2312" w:hAnsi="仿宋_GB2312" w:eastAsia="仿宋_GB2312" w:cs="仿宋_GB2312"/>
                <w:color w:val="000000"/>
                <w:kern w:val="0"/>
                <w:sz w:val="28"/>
                <w:szCs w:val="28"/>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snapToGrid/>
              <w:spacing w:line="600" w:lineRule="exact"/>
              <w:jc w:val="distribute"/>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t>申报类型</w:t>
            </w:r>
          </w:p>
        </w:tc>
        <w:tc>
          <w:tcPr>
            <w:tcW w:w="6392" w:type="dxa"/>
            <w:gridSpan w:val="3"/>
          </w:tcPr>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sym w:font="Wingdings 2" w:char="0052"/>
            </w:r>
            <w:r>
              <w:rPr>
                <w:rFonts w:hint="eastAsia" w:ascii="仿宋_GB2312" w:hAnsi="仿宋_GB2312" w:eastAsia="仿宋_GB2312" w:cs="仿宋_GB2312"/>
                <w:color w:val="000000"/>
                <w:kern w:val="0"/>
                <w:sz w:val="28"/>
                <w:szCs w:val="28"/>
                <w:lang w:eastAsia="zh-CN" w:bidi="ar"/>
              </w:rPr>
              <w:t>申报认定</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sym w:font="Wingdings 2" w:char="00A3"/>
            </w:r>
            <w:r>
              <w:rPr>
                <w:rFonts w:hint="eastAsia" w:ascii="仿宋_GB2312" w:hAnsi="仿宋_GB2312" w:eastAsia="仿宋_GB2312" w:cs="仿宋_GB2312"/>
                <w:color w:val="000000"/>
                <w:kern w:val="0"/>
                <w:sz w:val="28"/>
                <w:szCs w:val="28"/>
                <w:lang w:val="en-US" w:eastAsia="zh-CN" w:bidi="ar"/>
              </w:rPr>
              <w:t>申报立项</w:t>
            </w:r>
          </w:p>
        </w:tc>
      </w:tr>
    </w:tbl>
    <w:p>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项目（案例）</w:t>
      </w:r>
      <w:r>
        <w:rPr>
          <w:rFonts w:hint="eastAsia" w:ascii="黑体" w:hAnsi="黑体" w:eastAsia="黑体" w:cs="黑体"/>
          <w:color w:val="000000"/>
          <w:kern w:val="0"/>
          <w:sz w:val="28"/>
          <w:szCs w:val="28"/>
          <w:lang w:eastAsia="zh-CN" w:bidi="ar"/>
        </w:rPr>
        <w:t>名称</w:t>
      </w:r>
      <w:r>
        <w:rPr>
          <w:rFonts w:hint="eastAsia" w:ascii="黑体" w:hAnsi="黑体" w:eastAsia="黑体" w:cs="黑体"/>
          <w:color w:val="000000"/>
          <w:kern w:val="0"/>
          <w:sz w:val="28"/>
          <w:szCs w:val="28"/>
          <w:lang w:bidi="ar"/>
        </w:rPr>
        <w:t>：</w:t>
      </w:r>
    </w:p>
    <w:p>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firstLine="0" w:firstLineChars="0"/>
        <w:jc w:val="center"/>
        <w:textAlignment w:val="auto"/>
        <w:rPr>
          <w:rFonts w:hint="default" w:ascii="宋体" w:hAnsi="宋体" w:eastAsia="宋体" w:cs="宋体"/>
          <w:color w:val="auto"/>
          <w:kern w:val="2"/>
          <w:sz w:val="24"/>
          <w:szCs w:val="24"/>
          <w:lang w:val="en-US" w:eastAsia="zh-CN" w:bidi="ar-SA"/>
        </w:rPr>
      </w:pPr>
      <w:r>
        <w:rPr>
          <w:rFonts w:hint="eastAsia" w:ascii="黑体" w:hAnsi="黑体" w:eastAsia="黑体" w:cs="黑体"/>
          <w:b/>
          <w:bCs/>
          <w:color w:val="auto"/>
          <w:kern w:val="2"/>
          <w:sz w:val="28"/>
          <w:szCs w:val="28"/>
          <w:lang w:val="en-US" w:eastAsia="zh-CN" w:bidi="ar-SA"/>
        </w:rPr>
        <w:t>A供应链金融系统计算机软件著作权评估案例</w:t>
      </w:r>
    </w:p>
    <w:p>
      <w:pPr>
        <w:widowControl/>
        <w:numPr>
          <w:ilvl w:val="0"/>
          <w:numId w:val="1"/>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宋体"/>
          <w:bCs/>
          <w:color w:val="000000"/>
          <w:kern w:val="0"/>
          <w:sz w:val="28"/>
          <w:szCs w:val="28"/>
          <w:lang w:bidi="ar"/>
        </w:rPr>
        <w:t>教学目标</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before="400" w:after="400" w:line="300" w:lineRule="auto"/>
              <w:ind w:firstLine="480" w:firstLineChars="200"/>
              <w:textAlignment w:val="auto"/>
              <w:rPr>
                <w:lang w:bidi="ar"/>
              </w:rPr>
            </w:pPr>
            <w:r>
              <w:rPr>
                <w:rFonts w:hint="eastAsia" w:ascii="宋体" w:hAnsi="宋体" w:eastAsia="宋体" w:cs="宋体"/>
                <w:color w:val="auto"/>
                <w:kern w:val="40"/>
                <w:sz w:val="24"/>
                <w:szCs w:val="24"/>
                <w:lang w:val="en-US" w:eastAsia="zh-CN" w:bidi="ar-SA"/>
              </w:rPr>
              <w:t>通过本案例的教学，使学生对无形资产评估特别是计算机软件著作权的评估有一个全面的认识，能够熟练掌握和运用无形资产评估理论的基本原理、基本概念、基本知识。在掌握计算机软件著作权价值评估的评估目的、价值类型、评估对象与范围等的基础上，能够对无形资产评估对象建立基本评估模型，充分理解基于收益的无形资产提成法的具体应用思路，掌握各类参数的选取与确定，尤其是对计算机软件著作权对现金流的分成率的确定，具备计算机软件著作权价值评估的基本分析问题和解决问题能力。最终达到熟练掌握编制无形资产评估报告，且明确无形资产评估报告要点，具备一般无形资产评估综合能力。</w:t>
            </w:r>
          </w:p>
        </w:tc>
      </w:tr>
    </w:tbl>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项目/案例内容</w:t>
      </w: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vAlign w:val="center"/>
          </w:tcPr>
          <w:p>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firstLine="0" w:firstLineChars="0"/>
              <w:jc w:val="center"/>
              <w:textAlignment w:val="auto"/>
              <w:rPr>
                <w:rFonts w:hint="eastAsia" w:ascii="宋体" w:hAnsi="宋体" w:eastAsia="宋体" w:cs="宋体"/>
                <w:color w:val="auto"/>
                <w:kern w:val="2"/>
                <w:sz w:val="24"/>
                <w:szCs w:val="24"/>
                <w:lang w:val="en-US" w:eastAsia="zh-CN" w:bidi="ar-SA"/>
              </w:rPr>
            </w:pPr>
            <w:r>
              <w:rPr>
                <w:rFonts w:hint="eastAsia" w:ascii="黑体" w:hAnsi="黑体" w:eastAsia="黑体" w:cs="黑体"/>
                <w:b/>
                <w:bCs/>
                <w:color w:val="auto"/>
                <w:kern w:val="2"/>
                <w:sz w:val="28"/>
                <w:szCs w:val="28"/>
                <w:lang w:val="en-US" w:eastAsia="zh-CN" w:bidi="ar-SA"/>
              </w:rPr>
              <w:t>A供应链金融系统计算机软件著作权评估</w:t>
            </w:r>
          </w:p>
          <w:p>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摘要：</w:t>
            </w:r>
            <w:r>
              <w:rPr>
                <w:rFonts w:hint="eastAsia" w:ascii="宋体" w:hAnsi="宋体" w:eastAsia="宋体" w:cs="宋体"/>
                <w:color w:val="auto"/>
                <w:kern w:val="40"/>
                <w:sz w:val="24"/>
                <w:szCs w:val="24"/>
                <w:lang w:val="en-US" w:eastAsia="zh-CN" w:bidi="ar-SA"/>
              </w:rPr>
              <w:t>本案例描述的是A供应链金融系统计算机软件著作权评估，案例采用了基于收益的无形资产提成法。该方法认为在无形资产对应产品的生产、销售（提供的服务）过程中无形资产对产品（服务）创造的利润或者说现金流是有贡献的，合理地确认出经济寿命期，并预测出在寿命期内的无形资产的产品的销售收入，确定无形资产对现金流的分成率，再选取恰当的折现率，将产品中每年无形资产对现金流的贡献折为现值，以此作为无形资产的评估价值。</w:t>
            </w:r>
          </w:p>
          <w:p>
            <w:pPr>
              <w:keepNext w:val="0"/>
              <w:keepLines w:val="0"/>
              <w:pageBreakBefore w:val="0"/>
              <w:widowControl w:val="0"/>
              <w:kinsoku/>
              <w:wordWrap/>
              <w:overflowPunct/>
              <w:topLinePunct w:val="0"/>
              <w:bidi w:val="0"/>
              <w:spacing w:before="78" w:beforeLines="25" w:after="78" w:afterLines="25" w:line="30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color w:val="auto"/>
                <w:kern w:val="40"/>
                <w:sz w:val="24"/>
                <w:szCs w:val="24"/>
                <w:lang w:val="en-US" w:eastAsia="zh-CN" w:bidi="ar-SA"/>
              </w:rPr>
              <w:t>关键词：</w:t>
            </w:r>
            <w:r>
              <w:rPr>
                <w:rFonts w:hint="eastAsia" w:ascii="宋体" w:hAnsi="宋体" w:eastAsia="宋体" w:cs="宋体"/>
                <w:color w:val="auto"/>
                <w:kern w:val="40"/>
                <w:sz w:val="24"/>
                <w:szCs w:val="24"/>
                <w:lang w:val="en-US" w:eastAsia="zh-CN" w:bidi="ar-SA"/>
              </w:rPr>
              <w:t>计算机软件著作权；价值评估；无形资产提成法；案例研究</w:t>
            </w:r>
          </w:p>
          <w:p>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1、引言</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案例来源于真实的评估案例。本案例在一定的程度上反映了无形资产评估中计算机软件著作权价值评估的特点，具有一定的典型性与代表性。在使用本案例时，需要事先对无形资产、著作权、计算机软件著作权等有一个基本的认识与了解；对收益法的整体评估思路有一个良好的把握；对基于收益的无形资产提成法的使用条件及前提有一个大致的了解。充分做好学习的准备。</w:t>
            </w:r>
          </w:p>
          <w:p>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both"/>
              <w:textAlignment w:val="auto"/>
              <w:rPr>
                <w:rFonts w:hint="default"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2、相关背景介绍</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原持有A供应链金融系统计算机软件著作权评估北京首信科技有限公司</w:t>
            </w:r>
            <w:r>
              <w:rPr>
                <w:rFonts w:hint="default" w:ascii="宋体" w:hAnsi="宋体" w:eastAsia="宋体" w:cs="宋体"/>
                <w:color w:val="auto"/>
                <w:kern w:val="40"/>
                <w:sz w:val="24"/>
                <w:szCs w:val="24"/>
                <w:lang w:val="en-US" w:eastAsia="zh-CN" w:bidi="ar-SA"/>
              </w:rPr>
              <w:t>成立于2004年10月</w:t>
            </w:r>
            <w:r>
              <w:rPr>
                <w:rFonts w:hint="eastAsia" w:ascii="宋体" w:hAnsi="宋体" w:eastAsia="宋体" w:cs="宋体"/>
                <w:color w:val="auto"/>
                <w:kern w:val="40"/>
                <w:sz w:val="24"/>
                <w:szCs w:val="24"/>
                <w:lang w:val="en-US" w:eastAsia="zh-CN" w:bidi="ar-SA"/>
              </w:rPr>
              <w:t>，</w:t>
            </w:r>
            <w:r>
              <w:rPr>
                <w:rFonts w:hint="default" w:ascii="宋体" w:hAnsi="宋体" w:eastAsia="宋体" w:cs="宋体"/>
                <w:color w:val="auto"/>
                <w:kern w:val="40"/>
                <w:sz w:val="24"/>
                <w:szCs w:val="24"/>
                <w:lang w:val="en-US" w:eastAsia="zh-CN" w:bidi="ar-SA"/>
              </w:rPr>
              <w:t>2017年2月7日公司成功挂牌新三板。公司主要从事AAA认证计费产品和物联网、大数据、信息安全及5G等领域的软件产品的研发、销售及相关技术服务，致力于为电信运营商、能源、交通、金融等行业客户及各级政府部门提供安全可靠、高效易用的信息安全和大数据应用解决方案，业务覆盖全国31个省、直辖市、自治区以及香港、澳门特别行政区。</w:t>
            </w:r>
            <w:r>
              <w:rPr>
                <w:rFonts w:hint="eastAsia" w:ascii="宋体" w:hAnsi="宋体" w:eastAsia="宋体" w:cs="宋体"/>
                <w:color w:val="auto"/>
                <w:kern w:val="40"/>
                <w:sz w:val="24"/>
                <w:szCs w:val="24"/>
                <w:lang w:val="en-US" w:eastAsia="zh-CN" w:bidi="ar-SA"/>
              </w:rPr>
              <w:t>公司</w:t>
            </w:r>
            <w:r>
              <w:rPr>
                <w:rFonts w:hint="default" w:ascii="宋体" w:hAnsi="宋体" w:eastAsia="宋体" w:cs="宋体"/>
                <w:color w:val="auto"/>
                <w:kern w:val="40"/>
                <w:sz w:val="24"/>
                <w:szCs w:val="24"/>
                <w:lang w:val="en-US" w:eastAsia="zh-CN" w:bidi="ar-SA"/>
              </w:rPr>
              <w:t>专注核心技术的打造和应用，是国内专业的认证技术厂商，在业内具有竞争优势。</w:t>
            </w:r>
            <w:r>
              <w:rPr>
                <w:rFonts w:hint="eastAsia" w:ascii="宋体" w:hAnsi="宋体" w:eastAsia="宋体" w:cs="宋体"/>
                <w:color w:val="auto"/>
                <w:kern w:val="40"/>
                <w:sz w:val="24"/>
                <w:szCs w:val="24"/>
                <w:lang w:val="en-US" w:eastAsia="zh-CN" w:bidi="ar-SA"/>
              </w:rPr>
              <w:t>公司</w:t>
            </w:r>
            <w:r>
              <w:rPr>
                <w:rFonts w:hint="default" w:ascii="宋体" w:hAnsi="宋体" w:eastAsia="宋体" w:cs="宋体"/>
                <w:color w:val="auto"/>
                <w:kern w:val="40"/>
                <w:sz w:val="24"/>
                <w:szCs w:val="24"/>
                <w:lang w:val="en-US" w:eastAsia="zh-CN" w:bidi="ar-SA"/>
              </w:rPr>
              <w:t>是一个知识密集型的高新技术企业、软件企业和信息系统集成及服务提供商。公司面向技术前沿的大数据研究项目，通过了“移动互联大数据应用北京工程实验室”认定。2017年12月，通过CMMI 3级认定，公司在软件设计、开发、项目管理及为用户提供高质量产品方面迈上了新台阶。2019年9月，获得“北京市企业技术中心”殊荣，公司在促进企业技术进步和技术创新管理方面得到充分认可。</w:t>
            </w:r>
            <w:r>
              <w:rPr>
                <w:rFonts w:hint="eastAsia" w:ascii="宋体" w:hAnsi="宋体" w:eastAsia="宋体" w:cs="宋体"/>
                <w:color w:val="auto"/>
                <w:kern w:val="40"/>
                <w:sz w:val="24"/>
                <w:szCs w:val="24"/>
                <w:lang w:val="en-US" w:eastAsia="zh-CN" w:bidi="ar-SA"/>
              </w:rPr>
              <w:t>公司</w:t>
            </w:r>
            <w:r>
              <w:rPr>
                <w:rFonts w:hint="default" w:ascii="宋体" w:hAnsi="宋体" w:eastAsia="宋体" w:cs="宋体"/>
                <w:color w:val="auto"/>
                <w:kern w:val="40"/>
                <w:sz w:val="24"/>
                <w:szCs w:val="24"/>
                <w:lang w:val="en-US" w:eastAsia="zh-CN" w:bidi="ar-SA"/>
              </w:rPr>
              <w:t>坚守信息通信产业的发展初心，坚持科技创新，不断强化自主产权产品开发和技术应用，形成有特色的技术研发、市场销售和技术服务体系。公司正向着成为一流信息技术软件企业和信息系统集成服务企业的方向迈进。</w:t>
            </w:r>
          </w:p>
          <w:p>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both"/>
              <w:textAlignment w:val="auto"/>
              <w:rPr>
                <w:rFonts w:hint="default"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3、主体内容</w:t>
            </w:r>
          </w:p>
          <w:p>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3.1评估的基本事项</w:t>
            </w:r>
          </w:p>
          <w:p>
            <w:pPr>
              <w:keepNext w:val="0"/>
              <w:keepLines w:val="0"/>
              <w:pageBreakBefore w:val="0"/>
              <w:widowControl w:val="0"/>
              <w:kinsoku/>
              <w:wordWrap/>
              <w:overflowPunct/>
              <w:topLinePunct w:val="0"/>
              <w:autoSpaceDE/>
              <w:autoSpaceDN/>
              <w:bidi w:val="0"/>
              <w:adjustRightInd/>
              <w:snapToGrid/>
              <w:spacing w:before="78" w:beforeLines="25" w:after="78"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（1）委托方简介</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次评估的委托方为南昌水利投资有限责任公司。成立于2009年9月，位于江西省南昌市东湖区，主要经营水利工程、市政工程、投资咨询、实业投资等。坚持以“创新、协调、绿色、开放、共享”的新发展理念为指导，不断发掘江西生态资源，促进江西经济社会发展为使命，以立足江西、面向全国、走向世界，做强、做优、做大公司为目标，坚持改革创新、开拓进取、科学管理，企业实现了健康快速发展。</w:t>
            </w:r>
          </w:p>
          <w:p>
            <w:pPr>
              <w:keepNext w:val="0"/>
              <w:keepLines w:val="0"/>
              <w:pageBreakBefore w:val="0"/>
              <w:widowControl w:val="0"/>
              <w:kinsoku/>
              <w:wordWrap/>
              <w:overflowPunct/>
              <w:topLinePunct w:val="0"/>
              <w:autoSpaceDE/>
              <w:autoSpaceDN/>
              <w:bidi w:val="0"/>
              <w:adjustRightInd/>
              <w:snapToGrid/>
              <w:spacing w:before="78" w:beforeLines="25" w:after="78"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（2）评估目的</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本次评估的目的是为南昌水利投资拟作价出资行为提供价值参考依据，确定A供应链金融系统计算机软件的投资价值提供参考意见。</w:t>
            </w:r>
          </w:p>
          <w:p>
            <w:pPr>
              <w:keepNext w:val="0"/>
              <w:keepLines w:val="0"/>
              <w:pageBreakBefore w:val="0"/>
              <w:widowControl w:val="0"/>
              <w:kinsoku/>
              <w:wordWrap/>
              <w:overflowPunct/>
              <w:topLinePunct w:val="0"/>
              <w:bidi w:val="0"/>
              <w:spacing w:before="78" w:beforeLines="25" w:after="78"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（3）价值类型</w:t>
            </w:r>
          </w:p>
          <w:p>
            <w:pPr>
              <w:keepNext w:val="0"/>
              <w:keepLines w:val="0"/>
              <w:pageBreakBefore w:val="0"/>
              <w:widowControl w:val="0"/>
              <w:kinsoku/>
              <w:wordWrap/>
              <w:overflowPunct/>
              <w:topLinePunct w:val="0"/>
              <w:autoSpaceDE w:val="0"/>
              <w:autoSpaceDN w:val="0"/>
              <w:bidi w:val="0"/>
              <w:adjustRightInd w:val="0"/>
              <w:spacing w:before="78" w:beforeLines="25" w:after="78" w:afterLines="25" w:line="300" w:lineRule="auto"/>
              <w:ind w:firstLine="480" w:firstLineChars="200"/>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本次评估的价值类型为投资价值。</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（4）评估对象和范围</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评估对象：供应链金融系统计算机软件著作权的财产权益。</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评估范围：A供应链金融系统计算机软件著作权。</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（5）评估基准日</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本次评估基准日是2019年5月31日。</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在确定评估基准日时考虑的主要因素包括满足经济行为的计划实现时间要求，选取会计期末以便于明确界定评估范围和准确高效清查资产。</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3.2资产清查简要说明</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接受评估委托后，评估人员首先向被评估单位提供了评估明细表、填表说明、资料清单等电子文档，辅导企业进行资产的清查、申报，填报“评估申报明细表”和“资产调查表”，收集并整理委估资产的产权权属资料和反映资产性能、技术状态、经济技术指标等情况的资料。成立以现场项目负责人为主的核实小组，根据制定的现场核实计划，进行核查。</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核实过程分三个阶段进行。</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第一阶段，前期准备资料交接；对评估申报明细表进行初步审核；进行“账”、“表”核对一致；了解委托评估资产的概况。</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第二阶段，依据资产评估申报明细表，对申报资产进行现场查勘。根据清查结果，由企业进一步补充、修改和完善资产评估申报明细表，使“表”、“实”相符。</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第三阶段，核实评估资料，尤其是资产权属资料。在清查核实“表”、“实”相符的基础上，对企业提供的产权资料进行了核查。核查中，重点查验了产权权属资料中所载明的所有人以及其他事项，对产权权属资料中所载明的所有人与资产委托方和相关当事人不符以及缺乏产权权属资料的情况，给予高度关注，进一步通过询问的方式，了解产权权属，并要求委托方和相关当事人出具了“说明”和“承诺函”。</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根据评估申报表所列项目内容，调查各项无形资产形成方式，并收集相关的购置合同、发票、权利证书等资料，了解原始入账价值及包含的内容、企业摊销政策。</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损益类财务指标核实情况：</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①对于收入的核实，了解申报数据的准确性、收入变化趋势、以及产品价格的变化趋势和引起价格变化的主要因素等。</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②成本及费用的核实和了解，根据历史数据和预测表、了解主营成本的构成项目，并区分固定成本和变动成本项目进行核实。主要了解企业各项期间费用划分的原则、固定性费用发生的规律、依据和文件、变动性费用发生的依存基础和发生规律。</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③了解税收政策、计提依据及是否有优惠政策等。</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评估人员主要通过收集分析企业历史经营情况和未来经营规划以及与管理层访谈对企业的经营业务进行调查，收集了解的主要内容如下：</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了解企业历史年度权益资本的构成、权益资本的变化，分析权益资本变化的原因；</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了解企业历史年度各区域销售额及其变化，分析销售收入变化的原因；</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了解企业历史年度成本的构成及其变化；</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了解企业主要其他业务收入的构成，分析其对企业利润的贡献情况；</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了解企业历史年度利润情况，分析利润变化的主要原因；</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收集了解企业各项销售指标、财务指标，分析各项指标变动原因；</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了解企业未来年度的经营计划、投资计划等；</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了解企业的税收及其他优惠政策；</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收集被评估单位行业有关资料，了解行业现状、区域市场状况及未来发展趋势；</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④了解企业的溢余资产（负债）和非经营性资产（负债）的内容及其资产状况。</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核实情况表明：核实评估明细表和账面记录一致，申报明细表与实际情况吻合。纳入评估范围内的资产产权清晰，权属证明文件齐全。</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3.3本案例的评估思路</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次评估采用的是收益法途径，具体采用的是在国际、国内评估界广为接受的一种基于收益的无形资产评估方法为无形资产提成率法。所谓无形资产提成方法认为在无形资产对应产品的生产、销售（提供的服务）过程中无形资产对产品（服务）创造的利润或者说现金流是有贡献的，采用适当方法估算确定无形资产对产品所创造的现金流贡献率，并进而确定无形资产对产品现金流的贡献，再选取恰当的折现率，将产品中每年无形资产对现金流的贡献折为现值，以此作为无形资产的评估价值。</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委估范围内无形资产根据产权持有单位及其他相关授权使用者的实际经营情况预测。运用该种方法具体分为如下四个步骤：</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①确定待估范围内无形资产的经济寿命期，预测在经济寿命期内运用无形资产的产品的销售收入；</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②分析确定待估范围内无形资产对现金流的分成率（贡献率），确定待估范围内无形资产对产品的现金流贡献；</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③考虑形成该现金流的风险因素和资金时间价值等因素，采用适当的折现率将现金流折成现值；</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④将经济寿命期内现金流现值相加，确定待估无形资产的评估价值。</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其基本计算公式如下：</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V=Σ（R</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×m）/(1+r)</w:t>
            </w:r>
            <w:r>
              <w:rPr>
                <w:rFonts w:hint="eastAsia" w:ascii="宋体" w:hAnsi="宋体" w:eastAsia="宋体" w:cs="宋体"/>
                <w:color w:val="auto"/>
                <w:kern w:val="40"/>
                <w:sz w:val="24"/>
                <w:szCs w:val="24"/>
                <w:vertAlign w:val="superscript"/>
                <w:lang w:val="en-US" w:eastAsia="zh-CN" w:bidi="ar-SA"/>
              </w:rPr>
              <w:t>n</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式中，V：无形资产的评估值；n：收益年限；R</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：无形资产收入；m：分成率；r：折现率。</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3.4评估技术说明</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（1）评估方法的选择与确定</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资产评估通常有三种方法，即成本法、市场法和收益法。</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1.收益法是指通过将被评估企业预期收益资本化或折现以确定评估对象价值的评估方法。收益法评估必须具备以下三个前提条件：一是能够对企业的生产经营期限作出合理的预测。二是能够对企业未来收益进行合理预测。三是能够对企业未来收益的风险程度相对应的收益率进行合理估算。</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成本法是指以被评估企业评估基准日的资产负债表为基础，合理评估企业表内及表外各项资产、负债价值，确定评估对象价值的评估方法。一般认为无形资产的价值用成本法很难反映其实际价值。本案例中认为成本法不适用本次评估。</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3.市场法是指将评估对象与可比上市公司或者可比交易案例进行比较，确定评估对象价值的评估方法。市场法是以现实市场上的参照物来评价评估对象的现行公平市场价值，它具有评估角度和评估途径直接、评估过程直观、评估数据直接取材于市场、评估结果说服力强的特点。结合本次评估技术的自身特点及市场交易情况，据市场调查及有关业内人士的介绍，目前难以找到类似专用权单独转让的案例，本次评估由于无法找到可对比的历史交易案例及交易价格数据，故市场法也不适用本次评估。</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由于以上评估方法的局限性，本次评估采用了收益法对委估的无形资产进行评估。</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（2）假设条件</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1.一般假设与限制条件</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①公开市场假设：公开市场是指充分发达与完善的市场条件。公开市场假设，是假定在市场上交易的资产，或拟在市场上交易的资产，资产交易双方彼此地位平等，彼此都有获取足够市场信息的机会和时间，以便对资产的功能、用途及其交易价格等做出理智的判断。</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②继续使用假设：评估范围内的资产按委托人投资计划使用。</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③委托人及相关责任方提供的有关本次评估资料是真实的、完整、合法、有效的。</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④外部环境假设：国家现行的有关法律、法规及方针政策无重大变化；本次交易各方所处的地区政治、经济和社会环境无重大变化；有关利率、汇率、赋税基准及税率、政策性征收费用等不发生重大变化。</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⑤假定委托人对委估计算机著作权将实行有效的管理。计算机著作权在使用过程中没有任何违反国家法律、法规的行为。</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⑥没有考虑将来可能承担的设定质押、信托等第三方权益事宜，以及特殊的交易方式可能追加付出的价格等对评估结论的影响。</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2.特殊假设与限制条件</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①本次评估假设委估无形资产应用于企业现有和未来经营，经营者对企业经营状况是负责的，且企业管理能稳步推进公司的发展计划，尽力实现预计的经营态势。</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②本次评估假设委估无形资产应用企业遵守国家相关法律和法规，不会出现影响公司发展和收益实现的重大违规事项。</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③假设产权持有单位未来将采取的会计政策和编写此份报告时所采用的会计政策在所有重大方面基本一致。</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④企业预测的销售和盈利目标能够如期实现。</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⑤国家对该行业的政策没有大的调整。</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⑥收益的计算以会计年度为准，假定收支均发生在年中。</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⑦本次评估未考虑潜在的侵权等情况对评估值造成的影响。</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（3）评估程序实施过程及情况</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国家有关部门关于资产评估的规定，按照资产评估业务约定书，评估人员已实施了对被评估单位提供的法律性文件与会计记录以及相关资料的核对，对资产进行实地查看与核对，并取得了相关的产权证明文件复印件，进行了必要的评估调查工作，以及本案例认为有必要实施的其他资产评估程序。资产评估的过程如下：</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1.接受委托阶段，了解被评估单位组织架构和机构分布和经营业务特点，明确了评估目的、评估对象及范围和评估基准日。</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清查核实阶段，首先根据项目要求指导被评估单位清查资产，填报资产评估申报表、准备评估资料。然后在企业如实申报资产并对委估资产进行全面自查的基础上，对纳入评估范围内的资产和负债进行了抽查核实，包括评估对象真实性和合法性的查证、账面价值构成的调查、评估资料的收集以及了解并分析企业的生产、管理和经营情况等。</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3.评定估算阶段，依据评估各项准则及国家相关的法律法规，结合委估资产情况及评估资料收集情况确定评估方法，根据各类资产的作价方案，明确评估参数和价格标准，收集相关作价资料，进行评定估算工作。</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4.汇总并审核阶段，项目组完成初稿，最终汇总确定评估结果，并对项目组提供的评估明细表、评估说明、评估报告及相关的工作底稿进行了全面审核并提出具体的审核修改意见和建议，完善后将评估报告征求意见稿提供给委托方交换意见。</w:t>
            </w:r>
          </w:p>
          <w:p>
            <w:pPr>
              <w:keepNext w:val="0"/>
              <w:keepLines w:val="0"/>
              <w:pageBreakBefore w:val="0"/>
              <w:widowControl w:val="0"/>
              <w:kinsoku/>
              <w:wordWrap/>
              <w:overflowPunct/>
              <w:topLinePunct w:val="0"/>
              <w:autoSpaceDE w:val="0"/>
              <w:autoSpaceDN w:val="0"/>
              <w:bidi w:val="0"/>
              <w:adjustRightInd w:val="0"/>
              <w:snapToGrid w:val="0"/>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5.出具报告阶段，在将评估结果与委托方沟通后于2019年6月20日正式出具评估报告。</w:t>
            </w:r>
          </w:p>
          <w:p>
            <w:pPr>
              <w:keepNext w:val="0"/>
              <w:keepLines w:val="0"/>
              <w:pageBreakBefore w:val="0"/>
              <w:widowControl w:val="0"/>
              <w:kinsoku/>
              <w:wordWrap/>
              <w:overflowPunct/>
              <w:topLinePunct w:val="0"/>
              <w:bidi w:val="0"/>
              <w:spacing w:before="78" w:beforeLines="25" w:after="78"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3.5评估值测算过程</w:t>
            </w:r>
          </w:p>
          <w:p>
            <w:pPr>
              <w:keepNext w:val="0"/>
              <w:keepLines w:val="0"/>
              <w:pageBreakBefore w:val="0"/>
              <w:widowControl w:val="0"/>
              <w:kinsoku/>
              <w:wordWrap/>
              <w:overflowPunct/>
              <w:topLinePunct w:val="0"/>
              <w:bidi w:val="0"/>
              <w:spacing w:before="78" w:beforeLines="25" w:after="78"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（一）测算无形资产的经济寿命期</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收益法评估计算机著作权资产时，应当根据应用计算机著作权的商品或者服务所属行业的发展趋势，合理确定收益期限。收益期限需要综合考虑法律保护期限、相关合同约定期限、计算机著作权商品的产品寿命、计算机著作权商品或者服务的市场份额及发展潜力、计算机著作权未来维护费用、所属行业及企业的发展状况、计算机著作权注册人的经营年限等因素确定，收益期限不得超出商品或者服务的合理经济寿命。</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无形资产的收益期限是无形资产发挥作用，并存在超额获利能力的时间。委估技术的收益期限确定主要考虑以下方面：</w:t>
            </w:r>
          </w:p>
          <w:p>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计算机著作权资产为特定的经济主体带来的超额收益的期限称为计算机著作权的经济寿命。科技成果的经济寿命取决于行业技术的发展更新速度、技术的领先程度、法律或者行政保护强度。由于科学技术是不断发展的，并且发展的速度越来越快，一种新的、更为先进、适用或效益更高的技术资产的出现，会使原有技术资产贬值。通常，影响技术资产寿命的因素是多种多样的，主要有法规（合同）年限、保密状况、产品更新周期、可替代性、市场竞争情况、技术资产传播面和再产生费用等。</w:t>
            </w:r>
          </w:p>
          <w:p>
            <w:pPr>
              <w:keepNext w:val="0"/>
              <w:keepLines w:val="0"/>
              <w:pageBreakBefore w:val="0"/>
              <w:widowControl w:val="0"/>
              <w:kinsoku/>
              <w:wordWrap/>
              <w:overflowPunct/>
              <w:topLinePunct w:val="0"/>
              <w:bidi w:val="0"/>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和有关技术专家的探讨，并考虑到如今国内生产厂家的技术应用情况，以及计算机行业更新速度较快，本次评估预测其技术10年内不太可能被完全替代，故本次评估确定其经济寿命为10.58年。自2019年6月1日至2029年12月31日。</w:t>
            </w:r>
          </w:p>
          <w:p>
            <w:pPr>
              <w:keepNext w:val="0"/>
              <w:keepLines w:val="0"/>
              <w:pageBreakBefore w:val="0"/>
              <w:widowControl w:val="0"/>
              <w:kinsoku/>
              <w:wordWrap/>
              <w:overflowPunct/>
              <w:topLinePunct w:val="0"/>
              <w:bidi w:val="0"/>
              <w:spacing w:line="300" w:lineRule="auto"/>
              <w:ind w:firstLine="482" w:firstLineChars="200"/>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（二）无形资产对应销售收入的预测</w:t>
            </w:r>
          </w:p>
          <w:p>
            <w:pPr>
              <w:keepNext w:val="0"/>
              <w:keepLines w:val="0"/>
              <w:pageBreakBefore w:val="0"/>
              <w:widowControl w:val="0"/>
              <w:kinsoku/>
              <w:wordWrap/>
              <w:overflowPunct/>
              <w:topLinePunct w:val="0"/>
              <w:bidi w:val="0"/>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该无形资产在2016年-2019年5月委估无形资产对应的产品实际销售收入历史经情况如下表：</w:t>
            </w:r>
          </w:p>
          <w:p>
            <w:pPr>
              <w:spacing w:line="500" w:lineRule="exact"/>
              <w:jc w:val="center"/>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表1 无形资产对应的产品实际销售收入历史经情况表</w:t>
            </w:r>
          </w:p>
          <w:p>
            <w:pPr>
              <w:spacing w:line="500" w:lineRule="exact"/>
              <w:ind w:firstLine="5760" w:firstLineChars="2400"/>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金额单位：人民币万元</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560"/>
              <w:gridCol w:w="1559"/>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3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w:t>
                  </w:r>
                </w:p>
              </w:tc>
              <w:tc>
                <w:tcPr>
                  <w:tcW w:w="156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2006年</w:t>
                  </w:r>
                </w:p>
              </w:tc>
              <w:tc>
                <w:tcPr>
                  <w:tcW w:w="155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2017年</w:t>
                  </w:r>
                </w:p>
              </w:tc>
              <w:tc>
                <w:tcPr>
                  <w:tcW w:w="170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2018年</w:t>
                  </w:r>
                </w:p>
              </w:tc>
              <w:tc>
                <w:tcPr>
                  <w:tcW w:w="226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3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收入</w:t>
                  </w:r>
                </w:p>
              </w:tc>
              <w:tc>
                <w:tcPr>
                  <w:tcW w:w="156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702.09</w:t>
                  </w:r>
                </w:p>
              </w:tc>
              <w:tc>
                <w:tcPr>
                  <w:tcW w:w="155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542.67</w:t>
                  </w:r>
                </w:p>
              </w:tc>
              <w:tc>
                <w:tcPr>
                  <w:tcW w:w="170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441.35</w:t>
                  </w:r>
                </w:p>
              </w:tc>
              <w:tc>
                <w:tcPr>
                  <w:tcW w:w="226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3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成本</w:t>
                  </w:r>
                </w:p>
              </w:tc>
              <w:tc>
                <w:tcPr>
                  <w:tcW w:w="156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61.36</w:t>
                  </w:r>
                </w:p>
              </w:tc>
              <w:tc>
                <w:tcPr>
                  <w:tcW w:w="155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77.28</w:t>
                  </w:r>
                </w:p>
              </w:tc>
              <w:tc>
                <w:tcPr>
                  <w:tcW w:w="170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60.62</w:t>
                  </w:r>
                </w:p>
              </w:tc>
              <w:tc>
                <w:tcPr>
                  <w:tcW w:w="226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3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毛利</w:t>
                  </w:r>
                </w:p>
              </w:tc>
              <w:tc>
                <w:tcPr>
                  <w:tcW w:w="156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91.26%</w:t>
                  </w:r>
                </w:p>
              </w:tc>
              <w:tc>
                <w:tcPr>
                  <w:tcW w:w="155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85.76%</w:t>
                  </w:r>
                </w:p>
              </w:tc>
              <w:tc>
                <w:tcPr>
                  <w:tcW w:w="170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86.26%</w:t>
                  </w:r>
                </w:p>
              </w:tc>
              <w:tc>
                <w:tcPr>
                  <w:tcW w:w="226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71.75%</w:t>
                  </w:r>
                </w:p>
              </w:tc>
            </w:tr>
          </w:tbl>
          <w:p>
            <w:pPr>
              <w:spacing w:line="360" w:lineRule="auto"/>
              <w:ind w:firstLine="480" w:firstLineChars="200"/>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根据企业提供的未来盈利数据、发展规划及评估人员结合行业数据分析，企业未来年度主营业务收入具体预测如下</w:t>
            </w:r>
          </w:p>
          <w:p>
            <w:pPr>
              <w:spacing w:line="360" w:lineRule="auto"/>
              <w:jc w:val="center"/>
              <w:rPr>
                <w:rFonts w:hint="default" w:ascii="宋体" w:hAnsi="宋体" w:eastAsia="宋体" w:cs="宋体"/>
                <w:color w:val="000000"/>
                <w:sz w:val="24"/>
                <w:szCs w:val="24"/>
                <w:lang w:val="en-US" w:eastAsia="zh-CN"/>
              </w:rPr>
            </w:pPr>
            <w:r>
              <w:rPr>
                <w:rFonts w:hint="eastAsia" w:ascii="宋体" w:hAnsi="宋体" w:eastAsia="宋体" w:cs="宋体"/>
                <w:color w:val="auto"/>
                <w:kern w:val="40"/>
                <w:sz w:val="24"/>
                <w:szCs w:val="24"/>
                <w:lang w:val="en-US" w:eastAsia="zh-CN" w:bidi="ar-SA"/>
              </w:rPr>
              <w:t>表2 未来年度主营业务收入预测表</w:t>
            </w:r>
          </w:p>
          <w:p>
            <w:pPr>
              <w:spacing w:line="360" w:lineRule="auto"/>
              <w:ind w:firstLine="1200" w:firstLineChars="5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（单位：万元）</w:t>
            </w:r>
          </w:p>
          <w:tbl>
            <w:tblPr>
              <w:tblStyle w:val="7"/>
              <w:tblW w:w="7947" w:type="dxa"/>
              <w:jc w:val="center"/>
              <w:tblLayout w:type="fixed"/>
              <w:tblCellMar>
                <w:top w:w="0" w:type="dxa"/>
                <w:left w:w="108" w:type="dxa"/>
                <w:bottom w:w="0" w:type="dxa"/>
                <w:right w:w="108" w:type="dxa"/>
              </w:tblCellMar>
            </w:tblPr>
            <w:tblGrid>
              <w:gridCol w:w="661"/>
              <w:gridCol w:w="759"/>
              <w:gridCol w:w="658"/>
              <w:gridCol w:w="654"/>
              <w:gridCol w:w="616"/>
              <w:gridCol w:w="643"/>
              <w:gridCol w:w="610"/>
              <w:gridCol w:w="735"/>
              <w:gridCol w:w="661"/>
              <w:gridCol w:w="626"/>
              <w:gridCol w:w="654"/>
              <w:gridCol w:w="670"/>
            </w:tblGrid>
            <w:tr>
              <w:tblPrEx>
                <w:tblCellMar>
                  <w:top w:w="0" w:type="dxa"/>
                  <w:left w:w="108" w:type="dxa"/>
                  <w:bottom w:w="0" w:type="dxa"/>
                  <w:right w:w="108" w:type="dxa"/>
                </w:tblCellMar>
              </w:tblPrEx>
              <w:trPr>
                <w:trHeight w:val="1293" w:hRule="atLeast"/>
                <w:jc w:val="center"/>
              </w:trPr>
              <w:tc>
                <w:tcPr>
                  <w:tcW w:w="661"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时间</w:t>
                  </w:r>
                </w:p>
              </w:tc>
              <w:tc>
                <w:tcPr>
                  <w:tcW w:w="759"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2019</w:t>
                  </w:r>
                  <w:r>
                    <w:rPr>
                      <w:rFonts w:hint="eastAsia" w:ascii="宋体" w:hAnsi="宋体" w:eastAsia="宋体" w:cs="宋体"/>
                      <w:color w:val="000000"/>
                      <w:sz w:val="24"/>
                      <w:szCs w:val="24"/>
                    </w:rPr>
                    <w:t>年</w:t>
                  </w:r>
                  <w:r>
                    <w:rPr>
                      <w:rFonts w:hint="eastAsia" w:ascii="宋体" w:hAnsi="宋体" w:eastAsia="宋体" w:cs="宋体"/>
                      <w:sz w:val="24"/>
                      <w:szCs w:val="24"/>
                    </w:rPr>
                    <w:t>6月至12</w:t>
                  </w:r>
                  <w:r>
                    <w:rPr>
                      <w:rFonts w:hint="eastAsia" w:ascii="宋体" w:hAnsi="宋体" w:eastAsia="宋体" w:cs="宋体"/>
                      <w:color w:val="000000"/>
                      <w:sz w:val="24"/>
                      <w:szCs w:val="24"/>
                    </w:rPr>
                    <w:t>月</w:t>
                  </w:r>
                </w:p>
              </w:tc>
              <w:tc>
                <w:tcPr>
                  <w:tcW w:w="658"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2020</w:t>
                  </w:r>
                  <w:r>
                    <w:rPr>
                      <w:rFonts w:hint="eastAsia" w:ascii="宋体" w:hAnsi="宋体" w:eastAsia="宋体" w:cs="宋体"/>
                      <w:color w:val="000000"/>
                      <w:sz w:val="24"/>
                      <w:szCs w:val="24"/>
                    </w:rPr>
                    <w:t>年</w:t>
                  </w:r>
                </w:p>
              </w:tc>
              <w:tc>
                <w:tcPr>
                  <w:tcW w:w="65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2021年</w:t>
                  </w:r>
                </w:p>
              </w:tc>
              <w:tc>
                <w:tcPr>
                  <w:tcW w:w="61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2022年</w:t>
                  </w:r>
                </w:p>
              </w:tc>
              <w:tc>
                <w:tcPr>
                  <w:tcW w:w="643"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2023年</w:t>
                  </w:r>
                </w:p>
              </w:tc>
              <w:tc>
                <w:tcPr>
                  <w:tcW w:w="610"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2024年</w:t>
                  </w:r>
                </w:p>
              </w:tc>
              <w:tc>
                <w:tcPr>
                  <w:tcW w:w="735"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2025年</w:t>
                  </w:r>
                </w:p>
              </w:tc>
              <w:tc>
                <w:tcPr>
                  <w:tcW w:w="66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2026年</w:t>
                  </w:r>
                </w:p>
              </w:tc>
              <w:tc>
                <w:tcPr>
                  <w:tcW w:w="62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2027年</w:t>
                  </w:r>
                </w:p>
              </w:tc>
              <w:tc>
                <w:tcPr>
                  <w:tcW w:w="65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2028年</w:t>
                  </w:r>
                </w:p>
              </w:tc>
              <w:tc>
                <w:tcPr>
                  <w:tcW w:w="670"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2029年</w:t>
                  </w:r>
                </w:p>
              </w:tc>
            </w:tr>
            <w:tr>
              <w:tblPrEx>
                <w:tblCellMar>
                  <w:top w:w="0" w:type="dxa"/>
                  <w:left w:w="108" w:type="dxa"/>
                  <w:bottom w:w="0" w:type="dxa"/>
                  <w:right w:w="108" w:type="dxa"/>
                </w:tblCellMar>
              </w:tblPrEx>
              <w:trPr>
                <w:trHeight w:val="905" w:hRule="atLeast"/>
                <w:jc w:val="center"/>
              </w:trPr>
              <w:tc>
                <w:tcPr>
                  <w:tcW w:w="661" w:type="dxa"/>
                  <w:tcBorders>
                    <w:top w:val="nil"/>
                    <w:left w:val="single" w:color="auto" w:sz="4" w:space="0"/>
                    <w:bottom w:val="single" w:color="auto" w:sz="4" w:space="0"/>
                    <w:right w:val="single" w:color="auto" w:sz="4" w:space="0"/>
                  </w:tcBorders>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收入</w:t>
                  </w:r>
                </w:p>
              </w:tc>
              <w:tc>
                <w:tcPr>
                  <w:tcW w:w="759"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446.25</w:t>
                  </w:r>
                </w:p>
              </w:tc>
              <w:tc>
                <w:tcPr>
                  <w:tcW w:w="658"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765.00</w:t>
                  </w:r>
                </w:p>
              </w:tc>
              <w:tc>
                <w:tcPr>
                  <w:tcW w:w="654"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994.50</w:t>
                  </w:r>
                </w:p>
              </w:tc>
              <w:tc>
                <w:tcPr>
                  <w:tcW w:w="61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193.40</w:t>
                  </w:r>
                </w:p>
              </w:tc>
              <w:tc>
                <w:tcPr>
                  <w:tcW w:w="643"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312.74</w:t>
                  </w:r>
                </w:p>
              </w:tc>
              <w:tc>
                <w:tcPr>
                  <w:tcW w:w="610"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378.38</w:t>
                  </w:r>
                </w:p>
              </w:tc>
              <w:tc>
                <w:tcPr>
                  <w:tcW w:w="735"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61"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2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54"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70"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r>
            <w:tr>
              <w:tblPrEx>
                <w:tblCellMar>
                  <w:top w:w="0" w:type="dxa"/>
                  <w:left w:w="108" w:type="dxa"/>
                  <w:bottom w:w="0" w:type="dxa"/>
                  <w:right w:w="108" w:type="dxa"/>
                </w:tblCellMar>
              </w:tblPrEx>
              <w:trPr>
                <w:trHeight w:val="1123" w:hRule="atLeast"/>
                <w:jc w:val="center"/>
              </w:trPr>
              <w:tc>
                <w:tcPr>
                  <w:tcW w:w="661" w:type="dxa"/>
                  <w:tcBorders>
                    <w:top w:val="nil"/>
                    <w:left w:val="single" w:color="auto" w:sz="4" w:space="0"/>
                    <w:bottom w:val="single" w:color="auto" w:sz="4" w:space="0"/>
                    <w:right w:val="single" w:color="auto" w:sz="4" w:space="0"/>
                  </w:tcBorders>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营业成本</w:t>
                  </w:r>
                </w:p>
              </w:tc>
              <w:tc>
                <w:tcPr>
                  <w:tcW w:w="759"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58.01</w:t>
                  </w:r>
                </w:p>
              </w:tc>
              <w:tc>
                <w:tcPr>
                  <w:tcW w:w="658"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99.45</w:t>
                  </w:r>
                </w:p>
              </w:tc>
              <w:tc>
                <w:tcPr>
                  <w:tcW w:w="654"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129.29</w:t>
                  </w:r>
                </w:p>
              </w:tc>
              <w:tc>
                <w:tcPr>
                  <w:tcW w:w="61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155.14</w:t>
                  </w:r>
                </w:p>
              </w:tc>
              <w:tc>
                <w:tcPr>
                  <w:tcW w:w="643"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170.66</w:t>
                  </w:r>
                </w:p>
              </w:tc>
              <w:tc>
                <w:tcPr>
                  <w:tcW w:w="610"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179.19</w:t>
                  </w:r>
                </w:p>
              </w:tc>
              <w:tc>
                <w:tcPr>
                  <w:tcW w:w="735"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184.56</w:t>
                  </w:r>
                </w:p>
              </w:tc>
              <w:tc>
                <w:tcPr>
                  <w:tcW w:w="661"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184.56</w:t>
                  </w:r>
                </w:p>
              </w:tc>
              <w:tc>
                <w:tcPr>
                  <w:tcW w:w="62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184.56</w:t>
                  </w:r>
                </w:p>
              </w:tc>
              <w:tc>
                <w:tcPr>
                  <w:tcW w:w="654"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184.56</w:t>
                  </w:r>
                </w:p>
              </w:tc>
              <w:tc>
                <w:tcPr>
                  <w:tcW w:w="670"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184.56</w:t>
                  </w:r>
                </w:p>
              </w:tc>
            </w:tr>
            <w:tr>
              <w:tblPrEx>
                <w:tblCellMar>
                  <w:top w:w="0" w:type="dxa"/>
                  <w:left w:w="108" w:type="dxa"/>
                  <w:bottom w:w="0" w:type="dxa"/>
                  <w:right w:w="108" w:type="dxa"/>
                </w:tblCellMar>
              </w:tblPrEx>
              <w:trPr>
                <w:trHeight w:val="689" w:hRule="atLeast"/>
                <w:jc w:val="center"/>
              </w:trPr>
              <w:tc>
                <w:tcPr>
                  <w:tcW w:w="661" w:type="dxa"/>
                  <w:tcBorders>
                    <w:top w:val="nil"/>
                    <w:left w:val="single" w:color="auto" w:sz="4" w:space="0"/>
                    <w:bottom w:val="single" w:color="auto" w:sz="4" w:space="0"/>
                    <w:right w:val="single" w:color="auto" w:sz="4" w:space="0"/>
                  </w:tcBorders>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毛利</w:t>
                  </w:r>
                </w:p>
              </w:tc>
              <w:tc>
                <w:tcPr>
                  <w:tcW w:w="759"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58"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54"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1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43"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10"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87%</w:t>
                  </w:r>
                </w:p>
              </w:tc>
              <w:tc>
                <w:tcPr>
                  <w:tcW w:w="735"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61"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2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54"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70"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87%</w:t>
                  </w:r>
                </w:p>
              </w:tc>
            </w:tr>
          </w:tbl>
          <w:p>
            <w:pPr>
              <w:overflowPunct w:val="0"/>
              <w:spacing w:line="520" w:lineRule="exact"/>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（三）确定无形资产贡献率</w:t>
            </w:r>
          </w:p>
          <w:p>
            <w:pPr>
              <w:spacing w:line="520" w:lineRule="exact"/>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（1）无形非流动资产比重的确定</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评估人员从WIND资讯上查找可比上市公司共四家，对比公司的情况简介如下：</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对比公司一：鼎捷软件</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公司名称：鼎捷软件股份有限公司</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成立日期：2001年12月26日</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股票代码：300378.SZ</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所属行业：计算机应用服务业、软件服务。</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公司简介：鼎捷软件股份有限公司(DigiwinSoft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股票代码:300378)是亚太区值得信赖的ERP企业管理软件与服务供应商</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是海峡两岸成立较早、用户众多、团队专业、属于中国人的ER</w:t>
            </w:r>
            <w:r>
              <w:rPr>
                <w:rFonts w:hint="eastAsia" w:ascii="宋体" w:hAnsi="宋体" w:eastAsia="宋体" w:cs="宋体"/>
                <w:color w:val="auto"/>
                <w:kern w:val="40"/>
                <w:sz w:val="24"/>
                <w:szCs w:val="24"/>
                <w:lang w:val="en-US" w:eastAsia="zh-CN" w:bidi="ar-SA"/>
              </w:rPr>
              <w:t>P公司，拥有自主的知识产权和创新能力。1982年在台北成立鼎新电脑，1997年开始在国内</w:t>
            </w:r>
            <w:r>
              <w:rPr>
                <w:rFonts w:hint="eastAsia" w:ascii="宋体" w:hAnsi="宋体" w:eastAsia="宋体" w:cs="宋体"/>
                <w:color w:val="000000"/>
                <w:sz w:val="24"/>
                <w:szCs w:val="24"/>
              </w:rPr>
              <w:t>提供ERP的专业服务。鼎捷软件完全整合两岸资源</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致力于实现“让ERP在中国普遍成功”的理想</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为国内外众多企业成功地提供了包括ERP在内的专业企业管理软件产品与服务。目前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仅在亚太地区就有超过50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000家客户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其中包括财富五百强的企业也正在通过鼎捷的管理方案而持续获益。2014年1月</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鼎捷软件在深圳交易所创业板正式开始挂牌上市</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公司跨入全新发展阶段。未来</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鼎捷软件将凭借全面的产品系列和创新服务</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以技术优势、客户优势和管理优势</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抓住国内企业转型升级的有利时机。更在信息化需求迅猛增长下</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帮助广大企业提高管理水平、实现管理红利、创造价值优势和国际竞争力。</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对比公司二：赢时胜</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公司名称：深圳市赢时胜信息技术股份有限公司</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成立日期：2001年9月3日</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股票代码：300377.SZ</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所属Wind行业：软件服务</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公司简介：深圳市赢时胜信息技术股份有限公司</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创业板上市公司</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股票简称：赢时胜</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股票代码：300377</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公司被国家发改委、工业和信息化部、财政部、商务部、国家税务总局联合认定为国家规划布局内重点软件企业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是深圳市首批国家级高新技术企业、深圳市重点软件企业、广东省诚信示范企业。公司2009通过了CMMI3级认证</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2011年通过了ISO9001质量管理体系认证。公司的核算估值、资产托管、QDII资产管理等一系列软件产品先后在中国国际软件博览会中获得“中国软件金奖”。</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对比公司三：四方精创</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公司名称：深圳四方精创资讯股份有限公司</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成立日期：2003年11月21日</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股票代码：300468.SZ</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所属Wind行业：软件服务</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公司简介：深圳四方精创资讯股份有限公司(股票代码:300468)是一家以大型商业银行为核心客户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致力于为中国大陆及港澳地区的银行提供专业的金融IT服务企业。四方精创已通过ISO9001质量管理体系、ISO27001信息安全管理体系认证审核及CMMI-ML3评估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获得国家高新技术企业、深圳市高新技术企业、深圳市软件企业证书</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多次获评“深圳市重点软件企业”、“深圳市软件业务收入百强企业”、“深圳市优秀软件企业”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荣获工信部主办的中国国际软件博览会“金奖”、“创新奖”</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多次被Gartner、IDC及TPI联合认定为“中国服务外包成长型企业TOP100”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并获评“AAA级信用企业”。近年来</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四方精创积极配合国家产学研合作的发展政策</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与华中科技大学、华南理工大学、天津大学等一流院校建立了紧密合作关系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不仅为国家培养了大量的金融复合型人才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也为四方精创建立了优秀且稳固的人才梯队。展望未来</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四方精创将继续坚持“国际化、专业化、高端化”的发展思路</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专注于银行IT服务市场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深度挖掘商业银行客户的市场需求</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坚持国际市场与国内市场互动发展、协调并进的原则</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开展面向银行业客户的金融IT全流程服务。逐步把四方精创打造成为拥有更大影响力的银行业IT服务提供商。</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对比公司四：高新兴</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公司名称：高新兴科技集团股份有限公司</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成立日期：1997年11月14日</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股票代码：300098.SZ</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所属Wind行业：信息传输、软件和信息技术服务业-软件和信息技术服务业</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公司简介：高新兴科技集团股份有限公司是中国领先的智慧城市物联网应用与服务提供商。自1997年公司成立起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长期致力于研发基于物联网架构的感知、连接、平台层相关产品和技术</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以物联网技术为核心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聚焦智慧城市、垂直行业两大市场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围绕平安城市、车联网、公安信息化、铁路安全、金融安全等领域深耕。高新兴营销和服务网络覆盖全球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物联网产品和解决方案服务于全球500+客户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为全国各省市的公安、交警等部门及铁路、银行、运营商等多领域提供产品和服务。高新兴作为国家级高新技术企业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2010年成功在深圳创业板上市</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公司拥有博士后科研工作站、企业研究院</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是国家计算机系统集成一级企业。公司注重自主创新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引领前沿技术</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参与国家公共信息安全、信息技术软件管理、增强现实系统、视频图像分析、物联网M2M模块空中下载、汽车电子标识等多项国家和行业标准制定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公司尤为重视产品的安全性</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产品已通过国家保密局、中国信息安全测评中心在内的多项权威认证。</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根据上述四家对比公司2016-2018年度和2019年3月季报的财务报告，</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可以得出对比公司的资本结构如</w:t>
            </w:r>
            <w:r>
              <w:rPr>
                <w:rFonts w:hint="eastAsia" w:ascii="宋体" w:hAnsi="宋体" w:eastAsia="宋体" w:cs="宋体"/>
                <w:color w:val="000000"/>
                <w:sz w:val="24"/>
                <w:szCs w:val="24"/>
                <w:lang w:val="en-US" w:eastAsia="zh-CN"/>
              </w:rPr>
              <w:t>下</w:t>
            </w:r>
            <w:r>
              <w:rPr>
                <w:rFonts w:hint="eastAsia" w:ascii="宋体" w:hAnsi="宋体" w:eastAsia="宋体" w:cs="宋体"/>
                <w:color w:val="000000"/>
                <w:sz w:val="24"/>
                <w:szCs w:val="24"/>
              </w:rPr>
              <w:t>：</w:t>
            </w:r>
          </w:p>
          <w:p>
            <w:pPr>
              <w:spacing w:line="520" w:lineRule="exact"/>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表3 </w:t>
            </w:r>
            <w:r>
              <w:rPr>
                <w:rFonts w:hint="eastAsia" w:ascii="宋体" w:hAnsi="宋体" w:eastAsia="宋体" w:cs="宋体"/>
                <w:color w:val="000000"/>
                <w:sz w:val="24"/>
                <w:szCs w:val="24"/>
              </w:rPr>
              <w:t>对比公司的资本结构</w:t>
            </w:r>
          </w:p>
          <w:tbl>
            <w:tblPr>
              <w:tblStyle w:val="7"/>
              <w:tblW w:w="8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706"/>
              <w:gridCol w:w="1424"/>
              <w:gridCol w:w="1098"/>
              <w:gridCol w:w="1441"/>
              <w:gridCol w:w="1425"/>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01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股票名称</w:t>
                  </w:r>
                </w:p>
              </w:tc>
              <w:tc>
                <w:tcPr>
                  <w:tcW w:w="706"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代码</w:t>
                  </w: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日期</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营运资金比重</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有形非流动资产比重</w:t>
                  </w:r>
                </w:p>
              </w:tc>
              <w:tc>
                <w:tcPr>
                  <w:tcW w:w="1425"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无形非流动资产比重</w:t>
                  </w:r>
                </w:p>
              </w:tc>
              <w:tc>
                <w:tcPr>
                  <w:tcW w:w="103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平均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鼎捷软件</w:t>
                  </w:r>
                </w:p>
              </w:tc>
              <w:tc>
                <w:tcPr>
                  <w:tcW w:w="706"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300378</w:t>
                  </w: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7.83%</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27.26%</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64.91%</w:t>
                  </w:r>
                </w:p>
              </w:tc>
              <w:tc>
                <w:tcPr>
                  <w:tcW w:w="1032"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10.93%</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40.84%</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48.23%</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8.07%</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23.97%</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67.97%</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9.47%</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20.24%</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70.30%</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15.43%</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14.09%</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70.48%</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赢时胜</w:t>
                  </w:r>
                </w:p>
              </w:tc>
              <w:tc>
                <w:tcPr>
                  <w:tcW w:w="706"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300377</w:t>
                  </w: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15.20%</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18.60%</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66.20%</w:t>
                  </w:r>
                </w:p>
              </w:tc>
              <w:tc>
                <w:tcPr>
                  <w:tcW w:w="1032"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19.34%</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24.10%</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56.56%</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18.30%</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20.40%</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61.30%</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19.84%</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15.05%</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65.10%</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7.74%</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4.62%</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87.65%</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四方精创</w:t>
                  </w:r>
                </w:p>
              </w:tc>
              <w:tc>
                <w:tcPr>
                  <w:tcW w:w="706"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300468</w:t>
                  </w: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16.95%</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14.04%</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69.01%</w:t>
                  </w:r>
                </w:p>
              </w:tc>
              <w:tc>
                <w:tcPr>
                  <w:tcW w:w="1032"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24.91%</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21.22%</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53.87%</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17.27%</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14.18%</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68.55%</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15.33%</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7.28%</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77.39%</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23.08%</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6.00%</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70.92%</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高新兴</w:t>
                  </w:r>
                </w:p>
              </w:tc>
              <w:tc>
                <w:tcPr>
                  <w:tcW w:w="706"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300098</w:t>
                  </w: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12.87%</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18.95%</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68.18%</w:t>
                  </w:r>
                </w:p>
              </w:tc>
              <w:tc>
                <w:tcPr>
                  <w:tcW w:w="1032"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18.57%</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22.90%</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58.53%</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20.86%</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15.54%</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63.61%</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15.47%</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10.42%</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74.12%</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11" w:type="dxa"/>
                  <w:vMerge w:val="continue"/>
                  <w:noWrap w:val="0"/>
                  <w:vAlign w:val="center"/>
                </w:tcPr>
                <w:p>
                  <w:pPr>
                    <w:rPr>
                      <w:rFonts w:hint="eastAsia" w:ascii="宋体" w:hAnsi="宋体" w:eastAsia="宋体" w:cs="宋体"/>
                      <w:color w:val="000000"/>
                      <w:sz w:val="24"/>
                      <w:szCs w:val="24"/>
                    </w:rPr>
                  </w:pPr>
                </w:p>
              </w:tc>
              <w:tc>
                <w:tcPr>
                  <w:tcW w:w="706" w:type="dxa"/>
                  <w:vMerge w:val="continue"/>
                  <w:noWrap w:val="0"/>
                  <w:vAlign w:val="center"/>
                </w:tcPr>
                <w:p>
                  <w:pPr>
                    <w:rPr>
                      <w:rFonts w:hint="eastAsia" w:ascii="宋体" w:hAnsi="宋体" w:eastAsia="宋体" w:cs="宋体"/>
                      <w:color w:val="000000"/>
                      <w:sz w:val="24"/>
                      <w:szCs w:val="24"/>
                    </w:rPr>
                  </w:pPr>
                </w:p>
              </w:tc>
              <w:tc>
                <w:tcPr>
                  <w:tcW w:w="142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11.83%</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8.97%</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79.20%</w:t>
                  </w:r>
                </w:p>
              </w:tc>
              <w:tc>
                <w:tcPr>
                  <w:tcW w:w="1032" w:type="dxa"/>
                  <w:vMerge w:val="continue"/>
                  <w:noWrap w:val="0"/>
                  <w:vAlign w:val="center"/>
                </w:tcPr>
                <w:p>
                  <w:pP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141" w:type="dxa"/>
                  <w:gridSpan w:val="3"/>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平均</w:t>
                  </w:r>
                </w:p>
              </w:tc>
              <w:tc>
                <w:tcPr>
                  <w:tcW w:w="109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15.46%</w:t>
                  </w:r>
                </w:p>
              </w:tc>
              <w:tc>
                <w:tcPr>
                  <w:tcW w:w="14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17.43%</w:t>
                  </w:r>
                </w:p>
              </w:tc>
              <w:tc>
                <w:tcPr>
                  <w:tcW w:w="142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67.10%</w:t>
                  </w:r>
                </w:p>
              </w:tc>
              <w:tc>
                <w:tcPr>
                  <w:tcW w:w="1032" w:type="dxa"/>
                  <w:noWrap/>
                  <w:vAlign w:val="center"/>
                </w:tcPr>
                <w:p>
                  <w:pPr>
                    <w:jc w:val="right"/>
                    <w:rPr>
                      <w:rFonts w:hint="eastAsia" w:ascii="宋体" w:hAnsi="宋体" w:eastAsia="宋体" w:cs="宋体"/>
                      <w:color w:val="000000"/>
                      <w:sz w:val="24"/>
                      <w:szCs w:val="24"/>
                    </w:rPr>
                  </w:pPr>
                  <w:r>
                    <w:rPr>
                      <w:rFonts w:hint="eastAsia" w:ascii="宋体" w:hAnsi="宋体" w:eastAsia="宋体" w:cs="宋体"/>
                      <w:color w:val="000000"/>
                      <w:sz w:val="24"/>
                      <w:szCs w:val="24"/>
                    </w:rPr>
                    <w:t>67.10%</w:t>
                  </w:r>
                </w:p>
              </w:tc>
            </w:tr>
          </w:tbl>
          <w:p>
            <w:pPr>
              <w:spacing w:line="520" w:lineRule="exact"/>
              <w:ind w:firstLine="482" w:firstLineChars="20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（2）无形非流动资产中委估无形资产所占比重的确定</w:t>
            </w:r>
          </w:p>
          <w:p>
            <w:pPr>
              <w:keepNext w:val="0"/>
              <w:keepLines w:val="0"/>
              <w:pageBreakBefore w:val="0"/>
              <w:widowControl w:val="0"/>
              <w:kinsoku/>
              <w:wordWrap/>
              <w:overflowPunct/>
              <w:topLinePunct w:val="0"/>
              <w:autoSpaceDE/>
              <w:autoSpaceDN/>
              <w:bidi w:val="0"/>
              <w:adjustRightInd/>
              <w:snapToGrid/>
              <w:spacing w:line="300" w:lineRule="auto"/>
              <w:ind w:firstLine="468" w:firstLineChars="195"/>
              <w:jc w:val="left"/>
              <w:textAlignment w:val="auto"/>
              <w:rPr>
                <w:rFonts w:hint="eastAsia" w:ascii="宋体" w:hAnsi="宋体" w:eastAsia="宋体" w:cs="宋体"/>
                <w:sz w:val="24"/>
                <w:szCs w:val="24"/>
              </w:rPr>
            </w:pPr>
            <w:r>
              <w:rPr>
                <w:rFonts w:hint="eastAsia" w:ascii="宋体" w:hAnsi="宋体" w:eastAsia="宋体" w:cs="宋体"/>
                <w:sz w:val="24"/>
                <w:szCs w:val="24"/>
              </w:rPr>
              <w:t>本次评估运用层次分析法确定委估无形资产在全部无形资产中的占比。</w:t>
            </w:r>
          </w:p>
          <w:p>
            <w:pPr>
              <w:keepNext w:val="0"/>
              <w:keepLines w:val="0"/>
              <w:pageBreakBefore w:val="0"/>
              <w:widowControl w:val="0"/>
              <w:kinsoku/>
              <w:wordWrap/>
              <w:overflowPunct/>
              <w:topLinePunct w:val="0"/>
              <w:autoSpaceDE/>
              <w:autoSpaceDN/>
              <w:bidi w:val="0"/>
              <w:adjustRightInd/>
              <w:snapToGrid/>
              <w:spacing w:line="300" w:lineRule="auto"/>
              <w:ind w:firstLine="468" w:firstLineChars="195"/>
              <w:jc w:val="left"/>
              <w:textAlignment w:val="auto"/>
              <w:rPr>
                <w:rFonts w:hint="eastAsia" w:ascii="宋体" w:hAnsi="宋体" w:eastAsia="宋体" w:cs="宋体"/>
                <w:sz w:val="24"/>
                <w:szCs w:val="24"/>
              </w:rPr>
            </w:pPr>
            <w:r>
              <w:rPr>
                <w:rFonts w:hint="eastAsia" w:ascii="宋体" w:hAnsi="宋体" w:eastAsia="宋体" w:cs="宋体"/>
                <w:sz w:val="24"/>
                <w:szCs w:val="24"/>
              </w:rPr>
              <w:t>层次分析法，简称AHP法（Analytical Hierarchy Process）是美国学者Saat提出的一种运筹学方法。这是一种综合定性和定量的分析方法，可以将人的主观判断标准，用来处理一些多因素、多目标、多层次复杂问题。</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jc w:val="left"/>
              <w:textAlignment w:val="auto"/>
              <w:rPr>
                <w:rFonts w:hint="eastAsia" w:ascii="宋体" w:hAnsi="宋体" w:eastAsia="宋体" w:cs="宋体"/>
                <w:sz w:val="24"/>
                <w:szCs w:val="24"/>
              </w:rPr>
            </w:pPr>
            <w:r>
              <w:rPr>
                <w:rFonts w:hint="eastAsia" w:ascii="宋体" w:hAnsi="宋体" w:eastAsia="宋体" w:cs="宋体"/>
                <w:sz w:val="24"/>
                <w:szCs w:val="24"/>
              </w:rPr>
              <w:t>采用AHP法进行组合无形资产价值的分割，关键问题是找到影响组合无形资产的各种因素及其对组合无形资产价值的贡献份额，即比重。其基本原理是：首先，确定各种因素对组合无形资产价值的贡献权重作为AHP法的总目标；其次，将影响组合无形资产价值的具体要素作为方案层的组成要素；再次，将产生组合无形资产的直接原因作为准则层的组成元素。最后，在分清了AHP法的三个层次后，就可以在相邻层次的各要素间建立联系，完成AHP法递阶层次结构模型的构造。</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运用AHP法解决问题，大体可以分为四个步骤：</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第一步：建立问题的递阶层次结构模型；</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第二步：构造两两比较判断矩阵；</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第三步：由判断矩阵计算被比较元素相对权重（层次单排序）；</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第四步：计算各层元素的组合权重（层次总排序）。</w:t>
            </w:r>
          </w:p>
          <w:p>
            <w:pPr>
              <w:keepNext w:val="0"/>
              <w:keepLines w:val="0"/>
              <w:pageBreakBefore w:val="0"/>
              <w:widowControl w:val="0"/>
              <w:kinsoku/>
              <w:wordWrap/>
              <w:overflowPunct/>
              <w:topLinePunct w:val="0"/>
              <w:autoSpaceDE/>
              <w:autoSpaceDN/>
              <w:bidi w:val="0"/>
              <w:adjustRightInd/>
              <w:snapToGrid/>
              <w:spacing w:line="300" w:lineRule="auto"/>
              <w:ind w:firstLine="467" w:firstLineChars="194"/>
              <w:textAlignment w:val="auto"/>
              <w:rPr>
                <w:rFonts w:hint="eastAsia" w:ascii="宋体" w:hAnsi="宋体" w:eastAsia="宋体" w:cs="宋体"/>
                <w:b/>
                <w:bCs/>
                <w:sz w:val="24"/>
                <w:szCs w:val="24"/>
              </w:rPr>
            </w:pPr>
            <w:r>
              <w:rPr>
                <w:rFonts w:hint="eastAsia" w:ascii="宋体" w:hAnsi="宋体" w:eastAsia="宋体" w:cs="宋体"/>
                <w:b/>
                <w:bCs/>
                <w:sz w:val="24"/>
                <w:szCs w:val="24"/>
              </w:rPr>
              <w:t>（3）分析模型的建立</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在进行组合无形资产的分割时，</w:t>
            </w:r>
            <w:r>
              <w:rPr>
                <w:rFonts w:hint="eastAsia" w:ascii="宋体" w:hAnsi="宋体" w:eastAsia="宋体" w:cs="宋体"/>
                <w:sz w:val="24"/>
                <w:szCs w:val="24"/>
                <w:lang w:eastAsia="zh-CN"/>
              </w:rPr>
              <w:t>本案例</w:t>
            </w:r>
            <w:r>
              <w:rPr>
                <w:rFonts w:hint="eastAsia" w:ascii="宋体" w:hAnsi="宋体" w:eastAsia="宋体" w:cs="宋体"/>
                <w:sz w:val="24"/>
                <w:szCs w:val="24"/>
              </w:rPr>
              <w:t>总是可以评估出组合无形资产的价值（组合无形资产超额收益的折现或资本化），关键是要找出组合中不同类型无形资产带来的超额收益在总的组合无形资产价值中的贡献，即比重。这样，可以将确定不同无形资产在组合无形资产价值中的权重作为AHP法的总目标，而其中各种不同类型的无形资产应作为方案层的各个不同要素。由于各种不同类型的无形资产对超额收益产生的作用不同，贡献大小不一样，因此将超额收益产生的各种原因（在业绩分析中可以确定）作为准则层的主元素。分清了AHP法中的三个层次（问题复杂的还可以将准则层分若干子层次），就可以在相邻层次各要素间建立联系。这一点可以依据一般经济活动的逻辑规律或咨询产权持有单位的高级管理人员做到。下层次对上一层次某一因素，即各种类型无形资产对超额收益产生的原因，有贡献的用连线联结起来的，无贡献的不划连线。至此，完成了AHP法层次递层结构模型的构造，称为组合无形资产分析结构图。</w:t>
            </w:r>
            <w:r>
              <w:rPr>
                <w:rFonts w:hint="eastAsia" w:ascii="宋体" w:hAnsi="宋体" w:eastAsia="宋体" w:cs="宋体"/>
                <w:sz w:val="24"/>
                <w:szCs w:val="24"/>
                <w:lang w:val="en-US" w:eastAsia="zh-CN"/>
              </w:rPr>
              <w:t>本案例如图1所示。</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c">
                  <w:drawing>
                    <wp:inline distT="0" distB="0" distL="114300" distR="114300">
                      <wp:extent cx="4467225" cy="2326005"/>
                      <wp:effectExtent l="0" t="0" r="0" b="762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 name="圆角矩形 5"/>
                              <wps:cNvSpPr>
                                <a:spLocks noChangeAspect="1"/>
                              </wps:cNvSpPr>
                              <wps:spPr>
                                <a:xfrm>
                                  <a:off x="1547309" y="184107"/>
                                  <a:ext cx="1365208" cy="349313"/>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pPr>
                                      <w:jc w:val="center"/>
                                    </w:pPr>
                                    <w:r>
                                      <w:rPr>
                                        <w:rFonts w:hint="eastAsia"/>
                                      </w:rPr>
                                      <w:t>无形资产超额收益</w:t>
                                    </w:r>
                                  </w:p>
                                </w:txbxContent>
                              </wps:txbx>
                              <wps:bodyPr anchor="ctr" anchorCtr="0" upright="1"/>
                            </wps:wsp>
                            <wps:wsp>
                              <wps:cNvPr id="27" name="圆角矩形 6"/>
                              <wps:cNvSpPr>
                                <a:spLocks noChangeAspect="1"/>
                              </wps:cNvSpPr>
                              <wps:spPr>
                                <a:xfrm>
                                  <a:off x="36000" y="927135"/>
                                  <a:ext cx="939805" cy="355614"/>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pPr>
                                      <w:jc w:val="center"/>
                                    </w:pPr>
                                    <w:r>
                                      <w:rPr>
                                        <w:rFonts w:hint="eastAsia"/>
                                      </w:rPr>
                                      <w:t>价格优势</w:t>
                                    </w:r>
                                  </w:p>
                                </w:txbxContent>
                              </wps:txbx>
                              <wps:bodyPr anchor="ctr" anchorCtr="0" upright="1"/>
                            </wps:wsp>
                            <wps:wsp>
                              <wps:cNvPr id="28" name="圆角矩形 7"/>
                              <wps:cNvSpPr>
                                <a:spLocks noChangeAspect="1"/>
                              </wps:cNvSpPr>
                              <wps:spPr>
                                <a:xfrm>
                                  <a:off x="1765410" y="927135"/>
                                  <a:ext cx="939805" cy="355614"/>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pPr>
                                      <w:pStyle w:val="6"/>
                                      <w:spacing w:before="0" w:beforeAutospacing="0" w:after="0" w:afterAutospacing="0"/>
                                      <w:jc w:val="center"/>
                                    </w:pPr>
                                    <w:r>
                                      <w:rPr>
                                        <w:rFonts w:hint="eastAsia" w:ascii="Times New Roman"/>
                                        <w:sz w:val="21"/>
                                        <w:szCs w:val="21"/>
                                      </w:rPr>
                                      <w:t>销售增长</w:t>
                                    </w:r>
                                  </w:p>
                                </w:txbxContent>
                              </wps:txbx>
                              <wps:bodyPr anchor="ctr" anchorCtr="0" upright="1"/>
                            </wps:wsp>
                            <wps:wsp>
                              <wps:cNvPr id="29" name="圆角矩形 8"/>
                              <wps:cNvSpPr>
                                <a:spLocks noChangeAspect="1"/>
                              </wps:cNvSpPr>
                              <wps:spPr>
                                <a:xfrm>
                                  <a:off x="3379219" y="927135"/>
                                  <a:ext cx="939805" cy="355614"/>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pPr>
                                      <w:pStyle w:val="6"/>
                                      <w:spacing w:before="0" w:beforeAutospacing="0" w:after="0" w:afterAutospacing="0"/>
                                      <w:jc w:val="center"/>
                                    </w:pPr>
                                    <w:r>
                                      <w:rPr>
                                        <w:rFonts w:hint="eastAsia" w:ascii="Times New Roman"/>
                                        <w:sz w:val="21"/>
                                        <w:szCs w:val="21"/>
                                      </w:rPr>
                                      <w:t>成本节约</w:t>
                                    </w:r>
                                  </w:p>
                                </w:txbxContent>
                              </wps:txbx>
                              <wps:bodyPr anchor="ctr" anchorCtr="0" upright="1"/>
                            </wps:wsp>
                            <wps:wsp>
                              <wps:cNvPr id="30" name="圆角矩形 9"/>
                              <wps:cNvSpPr>
                                <a:spLocks noChangeAspect="1"/>
                              </wps:cNvSpPr>
                              <wps:spPr>
                                <a:xfrm>
                                  <a:off x="63100" y="1898872"/>
                                  <a:ext cx="1006406" cy="427716"/>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pPr>
                                      <w:pStyle w:val="6"/>
                                      <w:spacing w:before="0" w:beforeAutospacing="0" w:after="0" w:afterAutospacing="0"/>
                                      <w:jc w:val="center"/>
                                    </w:pPr>
                                    <w:r>
                                      <w:rPr>
                                        <w:rFonts w:hint="eastAsia" w:ascii="Times New Roman"/>
                                        <w:sz w:val="21"/>
                                        <w:szCs w:val="21"/>
                                      </w:rPr>
                                      <w:t>商标</w:t>
                                    </w:r>
                                  </w:p>
                                </w:txbxContent>
                              </wps:txbx>
                              <wps:bodyPr anchor="ctr" anchorCtr="0" upright="1"/>
                            </wps:wsp>
                            <wps:wsp>
                              <wps:cNvPr id="31" name="圆角矩形 10"/>
                              <wps:cNvSpPr>
                                <a:spLocks noChangeAspect="1"/>
                              </wps:cNvSpPr>
                              <wps:spPr>
                                <a:xfrm>
                                  <a:off x="1735610" y="1898872"/>
                                  <a:ext cx="1005906" cy="427316"/>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pPr>
                                      <w:pStyle w:val="6"/>
                                      <w:spacing w:before="0" w:beforeAutospacing="0" w:after="0" w:afterAutospacing="0"/>
                                      <w:jc w:val="center"/>
                                    </w:pPr>
                                    <w:r>
                                      <w:rPr>
                                        <w:rFonts w:hint="eastAsia" w:ascii="Times New Roman"/>
                                        <w:sz w:val="21"/>
                                        <w:szCs w:val="21"/>
                                      </w:rPr>
                                      <w:t>团队</w:t>
                                    </w:r>
                                  </w:p>
                                </w:txbxContent>
                              </wps:txbx>
                              <wps:bodyPr anchor="ctr" anchorCtr="0" upright="1"/>
                            </wps:wsp>
                            <wps:wsp>
                              <wps:cNvPr id="32" name="圆角矩形 11"/>
                              <wps:cNvSpPr>
                                <a:spLocks noChangeAspect="1"/>
                              </wps:cNvSpPr>
                              <wps:spPr>
                                <a:xfrm>
                                  <a:off x="3408219" y="1899172"/>
                                  <a:ext cx="1005806" cy="427416"/>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pPr>
                                      <w:pStyle w:val="6"/>
                                      <w:spacing w:before="0" w:beforeAutospacing="0" w:after="0" w:afterAutospacing="0"/>
                                      <w:jc w:val="center"/>
                                    </w:pPr>
                                    <w:r>
                                      <w:rPr>
                                        <w:rFonts w:hint="eastAsia" w:ascii="Times New Roman"/>
                                        <w:sz w:val="21"/>
                                        <w:szCs w:val="21"/>
                                      </w:rPr>
                                      <w:t>销售网络</w:t>
                                    </w:r>
                                  </w:p>
                                </w:txbxContent>
                              </wps:txbx>
                              <wps:bodyPr anchor="ctr" anchorCtr="0" upright="1"/>
                            </wps:wsp>
                            <wps:wsp>
                              <wps:cNvPr id="33" name="直接箭头连接符 12"/>
                              <wps:cNvCnPr>
                                <a:cxnSpLocks noChangeAspect="1"/>
                              </wps:cNvCnPr>
                              <wps:spPr>
                                <a:xfrm flipH="1">
                                  <a:off x="505903" y="533420"/>
                                  <a:ext cx="1709510" cy="393715"/>
                                </a:xfrm>
                                <a:prstGeom prst="straightConnector1">
                                  <a:avLst/>
                                </a:prstGeom>
                                <a:ln w="6350" cap="flat" cmpd="sng">
                                  <a:solidFill>
                                    <a:srgbClr val="4472C4"/>
                                  </a:solidFill>
                                  <a:prstDash val="solid"/>
                                  <a:miter/>
                                  <a:headEnd type="none" w="med" len="med"/>
                                  <a:tailEnd type="triangle" w="med" len="med"/>
                                </a:ln>
                              </wps:spPr>
                              <wps:bodyPr/>
                            </wps:wsp>
                            <wps:wsp>
                              <wps:cNvPr id="34" name="直接箭头连接符 13"/>
                              <wps:cNvCnPr>
                                <a:cxnSpLocks noChangeAspect="1"/>
                              </wps:cNvCnPr>
                              <wps:spPr>
                                <a:xfrm>
                                  <a:off x="2229912" y="533420"/>
                                  <a:ext cx="5400" cy="393715"/>
                                </a:xfrm>
                                <a:prstGeom prst="straightConnector1">
                                  <a:avLst/>
                                </a:prstGeom>
                                <a:ln w="6350" cap="flat" cmpd="sng">
                                  <a:solidFill>
                                    <a:srgbClr val="4472C4"/>
                                  </a:solidFill>
                                  <a:prstDash val="solid"/>
                                  <a:miter/>
                                  <a:headEnd type="none" w="med" len="med"/>
                                  <a:tailEnd type="triangle" w="med" len="med"/>
                                </a:ln>
                              </wps:spPr>
                              <wps:bodyPr/>
                            </wps:wsp>
                            <wps:wsp>
                              <wps:cNvPr id="35" name="直接箭头连接符 14"/>
                              <wps:cNvCnPr>
                                <a:cxnSpLocks noChangeAspect="1"/>
                              </wps:cNvCnPr>
                              <wps:spPr>
                                <a:xfrm>
                                  <a:off x="2229912" y="533420"/>
                                  <a:ext cx="1619209" cy="393715"/>
                                </a:xfrm>
                                <a:prstGeom prst="straightConnector1">
                                  <a:avLst/>
                                </a:prstGeom>
                                <a:ln w="6350" cap="flat" cmpd="sng">
                                  <a:solidFill>
                                    <a:srgbClr val="4472C4"/>
                                  </a:solidFill>
                                  <a:prstDash val="solid"/>
                                  <a:miter/>
                                  <a:headEnd type="none" w="med" len="med"/>
                                  <a:tailEnd type="triangle" w="med" len="med"/>
                                </a:ln>
                              </wps:spPr>
                              <wps:bodyPr/>
                            </wps:wsp>
                            <wps:wsp>
                              <wps:cNvPr id="36" name="直接箭头连接符 15"/>
                              <wps:cNvCnPr>
                                <a:cxnSpLocks noChangeAspect="1"/>
                              </wps:cNvCnPr>
                              <wps:spPr>
                                <a:xfrm>
                                  <a:off x="505903" y="1282749"/>
                                  <a:ext cx="60400" cy="616123"/>
                                </a:xfrm>
                                <a:prstGeom prst="straightConnector1">
                                  <a:avLst/>
                                </a:prstGeom>
                                <a:ln w="6350" cap="flat" cmpd="sng">
                                  <a:solidFill>
                                    <a:srgbClr val="4472C4"/>
                                  </a:solidFill>
                                  <a:prstDash val="solid"/>
                                  <a:miter/>
                                  <a:headEnd type="none" w="med" len="med"/>
                                  <a:tailEnd type="triangle" w="med" len="med"/>
                                </a:ln>
                              </wps:spPr>
                              <wps:bodyPr/>
                            </wps:wsp>
                            <wps:wsp>
                              <wps:cNvPr id="37" name="直接箭头连接符 16"/>
                              <wps:cNvCnPr>
                                <a:cxnSpLocks noChangeAspect="1"/>
                              </wps:cNvCnPr>
                              <wps:spPr>
                                <a:xfrm>
                                  <a:off x="505903" y="1282749"/>
                                  <a:ext cx="1732610" cy="616123"/>
                                </a:xfrm>
                                <a:prstGeom prst="straightConnector1">
                                  <a:avLst/>
                                </a:prstGeom>
                                <a:ln w="6350" cap="flat" cmpd="sng">
                                  <a:solidFill>
                                    <a:srgbClr val="4472C4"/>
                                  </a:solidFill>
                                  <a:prstDash val="solid"/>
                                  <a:miter/>
                                  <a:headEnd type="none" w="med" len="med"/>
                                  <a:tailEnd type="triangle" w="med" len="med"/>
                                </a:ln>
                              </wps:spPr>
                              <wps:bodyPr/>
                            </wps:wsp>
                            <wps:wsp>
                              <wps:cNvPr id="38" name="直接箭头连接符 17"/>
                              <wps:cNvCnPr>
                                <a:cxnSpLocks noChangeAspect="1"/>
                              </wps:cNvCnPr>
                              <wps:spPr>
                                <a:xfrm>
                                  <a:off x="505903" y="1282749"/>
                                  <a:ext cx="3405219" cy="616423"/>
                                </a:xfrm>
                                <a:prstGeom prst="straightConnector1">
                                  <a:avLst/>
                                </a:prstGeom>
                                <a:ln w="6350" cap="flat" cmpd="sng">
                                  <a:solidFill>
                                    <a:srgbClr val="4472C4"/>
                                  </a:solidFill>
                                  <a:prstDash val="solid"/>
                                  <a:miter/>
                                  <a:headEnd type="none" w="med" len="med"/>
                                  <a:tailEnd type="triangle" w="med" len="med"/>
                                </a:ln>
                              </wps:spPr>
                              <wps:bodyPr/>
                            </wps:wsp>
                            <wps:wsp>
                              <wps:cNvPr id="39" name="直接箭头连接符 18"/>
                              <wps:cNvCnPr>
                                <a:cxnSpLocks noChangeAspect="1"/>
                              </wps:cNvCnPr>
                              <wps:spPr>
                                <a:xfrm flipH="1">
                                  <a:off x="566303" y="1282749"/>
                                  <a:ext cx="1669009" cy="616123"/>
                                </a:xfrm>
                                <a:prstGeom prst="straightConnector1">
                                  <a:avLst/>
                                </a:prstGeom>
                                <a:ln w="6350" cap="flat" cmpd="sng">
                                  <a:solidFill>
                                    <a:srgbClr val="4472C4"/>
                                  </a:solidFill>
                                  <a:prstDash val="solid"/>
                                  <a:miter/>
                                  <a:headEnd type="none" w="med" len="med"/>
                                  <a:tailEnd type="triangle" w="med" len="med"/>
                                </a:ln>
                              </wps:spPr>
                              <wps:bodyPr/>
                            </wps:wsp>
                            <wps:wsp>
                              <wps:cNvPr id="40" name="直接箭头连接符 19"/>
                              <wps:cNvCnPr>
                                <a:cxnSpLocks noChangeAspect="1"/>
                              </wps:cNvCnPr>
                              <wps:spPr>
                                <a:xfrm>
                                  <a:off x="2235313" y="1282749"/>
                                  <a:ext cx="3200" cy="616123"/>
                                </a:xfrm>
                                <a:prstGeom prst="straightConnector1">
                                  <a:avLst/>
                                </a:prstGeom>
                                <a:ln w="6350" cap="flat" cmpd="sng">
                                  <a:solidFill>
                                    <a:srgbClr val="4472C4"/>
                                  </a:solidFill>
                                  <a:prstDash val="solid"/>
                                  <a:miter/>
                                  <a:headEnd type="none" w="med" len="med"/>
                                  <a:tailEnd type="triangle" w="med" len="med"/>
                                </a:ln>
                              </wps:spPr>
                              <wps:bodyPr/>
                            </wps:wsp>
                            <wps:wsp>
                              <wps:cNvPr id="41" name="直接箭头连接符 20"/>
                              <wps:cNvCnPr>
                                <a:cxnSpLocks noChangeAspect="1"/>
                              </wps:cNvCnPr>
                              <wps:spPr>
                                <a:xfrm>
                                  <a:off x="2235313" y="1282749"/>
                                  <a:ext cx="1675809" cy="616423"/>
                                </a:xfrm>
                                <a:prstGeom prst="straightConnector1">
                                  <a:avLst/>
                                </a:prstGeom>
                                <a:ln w="6350" cap="flat" cmpd="sng">
                                  <a:solidFill>
                                    <a:srgbClr val="4472C4"/>
                                  </a:solidFill>
                                  <a:prstDash val="solid"/>
                                  <a:miter/>
                                  <a:headEnd type="none" w="med" len="med"/>
                                  <a:tailEnd type="triangle" w="med" len="med"/>
                                </a:ln>
                              </wps:spPr>
                              <wps:bodyPr/>
                            </wps:wsp>
                            <wps:wsp>
                              <wps:cNvPr id="42" name="直接箭头连接符 21"/>
                              <wps:cNvCnPr>
                                <a:cxnSpLocks noChangeAspect="1"/>
                              </wps:cNvCnPr>
                              <wps:spPr>
                                <a:xfrm flipH="1">
                                  <a:off x="566303" y="1282749"/>
                                  <a:ext cx="3282818" cy="616123"/>
                                </a:xfrm>
                                <a:prstGeom prst="straightConnector1">
                                  <a:avLst/>
                                </a:prstGeom>
                                <a:ln w="6350" cap="flat" cmpd="sng">
                                  <a:solidFill>
                                    <a:srgbClr val="4472C4"/>
                                  </a:solidFill>
                                  <a:prstDash val="solid"/>
                                  <a:miter/>
                                  <a:headEnd type="none" w="med" len="med"/>
                                  <a:tailEnd type="triangle" w="med" len="med"/>
                                </a:ln>
                              </wps:spPr>
                              <wps:bodyPr/>
                            </wps:wsp>
                            <wps:wsp>
                              <wps:cNvPr id="44" name="直接箭头连接符 22"/>
                              <wps:cNvCnPr>
                                <a:cxnSpLocks noChangeAspect="1"/>
                              </wps:cNvCnPr>
                              <wps:spPr>
                                <a:xfrm flipH="1">
                                  <a:off x="2238513" y="1282749"/>
                                  <a:ext cx="1610609" cy="616123"/>
                                </a:xfrm>
                                <a:prstGeom prst="straightConnector1">
                                  <a:avLst/>
                                </a:prstGeom>
                                <a:ln w="6350" cap="flat" cmpd="sng">
                                  <a:solidFill>
                                    <a:srgbClr val="4472C4"/>
                                  </a:solidFill>
                                  <a:prstDash val="solid"/>
                                  <a:miter/>
                                  <a:headEnd type="none" w="med" len="med"/>
                                  <a:tailEnd type="triangle" w="med" len="med"/>
                                </a:ln>
                              </wps:spPr>
                              <wps:bodyPr/>
                            </wps:wsp>
                            <wps:wsp>
                              <wps:cNvPr id="45" name="直接箭头连接符 23"/>
                              <wps:cNvCnPr>
                                <a:cxnSpLocks noChangeAspect="1"/>
                              </wps:cNvCnPr>
                              <wps:spPr>
                                <a:xfrm>
                                  <a:off x="3849122" y="1282749"/>
                                  <a:ext cx="62000" cy="616423"/>
                                </a:xfrm>
                                <a:prstGeom prst="straightConnector1">
                                  <a:avLst/>
                                </a:prstGeom>
                                <a:ln w="6350" cap="flat" cmpd="sng">
                                  <a:solidFill>
                                    <a:srgbClr val="4472C4"/>
                                  </a:solidFill>
                                  <a:prstDash val="solid"/>
                                  <a:miter/>
                                  <a:headEnd type="none" w="med" len="med"/>
                                  <a:tailEnd type="triangle" w="med" len="med"/>
                                </a:ln>
                              </wps:spPr>
                              <wps:bodyPr/>
                            </wps:wsp>
                          </wpc:wpc>
                        </a:graphicData>
                      </a:graphic>
                    </wp:inline>
                  </w:drawing>
                </mc:Choice>
                <mc:Fallback>
                  <w:pict>
                    <v:group id="_x0000_s1026" o:spid="_x0000_s1026" o:spt="203" style="height:183.15pt;width:351.75pt;" coordsize="4467225,2326005" editas="canvas" o:gfxdata="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">
                      <o:lock v:ext="edit" aspectratio="f"/>
                      <v:shape id="_x0000_s1026" o:spid="_x0000_s1026" style="position:absolute;left:0;top:0;height:2326005;width:4467225;" filled="f" stroked="f" coordsize="21600,21600" o:gfxdata="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">
                        <v:fill on="f" focussize="0,0"/>
                        <v:stroke on="f"/>
                        <v:imagedata o:title=""/>
                        <o:lock v:ext="edit" aspectratio="t"/>
                      </v:shape>
                      <v:roundrect id="圆角矩形 5" o:spid="_x0000_s1026" o:spt="2" style="position:absolute;left:1547309;top:184107;height:349313;width:1365208;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6HwIe1QAAAAUB&#10;AAAPAAAAAAAAAAEAIAAAACIAAABkcnMvZG93bnJldi54bWxQSwECFAAUAAAACACHTuJA6PUd01cC&#10;AAC0BAAADgAAAAAAAAABACAAAAAkAQAAZHJzL2Uyb0RvYy54bWxQSwUGAAAAAAYABgBZAQAA7QUA&#10;AAAA&#10;">
                        <v:fill on="t" focussize="0,0"/>
                        <v:stroke weight="1pt" color="#70AD47" joinstyle="miter"/>
                        <v:imagedata o:title=""/>
                        <o:lock v:ext="edit" aspectratio="t"/>
                        <v:textbox>
                          <w:txbxContent>
                            <w:p>
                              <w:pPr>
                                <w:jc w:val="center"/>
                              </w:pPr>
                              <w:r>
                                <w:rPr>
                                  <w:rFonts w:hint="eastAsia"/>
                                </w:rPr>
                                <w:t>无形资产超额收益</w:t>
                              </w:r>
                            </w:p>
                          </w:txbxContent>
                        </v:textbox>
                      </v:roundrect>
                      <v:roundrect id="圆角矩形 6" o:spid="_x0000_s1026" o:spt="2" style="position:absolute;left:36000;top:927135;height:355614;width:939805;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ofAh7VAAAABQEA&#10;AA8AAAAAAAAAAQAgAAAAIgAAAGRycy9kb3ducmV2LnhtbFBLAQIUABQAAAAIAIdO4kCzsUwSVgIA&#10;ALEEAAAOAAAAAAAAAAEAIAAAACQBAABkcnMvZTJvRG9jLnhtbFBLBQYAAAAABgAGAFkBAADsBQAA&#10;AAA=&#10;">
                        <v:fill on="t" focussize="0,0"/>
                        <v:stroke weight="1pt" color="#70AD47" joinstyle="miter"/>
                        <v:imagedata o:title=""/>
                        <o:lock v:ext="edit" aspectratio="t"/>
                        <v:textbox>
                          <w:txbxContent>
                            <w:p>
                              <w:pPr>
                                <w:jc w:val="center"/>
                              </w:pPr>
                              <w:r>
                                <w:rPr>
                                  <w:rFonts w:hint="eastAsia"/>
                                </w:rPr>
                                <w:t>价格优势</w:t>
                              </w:r>
                            </w:p>
                          </w:txbxContent>
                        </v:textbox>
                      </v:roundrect>
                      <v:roundrect id="圆角矩形 7" o:spid="_x0000_s1026" o:spt="2" style="position:absolute;left:1765410;top:927135;height:355614;width:939805;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h8CHtUAAAAF&#10;AQAADwAAAAAAAAABACAAAAAiAAAAZHJzL2Rvd25yZXYueG1sUEsBAhQAFAAAAAgAh07iQD6OpNJY&#10;AgAAswQAAA4AAAAAAAAAAQAgAAAAJAEAAGRycy9lMm9Eb2MueG1sUEsFBgAAAAAGAAYAWQEAAO4F&#10;AAAAAA==&#10;">
                        <v:fill on="t" focussize="0,0"/>
                        <v:stroke weight="1pt" color="#70AD47" joinstyle="miter"/>
                        <v:imagedata o:title=""/>
                        <o:lock v:ext="edit" aspectratio="t"/>
                        <v:textbox>
                          <w:txbxContent>
                            <w:p>
                              <w:pPr>
                                <w:pStyle w:val="6"/>
                                <w:spacing w:before="0" w:beforeAutospacing="0" w:after="0" w:afterAutospacing="0"/>
                                <w:jc w:val="center"/>
                              </w:pPr>
                              <w:r>
                                <w:rPr>
                                  <w:rFonts w:hint="eastAsia" w:ascii="Times New Roman"/>
                                  <w:sz w:val="21"/>
                                  <w:szCs w:val="21"/>
                                </w:rPr>
                                <w:t>销售增长</w:t>
                              </w:r>
                            </w:p>
                          </w:txbxContent>
                        </v:textbox>
                      </v:roundrect>
                      <v:roundrect id="圆角矩形 8" o:spid="_x0000_s1026" o:spt="2" style="position:absolute;left:3379219;top:927135;height:355614;width:939805;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DofAh7VAAAA&#10;BQEAAA8AAAAAAAAAAQAgAAAAIgAAAGRycy9kb3ducmV2LnhtbFBLAQIUABQAAAAIAIdO4kAln2HX&#10;WQIAALMEAAAOAAAAAAAAAAEAIAAAACQBAABkcnMvZTJvRG9jLnhtbFBLBQYAAAAABgAGAFkBAADv&#10;BQAAAAA=&#10;">
                        <v:fill on="t" focussize="0,0"/>
                        <v:stroke weight="1pt" color="#70AD47" joinstyle="miter"/>
                        <v:imagedata o:title=""/>
                        <o:lock v:ext="edit" aspectratio="t"/>
                        <v:textbox>
                          <w:txbxContent>
                            <w:p>
                              <w:pPr>
                                <w:pStyle w:val="6"/>
                                <w:spacing w:before="0" w:beforeAutospacing="0" w:after="0" w:afterAutospacing="0"/>
                                <w:jc w:val="center"/>
                              </w:pPr>
                              <w:r>
                                <w:rPr>
                                  <w:rFonts w:hint="eastAsia" w:ascii="Times New Roman"/>
                                  <w:sz w:val="21"/>
                                  <w:szCs w:val="21"/>
                                </w:rPr>
                                <w:t>成本节约</w:t>
                              </w:r>
                            </w:p>
                          </w:txbxContent>
                        </v:textbox>
                      </v:roundrect>
                      <v:roundrect id="圆角矩形 9" o:spid="_x0000_s1026" o:spt="2" style="position:absolute;left:63100;top:1898872;height:427716;width:1006406;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Oh8CHtUAAAAFAQAA&#10;DwAAAAAAAAABACAAAAAiAAAAZHJzL2Rvd25yZXYueG1sUEsBAhQAFAAAAAgAh07iQE3YONNVAgAA&#10;swQAAA4AAAAAAAAAAQAgAAAAJAEAAGRycy9lMm9Eb2MueG1sUEsFBgAAAAAGAAYAWQEAAOsFAAAA&#10;AA==&#10;">
                        <v:fill on="t" focussize="0,0"/>
                        <v:stroke weight="1pt" color="#70AD47" joinstyle="miter"/>
                        <v:imagedata o:title=""/>
                        <o:lock v:ext="edit" aspectratio="t"/>
                        <v:textbox>
                          <w:txbxContent>
                            <w:p>
                              <w:pPr>
                                <w:pStyle w:val="6"/>
                                <w:spacing w:before="0" w:beforeAutospacing="0" w:after="0" w:afterAutospacing="0"/>
                                <w:jc w:val="center"/>
                              </w:pPr>
                              <w:r>
                                <w:rPr>
                                  <w:rFonts w:hint="eastAsia" w:ascii="Times New Roman"/>
                                  <w:sz w:val="21"/>
                                  <w:szCs w:val="21"/>
                                </w:rPr>
                                <w:t>商标</w:t>
                              </w:r>
                            </w:p>
                          </w:txbxContent>
                        </v:textbox>
                      </v:roundrect>
                      <v:roundrect id="圆角矩形 10" o:spid="_x0000_s1026" o:spt="2" style="position:absolute;left:1735610;top:1898872;height:427316;width:1005906;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h8CHtUAAAAF&#10;AQAADwAAAAAAAAABACAAAAAiAAAAZHJzL2Rvd25yZXYueG1sUEsBAhQAFAAAAAgAh07iQCQ9NJ5Y&#10;AgAAtgQAAA4AAAAAAAAAAQAgAAAAJAEAAGRycy9lMm9Eb2MueG1sUEsFBgAAAAAGAAYAWQEAAO4F&#10;AAAAAA==&#10;">
                        <v:fill on="t" focussize="0,0"/>
                        <v:stroke weight="1pt" color="#70AD47" joinstyle="miter"/>
                        <v:imagedata o:title=""/>
                        <o:lock v:ext="edit" aspectratio="t"/>
                        <v:textbox>
                          <w:txbxContent>
                            <w:p>
                              <w:pPr>
                                <w:pStyle w:val="6"/>
                                <w:spacing w:before="0" w:beforeAutospacing="0" w:after="0" w:afterAutospacing="0"/>
                                <w:jc w:val="center"/>
                              </w:pPr>
                              <w:r>
                                <w:rPr>
                                  <w:rFonts w:hint="eastAsia" w:ascii="Times New Roman"/>
                                  <w:sz w:val="21"/>
                                  <w:szCs w:val="21"/>
                                </w:rPr>
                                <w:t>团队</w:t>
                              </w:r>
                            </w:p>
                          </w:txbxContent>
                        </v:textbox>
                      </v:roundrect>
                      <v:roundrect id="圆角矩形 11" o:spid="_x0000_s1026" o:spt="2" style="position:absolute;left:3408219;top:1899172;height:427416;width:1005806;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h8CHtUAAAAF&#10;AQAADwAAAAAAAAABACAAAAAiAAAAZHJzL2Rvd25yZXYueG1sUEsBAhQAFAAAAAgAh07iQOd2yzRY&#10;AgAAtgQAAA4AAAAAAAAAAQAgAAAAJAEAAGRycy9lMm9Eb2MueG1sUEsFBgAAAAAGAAYAWQEAAO4F&#10;AAAAAA==&#10;">
                        <v:fill on="t" focussize="0,0"/>
                        <v:stroke weight="1pt" color="#70AD47" joinstyle="miter"/>
                        <v:imagedata o:title=""/>
                        <o:lock v:ext="edit" aspectratio="t"/>
                        <v:textbox>
                          <w:txbxContent>
                            <w:p>
                              <w:pPr>
                                <w:pStyle w:val="6"/>
                                <w:spacing w:before="0" w:beforeAutospacing="0" w:after="0" w:afterAutospacing="0"/>
                                <w:jc w:val="center"/>
                              </w:pPr>
                              <w:r>
                                <w:rPr>
                                  <w:rFonts w:hint="eastAsia" w:ascii="Times New Roman"/>
                                  <w:sz w:val="21"/>
                                  <w:szCs w:val="21"/>
                                </w:rPr>
                                <w:t>销售网络</w:t>
                              </w:r>
                            </w:p>
                          </w:txbxContent>
                        </v:textbox>
                      </v:roundrect>
                      <v:shape id="直接箭头连接符 12" o:spid="_x0000_s1026" o:spt="32" type="#_x0000_t32" style="position:absolute;left:505903;top:533420;flip:x;height:393715;width:1709510;" filled="f" stroked="t" coordsize="21600,21600" o:gfxdata="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DR3HftUAAAAFAQAADwAAAAAAAAABACAAAAAiAAAAZHJzL2Rv&#10;d25yZXYueG1sUEsBAhQAFAAAAAgAh07iQC8rZrE9AgAARAQAAA4AAAAAAAAAAQAgAAAAJAEAAGRy&#10;cy9lMm9Eb2MueG1sUEsFBgAAAAAGAAYAWQEAANMFAAAAAA==&#10;">
                        <v:fill on="f" focussize="0,0"/>
                        <v:stroke weight="0.5pt" color="#4472C4" joinstyle="miter" endarrow="block"/>
                        <v:imagedata o:title=""/>
                        <o:lock v:ext="edit" aspectratio="t"/>
                      </v:shape>
                      <v:shape id="直接箭头连接符 13" o:spid="_x0000_s1026" o:spt="32" type="#_x0000_t32" style="position:absolute;left:2229912;top:533420;height:393715;width:5400;"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LtWlzWAAAABQEAAA8AAAAAAAAAAQAgAAAAIgAAAGRycy9kb3ducmV2&#10;LnhtbFBLAQIUABQAAAAIAIdO4kAuFXtDNwIAADgEAAAOAAAAAAAAAAEAIAAAACUBAABkcnMvZTJv&#10;RG9jLnhtbFBLBQYAAAAABgAGAFkBAADOBQAAAAA=&#10;">
                        <v:fill on="f" focussize="0,0"/>
                        <v:stroke weight="0.5pt" color="#4472C4" joinstyle="miter" endarrow="block"/>
                        <v:imagedata o:title=""/>
                        <o:lock v:ext="edit" aspectratio="t"/>
                      </v:shape>
                      <v:shape id="直接箭头连接符 14" o:spid="_x0000_s1026" o:spt="32" type="#_x0000_t32" style="position:absolute;left:2229912;top:533420;height:393715;width:1619209;"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y7Vpc1gAAAAUBAAAPAAAAAAAAAAEAIAAAACIAAABkcnMvZG93&#10;bnJldi54bWxQSwECFAAUAAAACACHTuJAde2jLjsCAAA7BAAADgAAAAAAAAABACAAAAAlAQAAZHJz&#10;L2Uyb0RvYy54bWxQSwUGAAAAAAYABgBZAQAA0gUAAAAA&#10;">
                        <v:fill on="f" focussize="0,0"/>
                        <v:stroke weight="0.5pt" color="#4472C4" joinstyle="miter" endarrow="block"/>
                        <v:imagedata o:title=""/>
                        <o:lock v:ext="edit" aspectratio="t"/>
                      </v:shape>
                      <v:shape id="直接箭头连接符 15" o:spid="_x0000_s1026" o:spt="32" type="#_x0000_t32" style="position:absolute;left:505903;top:1282749;height:616123;width:60400;"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u1aXNYAAAAFAQAADwAAAAAAAAABACAAAAAiAAAAZHJzL2Rvd25yZXYu&#10;eG1sUEsBAhQAFAAAAAgAh07iQKWaMhI2AgAAOQQAAA4AAAAAAAAAAQAgAAAAJQEAAGRycy9lMm9E&#10;b2MueG1sUEsFBgAAAAAGAAYAWQEAAM0FAAAAAA==&#10;">
                        <v:fill on="f" focussize="0,0"/>
                        <v:stroke weight="0.5pt" color="#4472C4" joinstyle="miter" endarrow="block"/>
                        <v:imagedata o:title=""/>
                        <o:lock v:ext="edit" aspectratio="t"/>
                      </v:shape>
                      <v:shape id="直接箭头连接符 16" o:spid="_x0000_s1026" o:spt="32" type="#_x0000_t32" style="position:absolute;left:505903;top:1282749;height:616123;width:1732610;"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y7Vpc1gAAAAUBAAAPAAAAAAAAAAEAIAAAACIAAABkcnMvZG93bnJl&#10;di54bWxQSwECFAAUAAAACACHTuJAhr8jKTgCAAA7BAAADgAAAAAAAAABACAAAAAlAQAAZHJzL2Uy&#10;b0RvYy54bWxQSwUGAAAAAAYABgBZAQAAzwUAAAAA&#10;">
                        <v:fill on="f" focussize="0,0"/>
                        <v:stroke weight="0.5pt" color="#4472C4" joinstyle="miter" endarrow="block"/>
                        <v:imagedata o:title=""/>
                        <o:lock v:ext="edit" aspectratio="t"/>
                      </v:shape>
                      <v:shape id="直接箭头连接符 17" o:spid="_x0000_s1026" o:spt="32" type="#_x0000_t32" style="position:absolute;left:505903;top:1282749;height:616423;width:3405219;"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LtWlzWAAAABQEAAA8AAAAAAAAAAQAgAAAAIgAAAGRycy9kb3du&#10;cmV2LnhtbFBLAQIUABQAAAAIAIdO4kArpR5GOgIAADsEAAAOAAAAAAAAAAEAIAAAACUBAABkcnMv&#10;ZTJvRG9jLnhtbFBLBQYAAAAABgAGAFkBAADRBQAAAAA=&#10;">
                        <v:fill on="f" focussize="0,0"/>
                        <v:stroke weight="0.5pt" color="#4472C4" joinstyle="miter" endarrow="block"/>
                        <v:imagedata o:title=""/>
                        <o:lock v:ext="edit" aspectratio="t"/>
                      </v:shape>
                      <v:shape id="直接箭头连接符 18" o:spid="_x0000_s1026" o:spt="32" type="#_x0000_t32" style="position:absolute;left:566303;top:1282749;flip:x;height:616123;width:1669009;" filled="f" stroked="t" coordsize="21600,21600" o:gfxdata="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NHcd+1QAAAAUBAAAPAAAAAAAAAAEAIAAAACIAAABkcnMv&#10;ZG93bnJldi54bWxQSwECFAAUAAAACACHTuJAqNgAQD8CAABFBAAADgAAAAAAAAABACAAAAAkAQAA&#10;ZHJzL2Uyb0RvYy54bWxQSwUGAAAAAAYABgBZAQAA1QUAAAAA&#10;">
                        <v:fill on="f" focussize="0,0"/>
                        <v:stroke weight="0.5pt" color="#4472C4" joinstyle="miter" endarrow="block"/>
                        <v:imagedata o:title=""/>
                        <o:lock v:ext="edit" aspectratio="t"/>
                      </v:shape>
                      <v:shape id="直接箭头连接符 19" o:spid="_x0000_s1026" o:spt="32" type="#_x0000_t32" style="position:absolute;left:2235313;top:1282749;height:616123;width:3200;"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y7Vpc1gAAAAUBAAAPAAAAAAAAAAEAIAAAACIAAABkcnMvZG93bnJldi54&#10;bWxQSwECFAAUAAAACACHTuJAOkhvTjUCAAA5BAAADgAAAAAAAAABACAAAAAlAQAAZHJzL2Uyb0Rv&#10;Yy54bWxQSwUGAAAAAAYABgBZAQAAzAUAAAAA&#10;">
                        <v:fill on="f" focussize="0,0"/>
                        <v:stroke weight="0.5pt" color="#4472C4" joinstyle="miter" endarrow="block"/>
                        <v:imagedata o:title=""/>
                        <o:lock v:ext="edit" aspectratio="t"/>
                      </v:shape>
                      <v:shape id="直接箭头连接符 20" o:spid="_x0000_s1026" o:spt="32" type="#_x0000_t32" style="position:absolute;left:2235313;top:1282749;height:616423;width:1675809;"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y7Vpc1gAAAAUBAAAPAAAAAAAAAAEAIAAAACIAAABkcnMvZG93&#10;bnJldi54bWxQSwECFAAUAAAACACHTuJAoDKsezsCAAA8BAAADgAAAAAAAAABACAAAAAlAQAAZHJz&#10;L2Uyb0RvYy54bWxQSwUGAAAAAAYABgBZAQAA0gUAAAAA&#10;">
                        <v:fill on="f" focussize="0,0"/>
                        <v:stroke weight="0.5pt" color="#4472C4" joinstyle="miter" endarrow="block"/>
                        <v:imagedata o:title=""/>
                        <o:lock v:ext="edit" aspectratio="t"/>
                      </v:shape>
                      <v:shape id="直接箭头连接符 21" o:spid="_x0000_s1026" o:spt="32" type="#_x0000_t32" style="position:absolute;left:566303;top:1282749;flip:x;height:616123;width:3282818;" filled="f" stroked="t" coordsize="21600,21600" o:gfxdata="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A0dx37VAAAABQEAAA8AAAAAAAAAAQAgAAAAIgAAAGRycy9k&#10;b3ducmV2LnhtbFBLAQIUABQAAAAIAIdO4kAmJdoBPgIAAEUEAAAOAAAAAAAAAAEAIAAAACQBAABk&#10;cnMvZTJvRG9jLnhtbFBLBQYAAAAABgAGAFkBAADUBQAAAAA=&#10;">
                        <v:fill on="f" focussize="0,0"/>
                        <v:stroke weight="0.5pt" color="#4472C4" joinstyle="miter" endarrow="block"/>
                        <v:imagedata o:title=""/>
                        <o:lock v:ext="edit" aspectratio="t"/>
                      </v:shape>
                      <v:shape id="直接箭头连接符 22" o:spid="_x0000_s1026" o:spt="32" type="#_x0000_t32" style="position:absolute;left:2238513;top:1282749;flip:x;height:616123;width:1610609;" filled="f" stroked="t" coordsize="21600,21600" o:gfxdata="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NHcd+1QAAAAUBAAAPAAAAAAAAAAEAIAAAACIAAABkcnMv&#10;ZG93bnJldi54bWxQSwECFAAUAAAACACHTuJASQwqQD8CAABGBAAADgAAAAAAAAABACAAAAAkAQAA&#10;ZHJzL2Uyb0RvYy54bWxQSwUGAAAAAAYABgBZAQAA1QUAAAAA&#10;">
                        <v:fill on="f" focussize="0,0"/>
                        <v:stroke weight="0.5pt" color="#4472C4" joinstyle="miter" endarrow="block"/>
                        <v:imagedata o:title=""/>
                        <o:lock v:ext="edit" aspectratio="t"/>
                      </v:shape>
                      <v:shape id="直接箭头连接符 23" o:spid="_x0000_s1026" o:spt="32" type="#_x0000_t32" style="position:absolute;left:3849122;top:1282749;height:616423;width:62000;"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y7Vpc1gAAAAUBAAAPAAAAAAAAAAEAIAAAACIAAABkcnMvZG93bnJl&#10;di54bWxQSwECFAAUAAAACACHTuJAbLMtJDgCAAA6BAAADgAAAAAAAAABACAAAAAlAQAAZHJzL2Uy&#10;b0RvYy54bWxQSwUGAAAAAAYABgBZAQAAzwUAAAAA&#10;">
                        <v:fill on="f" focussize="0,0"/>
                        <v:stroke weight="0.5pt" color="#4472C4" joinstyle="miter" endarrow="block"/>
                        <v:imagedata o:title=""/>
                        <o:lock v:ext="edit" aspectratio="t"/>
                      </v:shape>
                      <w10:wrap type="none"/>
                      <w10:anchorlock/>
                    </v:group>
                  </w:pict>
                </mc:Fallback>
              </mc:AlternateConten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图1 </w:t>
            </w:r>
            <w:r>
              <w:rPr>
                <w:rFonts w:hint="eastAsia" w:ascii="宋体" w:hAnsi="宋体" w:eastAsia="宋体" w:cs="宋体"/>
                <w:sz w:val="24"/>
                <w:szCs w:val="24"/>
              </w:rPr>
              <w:t>组合无形资产分析结构图</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A层：进行层次分析的总目标，在已确定出组合无形资产形成的超额收益中，分析求出各种无形资产在超额收益中的贡献份额或权重；</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C层：准则层，即如何权衡或区分无形资产带来超额收益的评价标准，根据复杂程度，可分为若干子标准层；</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P层：方案层，排列出组合无形资产所包含的各种类型不同无形资产（名称）。</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每个矩阵计算后需进行一致性检验</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CI（Consistency Index）</w:t>
            </w:r>
            <w:r>
              <w:rPr>
                <w:rFonts w:hint="eastAsia" w:ascii="宋体" w:hAnsi="宋体" w:eastAsia="宋体" w:cs="宋体"/>
                <w:sz w:val="24"/>
                <w:szCs w:val="24"/>
                <w:lang w:eastAsia="zh-CN"/>
              </w:rPr>
              <w:t>，</w:t>
            </w:r>
            <w:r>
              <w:rPr>
                <w:rFonts w:hint="eastAsia" w:ascii="宋体" w:hAnsi="宋体" w:eastAsia="宋体" w:cs="宋体"/>
                <w:sz w:val="24"/>
                <w:szCs w:val="24"/>
              </w:rPr>
              <w:t>一致性指标CI的值越大，表明判断矩阵偏离程度完全一致性的程度越大，CI的值越小，表明判断矩阵越接近于完全一致性。一般判断矩阵的阶数n越大，人为造成的偏离完全一致性指标CI的值便越大；n越小，人为造成的偏离完全一致性指标CI的值越小。对于多阶判断矩阵，引入平均随机一致性指标RI（Random Index）</w:t>
            </w:r>
            <w:r>
              <w:rPr>
                <w:rFonts w:hint="eastAsia" w:ascii="宋体" w:hAnsi="宋体" w:eastAsia="宋体" w:cs="宋体"/>
                <w:sz w:val="24"/>
                <w:szCs w:val="24"/>
                <w:lang w:eastAsia="zh-CN"/>
              </w:rPr>
              <w:t>，</w:t>
            </w:r>
            <w:r>
              <w:rPr>
                <w:rFonts w:hint="eastAsia" w:ascii="宋体" w:hAnsi="宋体" w:eastAsia="宋体" w:cs="宋体"/>
                <w:sz w:val="24"/>
                <w:szCs w:val="24"/>
              </w:rPr>
              <w:t>通过对3阶矩阵正反互相计算1000次得到的平均随机一致性指标为0.58。</w:t>
            </w:r>
          </w:p>
          <w:p>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当n&lt;3时，判断矩阵永远具有完全一致性。判断矩阵一致性指标CI与同阶平均随机一致性指标RI之比称为随机一致性比率CR（Consistency Ratio）。当CR&lt;0.1时，便认为判断矩阵具有可以接受的一致性。当CR&gt;0.1时，就需要调整和修正判断矩阵，使其满足CR&lt;0.1，从而具有满意的一致性。</w:t>
            </w:r>
          </w:p>
          <w:p>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第二步，构造判断矩阵并计算分成率，具体计算过程如下：</w:t>
            </w:r>
          </w:p>
          <w:p>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a.确定标准层各种因素在超额收益中作用的大小</w:t>
            </w:r>
          </w:p>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表4 </w:t>
            </w:r>
            <w:r>
              <w:rPr>
                <w:rFonts w:hint="eastAsia" w:ascii="宋体" w:hAnsi="宋体" w:eastAsia="宋体" w:cs="宋体"/>
                <w:sz w:val="24"/>
                <w:szCs w:val="24"/>
              </w:rPr>
              <w:t>标准层各种因素在超额收益中作用大小</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2263"/>
              <w:gridCol w:w="1843"/>
              <w:gridCol w:w="1843"/>
              <w:gridCol w:w="1843"/>
            </w:tblGrid>
            <w:tr>
              <w:tblPrEx>
                <w:tblCellMar>
                  <w:top w:w="0" w:type="dxa"/>
                  <w:left w:w="108" w:type="dxa"/>
                  <w:bottom w:w="0" w:type="dxa"/>
                  <w:right w:w="108" w:type="dxa"/>
                </w:tblCellMar>
              </w:tblPrEx>
              <w:trPr>
                <w:trHeight w:val="20" w:hRule="atLeast"/>
                <w:jc w:val="center"/>
              </w:trPr>
              <w:tc>
                <w:tcPr>
                  <w:tcW w:w="226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超额收益</w:t>
                  </w:r>
                </w:p>
              </w:tc>
              <w:tc>
                <w:tcPr>
                  <w:tcW w:w="1843"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价格提高</w:t>
                  </w:r>
                </w:p>
              </w:tc>
              <w:tc>
                <w:tcPr>
                  <w:tcW w:w="1843"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843"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成本节约</w:t>
                  </w:r>
                </w:p>
              </w:tc>
            </w:tr>
            <w:tr>
              <w:tblPrEx>
                <w:tblCellMar>
                  <w:top w:w="0" w:type="dxa"/>
                  <w:left w:w="108" w:type="dxa"/>
                  <w:bottom w:w="0" w:type="dxa"/>
                  <w:right w:w="108" w:type="dxa"/>
                </w:tblCellMar>
              </w:tblPrEx>
              <w:trPr>
                <w:trHeight w:val="20" w:hRule="atLeast"/>
                <w:jc w:val="center"/>
              </w:trPr>
              <w:tc>
                <w:tcPr>
                  <w:tcW w:w="226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价格提高</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p>
              </w:tc>
              <w:tc>
                <w:tcPr>
                  <w:tcW w:w="1843"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w:t>
                  </w:r>
                </w:p>
              </w:tc>
              <w:tc>
                <w:tcPr>
                  <w:tcW w:w="1843"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p>
              </w:tc>
            </w:tr>
            <w:tr>
              <w:tblPrEx>
                <w:tblCellMar>
                  <w:top w:w="0" w:type="dxa"/>
                  <w:left w:w="108" w:type="dxa"/>
                  <w:bottom w:w="0" w:type="dxa"/>
                  <w:right w:w="108" w:type="dxa"/>
                </w:tblCellMar>
              </w:tblPrEx>
              <w:trPr>
                <w:trHeight w:val="20" w:hRule="atLeast"/>
                <w:jc w:val="center"/>
              </w:trPr>
              <w:tc>
                <w:tcPr>
                  <w:tcW w:w="226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84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2</w:t>
                  </w:r>
                </w:p>
              </w:tc>
              <w:tc>
                <w:tcPr>
                  <w:tcW w:w="184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p>
              </w:tc>
              <w:tc>
                <w:tcPr>
                  <w:tcW w:w="184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w:t>
                  </w:r>
                </w:p>
              </w:tc>
            </w:tr>
            <w:tr>
              <w:tblPrEx>
                <w:tblCellMar>
                  <w:top w:w="0" w:type="dxa"/>
                  <w:left w:w="108" w:type="dxa"/>
                  <w:bottom w:w="0" w:type="dxa"/>
                  <w:right w:w="108" w:type="dxa"/>
                </w:tblCellMar>
              </w:tblPrEx>
              <w:trPr>
                <w:trHeight w:val="20" w:hRule="atLeast"/>
                <w:jc w:val="center"/>
              </w:trPr>
              <w:tc>
                <w:tcPr>
                  <w:tcW w:w="226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成本节约</w:t>
                  </w:r>
                </w:p>
              </w:tc>
              <w:tc>
                <w:tcPr>
                  <w:tcW w:w="184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p>
              </w:tc>
              <w:tc>
                <w:tcPr>
                  <w:tcW w:w="184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w:t>
                  </w:r>
                </w:p>
              </w:tc>
              <w:tc>
                <w:tcPr>
                  <w:tcW w:w="184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p>
              </w:tc>
            </w:tr>
          </w:tbl>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一致性检验：</w:t>
            </w:r>
          </w:p>
          <w:p>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表5 </w:t>
            </w:r>
            <w:r>
              <w:rPr>
                <w:rFonts w:hint="eastAsia" w:ascii="宋体" w:hAnsi="宋体" w:eastAsia="宋体" w:cs="宋体"/>
                <w:sz w:val="24"/>
                <w:szCs w:val="24"/>
              </w:rPr>
              <w:t>标准层各种因素在超额收益中作用大小</w:t>
            </w:r>
            <w:r>
              <w:rPr>
                <w:rFonts w:hint="eastAsia" w:ascii="宋体" w:hAnsi="宋体" w:eastAsia="宋体" w:cs="宋体"/>
                <w:b w:val="0"/>
                <w:bCs w:val="0"/>
                <w:color w:val="000000"/>
                <w:sz w:val="24"/>
                <w:szCs w:val="24"/>
              </w:rPr>
              <w:t>单排序和一致性检验</w:t>
            </w:r>
            <w:r>
              <w:rPr>
                <w:rFonts w:hint="eastAsia" w:ascii="宋体" w:hAnsi="宋体" w:eastAsia="宋体" w:cs="宋体"/>
                <w:sz w:val="24"/>
                <w:szCs w:val="24"/>
                <w:lang w:val="en-US" w:eastAsia="zh-CN"/>
              </w:rPr>
              <w:t>表</w:t>
            </w:r>
          </w:p>
          <w:tbl>
            <w:tblPr>
              <w:tblStyle w:val="7"/>
              <w:tblW w:w="8140" w:type="dxa"/>
              <w:jc w:val="center"/>
              <w:tblLayout w:type="fixed"/>
              <w:tblCellMar>
                <w:top w:w="0" w:type="dxa"/>
                <w:left w:w="108" w:type="dxa"/>
                <w:bottom w:w="0" w:type="dxa"/>
                <w:right w:w="108" w:type="dxa"/>
              </w:tblCellMar>
            </w:tblPr>
            <w:tblGrid>
              <w:gridCol w:w="1149"/>
              <w:gridCol w:w="1256"/>
              <w:gridCol w:w="1007"/>
              <w:gridCol w:w="943"/>
              <w:gridCol w:w="978"/>
              <w:gridCol w:w="1635"/>
              <w:gridCol w:w="1172"/>
            </w:tblGrid>
            <w:tr>
              <w:tblPrEx>
                <w:tblCellMar>
                  <w:top w:w="0" w:type="dxa"/>
                  <w:left w:w="108" w:type="dxa"/>
                  <w:bottom w:w="0" w:type="dxa"/>
                  <w:right w:w="108" w:type="dxa"/>
                </w:tblCellMar>
              </w:tblPrEx>
              <w:trPr>
                <w:trHeight w:val="318" w:hRule="atLeast"/>
                <w:jc w:val="center"/>
              </w:trPr>
              <w:tc>
                <w:tcPr>
                  <w:tcW w:w="8140" w:type="dxa"/>
                  <w:gridSpan w:val="7"/>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单排序和一致性检验</w:t>
                  </w:r>
                </w:p>
              </w:tc>
            </w:tr>
            <w:tr>
              <w:tblPrEx>
                <w:tblCellMar>
                  <w:top w:w="0" w:type="dxa"/>
                  <w:left w:w="108" w:type="dxa"/>
                  <w:bottom w:w="0" w:type="dxa"/>
                  <w:right w:w="108" w:type="dxa"/>
                </w:tblCellMar>
              </w:tblPrEx>
              <w:trPr>
                <w:trHeight w:val="1240" w:hRule="atLeast"/>
                <w:jc w:val="center"/>
              </w:trPr>
              <w:tc>
                <w:tcPr>
                  <w:tcW w:w="114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单行元素乘积</w:t>
                  </w:r>
                </w:p>
              </w:tc>
              <w:tc>
                <w:tcPr>
                  <w:tcW w:w="1256"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开n次方</w:t>
                  </w:r>
                </w:p>
              </w:tc>
              <w:tc>
                <w:tcPr>
                  <w:tcW w:w="100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归一化W</w:t>
                  </w:r>
                  <w:r>
                    <w:rPr>
                      <w:rFonts w:hint="eastAsia" w:ascii="宋体" w:hAnsi="宋体" w:eastAsia="宋体" w:cs="宋体"/>
                      <w:b w:val="0"/>
                      <w:bCs w:val="0"/>
                      <w:color w:val="000000"/>
                      <w:sz w:val="24"/>
                      <w:szCs w:val="24"/>
                      <w:vertAlign w:val="subscript"/>
                    </w:rPr>
                    <w:t>i</w:t>
                  </w:r>
                </w:p>
              </w:tc>
              <w:tc>
                <w:tcPr>
                  <w:tcW w:w="94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t>
                  </w:r>
                  <w:r>
                    <w:rPr>
                      <w:rFonts w:hint="eastAsia" w:ascii="宋体" w:hAnsi="宋体" w:eastAsia="宋体" w:cs="宋体"/>
                      <w:b w:val="0"/>
                      <w:bCs w:val="0"/>
                      <w:color w:val="000000"/>
                      <w:sz w:val="24"/>
                      <w:szCs w:val="24"/>
                      <w:vertAlign w:val="baseline"/>
                    </w:rPr>
                    <w:t>w</w:t>
                  </w:r>
                  <w:r>
                    <w:rPr>
                      <w:rFonts w:hint="eastAsia" w:ascii="宋体" w:hAnsi="宋体" w:eastAsia="宋体" w:cs="宋体"/>
                      <w:b w:val="0"/>
                      <w:bCs w:val="0"/>
                      <w:color w:val="000000"/>
                      <w:sz w:val="24"/>
                      <w:szCs w:val="24"/>
                      <w:vertAlign w:val="subscript"/>
                    </w:rPr>
                    <w:t>i</w:t>
                  </w:r>
                </w:p>
              </w:tc>
              <w:tc>
                <w:tcPr>
                  <w:tcW w:w="978"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/w</w:t>
                  </w:r>
                  <w:r>
                    <w:rPr>
                      <w:rFonts w:hint="eastAsia" w:ascii="宋体" w:hAnsi="宋体" w:eastAsia="宋体" w:cs="宋体"/>
                      <w:b w:val="0"/>
                      <w:bCs w:val="0"/>
                      <w:color w:val="000000"/>
                      <w:sz w:val="24"/>
                      <w:szCs w:val="24"/>
                      <w:vertAlign w:val="subscript"/>
                    </w:rPr>
                    <w:t>i</w:t>
                  </w:r>
                </w:p>
              </w:tc>
              <w:tc>
                <w:tcPr>
                  <w:tcW w:w="1635" w:type="dxa"/>
                  <w:tcBorders>
                    <w:top w:val="nil"/>
                    <w:left w:val="nil"/>
                    <w:bottom w:val="nil"/>
                    <w:right w:val="single" w:color="auto" w:sz="4" w:space="0"/>
                  </w:tcBorders>
                  <w:shd w:val="clear" w:color="000000" w:fill="FFFFFF"/>
                  <w:noWrap w:val="0"/>
                  <w:vAlign w:val="center"/>
                </w:tcPr>
                <w:p>
                  <w:pPr>
                    <w:jc w:val="lef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一致性指标CI=(</w:t>
                  </w:r>
                  <w:r>
                    <w:rPr>
                      <w:rFonts w:hint="eastAsia" w:ascii="宋体" w:hAnsi="宋体" w:eastAsia="宋体" w:cs="宋体"/>
                      <w:b w:val="0"/>
                      <w:bCs w:val="0"/>
                      <w:color w:val="000000"/>
                      <w:position w:val="-12"/>
                      <w:sz w:val="24"/>
                      <w:szCs w:val="24"/>
                    </w:rPr>
                    <w:object>
                      <v:shape id="_x0000_i1025" o:spt="75" type="#_x0000_t75" style="height:18pt;width:22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ascii="宋体" w:hAnsi="宋体" w:eastAsia="宋体" w:cs="宋体"/>
                      <w:b w:val="0"/>
                      <w:bCs w:val="0"/>
                      <w:color w:val="000000"/>
                      <w:sz w:val="24"/>
                      <w:szCs w:val="24"/>
                    </w:rPr>
                    <w:t>-n)/(n-1)</w:t>
                  </w:r>
                </w:p>
              </w:tc>
              <w:tc>
                <w:tcPr>
                  <w:tcW w:w="1172" w:type="dxa"/>
                  <w:tcBorders>
                    <w:top w:val="nil"/>
                    <w:left w:val="nil"/>
                    <w:bottom w:val="nil"/>
                    <w:right w:val="single" w:color="auto" w:sz="4" w:space="0"/>
                  </w:tcBorders>
                  <w:shd w:val="clear" w:color="000000" w:fill="FFFFFF"/>
                  <w:noWrap w:val="0"/>
                  <w:vAlign w:val="center"/>
                </w:tcPr>
                <w:p>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CR=CI/RI</w:t>
                  </w:r>
                </w:p>
              </w:tc>
            </w:tr>
            <w:tr>
              <w:tblPrEx>
                <w:tblCellMar>
                  <w:top w:w="0" w:type="dxa"/>
                  <w:left w:w="108" w:type="dxa"/>
                  <w:bottom w:w="0" w:type="dxa"/>
                  <w:right w:w="108" w:type="dxa"/>
                </w:tblCellMar>
              </w:tblPrEx>
              <w:trPr>
                <w:trHeight w:val="318" w:hRule="atLeast"/>
                <w:jc w:val="center"/>
              </w:trPr>
              <w:tc>
                <w:tcPr>
                  <w:tcW w:w="114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0.5000</w:t>
                  </w:r>
                </w:p>
              </w:tc>
              <w:tc>
                <w:tcPr>
                  <w:tcW w:w="1256"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0.7937</w:t>
                  </w:r>
                </w:p>
              </w:tc>
              <w:tc>
                <w:tcPr>
                  <w:tcW w:w="100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25.00%</w:t>
                  </w:r>
                </w:p>
              </w:tc>
              <w:tc>
                <w:tcPr>
                  <w:tcW w:w="94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0.7500</w:t>
                  </w:r>
                </w:p>
              </w:tc>
              <w:tc>
                <w:tcPr>
                  <w:tcW w:w="978"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35" w:type="dxa"/>
                  <w:vMerge w:val="restart"/>
                  <w:tcBorders>
                    <w:top w:val="single" w:color="auto" w:sz="4" w:space="0"/>
                    <w:left w:val="single" w:color="auto" w:sz="4" w:space="0"/>
                    <w:bottom w:val="single" w:color="000000" w:sz="4" w:space="0"/>
                    <w:right w:val="single" w:color="auto" w:sz="4" w:space="0"/>
                  </w:tcBorders>
                  <w:shd w:val="clear" w:color="000000" w:fill="FFFFFF"/>
                  <w:noWrap w:val="0"/>
                  <w:vAlign w:val="center"/>
                </w:tcPr>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c>
                <w:tcPr>
                  <w:tcW w:w="1172" w:type="dxa"/>
                  <w:vMerge w:val="restart"/>
                  <w:tcBorders>
                    <w:top w:val="single" w:color="auto" w:sz="4" w:space="0"/>
                    <w:left w:val="single" w:color="auto" w:sz="4" w:space="0"/>
                    <w:bottom w:val="single" w:color="000000" w:sz="4" w:space="0"/>
                    <w:right w:val="single" w:color="auto" w:sz="4" w:space="0"/>
                  </w:tcBorders>
                  <w:shd w:val="clear" w:color="000000" w:fill="FFFFFF"/>
                  <w:noWrap w:val="0"/>
                  <w:vAlign w:val="center"/>
                </w:tcPr>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r>
            <w:tr>
              <w:tblPrEx>
                <w:tblCellMar>
                  <w:top w:w="0" w:type="dxa"/>
                  <w:left w:w="108" w:type="dxa"/>
                  <w:bottom w:w="0" w:type="dxa"/>
                  <w:right w:w="108" w:type="dxa"/>
                </w:tblCellMar>
              </w:tblPrEx>
              <w:trPr>
                <w:trHeight w:val="318" w:hRule="atLeast"/>
                <w:jc w:val="center"/>
              </w:trPr>
              <w:tc>
                <w:tcPr>
                  <w:tcW w:w="114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4.0000</w:t>
                  </w:r>
                </w:p>
              </w:tc>
              <w:tc>
                <w:tcPr>
                  <w:tcW w:w="1256"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1.5874</w:t>
                  </w:r>
                </w:p>
              </w:tc>
              <w:tc>
                <w:tcPr>
                  <w:tcW w:w="100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50.00%</w:t>
                  </w:r>
                </w:p>
              </w:tc>
              <w:tc>
                <w:tcPr>
                  <w:tcW w:w="94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1.5000</w:t>
                  </w:r>
                </w:p>
              </w:tc>
              <w:tc>
                <w:tcPr>
                  <w:tcW w:w="978"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35"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c>
                <w:tcPr>
                  <w:tcW w:w="1172"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r>
            <w:tr>
              <w:tblPrEx>
                <w:tblCellMar>
                  <w:top w:w="0" w:type="dxa"/>
                  <w:left w:w="108" w:type="dxa"/>
                  <w:bottom w:w="0" w:type="dxa"/>
                  <w:right w:w="108" w:type="dxa"/>
                </w:tblCellMar>
              </w:tblPrEx>
              <w:trPr>
                <w:trHeight w:val="328" w:hRule="atLeast"/>
                <w:jc w:val="center"/>
              </w:trPr>
              <w:tc>
                <w:tcPr>
                  <w:tcW w:w="114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0.5000</w:t>
                  </w:r>
                </w:p>
              </w:tc>
              <w:tc>
                <w:tcPr>
                  <w:tcW w:w="1256"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0.7937</w:t>
                  </w:r>
                </w:p>
              </w:tc>
              <w:tc>
                <w:tcPr>
                  <w:tcW w:w="100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25.00%</w:t>
                  </w:r>
                </w:p>
              </w:tc>
              <w:tc>
                <w:tcPr>
                  <w:tcW w:w="94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0.7500</w:t>
                  </w:r>
                </w:p>
              </w:tc>
              <w:tc>
                <w:tcPr>
                  <w:tcW w:w="978"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35"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highlight w:val="yellow"/>
                    </w:rPr>
                  </w:pPr>
                </w:p>
              </w:tc>
              <w:tc>
                <w:tcPr>
                  <w:tcW w:w="1172"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highlight w:val="yellow"/>
                    </w:rPr>
                  </w:pPr>
                </w:p>
              </w:tc>
            </w:tr>
          </w:tbl>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CI= 0.00   CR= 0.00 &lt;0.1 检验通过。</w:t>
            </w:r>
          </w:p>
          <w:p>
            <w:pPr>
              <w:spacing w:line="440" w:lineRule="exact"/>
              <w:ind w:firstLine="420"/>
              <w:rPr>
                <w:rFonts w:hint="eastAsia" w:ascii="宋体" w:hAnsi="宋体" w:eastAsia="宋体" w:cs="宋体"/>
                <w:sz w:val="24"/>
                <w:szCs w:val="24"/>
              </w:rPr>
            </w:pPr>
            <w:r>
              <w:rPr>
                <w:rFonts w:hint="eastAsia" w:ascii="宋体" w:hAnsi="宋体" w:eastAsia="宋体" w:cs="宋体"/>
                <w:sz w:val="24"/>
                <w:szCs w:val="24"/>
              </w:rPr>
              <w:t>b.确定各项因素在价格优势中的贡献大小</w:t>
            </w: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表6 </w:t>
            </w:r>
            <w:r>
              <w:rPr>
                <w:rFonts w:hint="eastAsia" w:ascii="宋体" w:hAnsi="宋体" w:eastAsia="宋体" w:cs="宋体"/>
                <w:sz w:val="24"/>
                <w:szCs w:val="24"/>
              </w:rPr>
              <w:t>标准层各种因素在价格优势中的贡献大小</w:t>
            </w:r>
            <w:r>
              <w:rPr>
                <w:rFonts w:hint="eastAsia" w:ascii="宋体" w:hAnsi="宋体" w:eastAsia="宋体" w:cs="宋体"/>
                <w:sz w:val="24"/>
                <w:szCs w:val="24"/>
                <w:lang w:val="en-US" w:eastAsia="zh-CN"/>
              </w:rPr>
              <w:t>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4"/>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价格提高</w:t>
                  </w:r>
                </w:p>
              </w:tc>
              <w:tc>
                <w:tcPr>
                  <w:tcW w:w="19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9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1/4</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9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4    </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c>
                <w:tcPr>
                  <w:tcW w:w="19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2    </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r>
          </w:tbl>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一致性检验：</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表7 </w:t>
            </w:r>
            <w:r>
              <w:rPr>
                <w:rFonts w:hint="eastAsia" w:ascii="宋体" w:hAnsi="宋体" w:eastAsia="宋体" w:cs="宋体"/>
                <w:sz w:val="24"/>
                <w:szCs w:val="24"/>
              </w:rPr>
              <w:t>标准层各种因素在价格优势中的贡献大小</w:t>
            </w:r>
            <w:r>
              <w:rPr>
                <w:rFonts w:hint="eastAsia" w:ascii="宋体" w:hAnsi="宋体" w:eastAsia="宋体" w:cs="宋体"/>
                <w:b w:val="0"/>
                <w:bCs w:val="0"/>
                <w:color w:val="000000"/>
                <w:sz w:val="24"/>
                <w:szCs w:val="24"/>
              </w:rPr>
              <w:t>单排序和一致性检验</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1312"/>
              <w:gridCol w:w="1312"/>
              <w:gridCol w:w="1022"/>
              <w:gridCol w:w="1013"/>
              <w:gridCol w:w="994"/>
              <w:gridCol w:w="1512"/>
              <w:gridCol w:w="756"/>
            </w:tblGrid>
            <w:tr>
              <w:tblPrEx>
                <w:tblCellMar>
                  <w:top w:w="0" w:type="dxa"/>
                  <w:left w:w="108" w:type="dxa"/>
                  <w:bottom w:w="0" w:type="dxa"/>
                  <w:right w:w="108" w:type="dxa"/>
                </w:tblCellMar>
              </w:tblPrEx>
              <w:trPr>
                <w:trHeight w:val="20" w:hRule="atLeast"/>
                <w:jc w:val="center"/>
              </w:trPr>
              <w:tc>
                <w:tcPr>
                  <w:tcW w:w="7921" w:type="dxa"/>
                  <w:gridSpan w:val="7"/>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单排序和一致性检验</w:t>
                  </w:r>
                </w:p>
              </w:tc>
            </w:tr>
            <w:tr>
              <w:tblPrEx>
                <w:tblCellMar>
                  <w:top w:w="0" w:type="dxa"/>
                  <w:left w:w="108" w:type="dxa"/>
                  <w:bottom w:w="0" w:type="dxa"/>
                  <w:right w:w="108" w:type="dxa"/>
                </w:tblCellMar>
              </w:tblPrEx>
              <w:trPr>
                <w:trHeight w:val="20" w:hRule="atLeast"/>
                <w:jc w:val="center"/>
              </w:trPr>
              <w:tc>
                <w:tcPr>
                  <w:tcW w:w="131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单行元素</w:t>
                  </w:r>
                  <w:r>
                    <w:rPr>
                      <w:rFonts w:hint="eastAsia" w:ascii="宋体" w:hAnsi="宋体" w:eastAsia="宋体" w:cs="宋体"/>
                      <w:b w:val="0"/>
                      <w:bCs w:val="0"/>
                      <w:color w:val="000000"/>
                      <w:sz w:val="24"/>
                      <w:szCs w:val="24"/>
                    </w:rPr>
                    <w:br w:type="textWrapping"/>
                  </w:r>
                  <w:r>
                    <w:rPr>
                      <w:rFonts w:hint="eastAsia" w:ascii="宋体" w:hAnsi="宋体" w:eastAsia="宋体" w:cs="宋体"/>
                      <w:b w:val="0"/>
                      <w:bCs w:val="0"/>
                      <w:color w:val="000000"/>
                      <w:sz w:val="24"/>
                      <w:szCs w:val="24"/>
                    </w:rPr>
                    <w:t>乘积</w:t>
                  </w:r>
                </w:p>
              </w:tc>
              <w:tc>
                <w:tcPr>
                  <w:tcW w:w="1312"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开n次方</w:t>
                  </w:r>
                </w:p>
              </w:tc>
              <w:tc>
                <w:tcPr>
                  <w:tcW w:w="1022"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归一化W</w:t>
                  </w:r>
                  <w:r>
                    <w:rPr>
                      <w:rFonts w:hint="eastAsia" w:ascii="宋体" w:hAnsi="宋体" w:eastAsia="宋体" w:cs="宋体"/>
                      <w:b w:val="0"/>
                      <w:bCs w:val="0"/>
                      <w:color w:val="000000"/>
                      <w:sz w:val="24"/>
                      <w:szCs w:val="24"/>
                      <w:vertAlign w:val="subscript"/>
                    </w:rPr>
                    <w:t>i</w:t>
                  </w:r>
                </w:p>
              </w:tc>
              <w:tc>
                <w:tcPr>
                  <w:tcW w:w="101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p>
              </w:tc>
              <w:tc>
                <w:tcPr>
                  <w:tcW w:w="99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/w</w:t>
                  </w:r>
                  <w:r>
                    <w:rPr>
                      <w:rFonts w:hint="eastAsia" w:ascii="宋体" w:hAnsi="宋体" w:eastAsia="宋体" w:cs="宋体"/>
                      <w:b w:val="0"/>
                      <w:bCs w:val="0"/>
                      <w:color w:val="000000"/>
                      <w:sz w:val="24"/>
                      <w:szCs w:val="24"/>
                      <w:vertAlign w:val="subscript"/>
                    </w:rPr>
                    <w:t>i</w:t>
                  </w:r>
                </w:p>
              </w:tc>
              <w:tc>
                <w:tcPr>
                  <w:tcW w:w="1512" w:type="dxa"/>
                  <w:tcBorders>
                    <w:top w:val="nil"/>
                    <w:left w:val="nil"/>
                    <w:bottom w:val="nil"/>
                    <w:right w:val="single" w:color="auto" w:sz="4" w:space="0"/>
                  </w:tcBorders>
                  <w:shd w:val="clear" w:color="000000" w:fill="FFFFFF"/>
                  <w:noWrap w:val="0"/>
                  <w:vAlign w:val="center"/>
                </w:tcPr>
                <w:p>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一致性指标CI=(</w:t>
                  </w:r>
                  <w:r>
                    <w:rPr>
                      <w:rFonts w:hint="eastAsia" w:ascii="宋体" w:hAnsi="宋体" w:eastAsia="宋体" w:cs="宋体"/>
                      <w:b w:val="0"/>
                      <w:bCs w:val="0"/>
                      <w:color w:val="000000"/>
                      <w:position w:val="-12"/>
                      <w:sz w:val="24"/>
                      <w:szCs w:val="24"/>
                    </w:rPr>
                    <w:object>
                      <v:shape id="_x0000_i1026" o:spt="75" type="#_x0000_t75" style="height:18pt;width:22pt;" o:ole="t" filled="f" o:preferrelative="t" stroked="f" coordsize="21600,21600">
                        <v:path/>
                        <v:fill on="f" focussize="0,0"/>
                        <v:stroke on="f"/>
                        <v:imagedata r:id="rId5" o:title=""/>
                        <o:lock v:ext="edit" aspectratio="t"/>
                        <w10:wrap type="none"/>
                        <w10:anchorlock/>
                      </v:shape>
                      <o:OLEObject Type="Embed" ProgID="Equation.KSEE3" ShapeID="_x0000_i1026" DrawAspect="Content" ObjectID="_1468075726" r:id="rId6">
                        <o:LockedField>false</o:LockedField>
                      </o:OLEObject>
                    </w:object>
                  </w:r>
                  <w:r>
                    <w:rPr>
                      <w:rFonts w:hint="eastAsia" w:ascii="宋体" w:hAnsi="宋体" w:eastAsia="宋体" w:cs="宋体"/>
                      <w:b w:val="0"/>
                      <w:bCs w:val="0"/>
                      <w:color w:val="000000"/>
                      <w:sz w:val="24"/>
                      <w:szCs w:val="24"/>
                    </w:rPr>
                    <w:t>-n)/(n-1)</w:t>
                  </w:r>
                </w:p>
              </w:tc>
              <w:tc>
                <w:tcPr>
                  <w:tcW w:w="756" w:type="dxa"/>
                  <w:tcBorders>
                    <w:top w:val="nil"/>
                    <w:left w:val="nil"/>
                    <w:bottom w:val="nil"/>
                    <w:right w:val="single" w:color="auto" w:sz="4" w:space="0"/>
                  </w:tcBorders>
                  <w:shd w:val="clear" w:color="000000" w:fill="FFFFFF"/>
                  <w:noWrap w:val="0"/>
                  <w:vAlign w:val="center"/>
                </w:tcPr>
                <w:p>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CR=CI/RI</w:t>
                  </w:r>
                </w:p>
              </w:tc>
            </w:tr>
            <w:tr>
              <w:tblPrEx>
                <w:tblCellMar>
                  <w:top w:w="0" w:type="dxa"/>
                  <w:left w:w="108" w:type="dxa"/>
                  <w:bottom w:w="0" w:type="dxa"/>
                  <w:right w:w="108" w:type="dxa"/>
                </w:tblCellMar>
              </w:tblPrEx>
              <w:trPr>
                <w:trHeight w:val="20" w:hRule="atLeast"/>
                <w:jc w:val="center"/>
              </w:trPr>
              <w:tc>
                <w:tcPr>
                  <w:tcW w:w="131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0.1250</w:t>
                  </w:r>
                </w:p>
              </w:tc>
              <w:tc>
                <w:tcPr>
                  <w:tcW w:w="1312"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0.5000</w:t>
                  </w:r>
                </w:p>
              </w:tc>
              <w:tc>
                <w:tcPr>
                  <w:tcW w:w="1022"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14.29%</w:t>
                  </w:r>
                </w:p>
              </w:tc>
              <w:tc>
                <w:tcPr>
                  <w:tcW w:w="101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0.4286</w:t>
                  </w:r>
                </w:p>
              </w:tc>
              <w:tc>
                <w:tcPr>
                  <w:tcW w:w="99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512" w:type="dxa"/>
                  <w:vMerge w:val="restart"/>
                  <w:tcBorders>
                    <w:top w:val="single" w:color="auto" w:sz="4" w:space="0"/>
                    <w:left w:val="single" w:color="auto" w:sz="4" w:space="0"/>
                    <w:bottom w:val="single" w:color="000000" w:sz="4" w:space="0"/>
                    <w:right w:val="single" w:color="auto" w:sz="4" w:space="0"/>
                  </w:tcBorders>
                  <w:shd w:val="clear" w:color="000000" w:fill="FFFFFF"/>
                  <w:noWrap w:val="0"/>
                  <w:vAlign w:val="center"/>
                </w:tcPr>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c>
                <w:tcPr>
                  <w:tcW w:w="756" w:type="dxa"/>
                  <w:vMerge w:val="restart"/>
                  <w:tcBorders>
                    <w:top w:val="single" w:color="auto" w:sz="4" w:space="0"/>
                    <w:left w:val="single" w:color="auto" w:sz="4" w:space="0"/>
                    <w:bottom w:val="single" w:color="000000" w:sz="4" w:space="0"/>
                    <w:right w:val="single" w:color="auto" w:sz="4" w:space="0"/>
                  </w:tcBorders>
                  <w:shd w:val="clear" w:color="000000" w:fill="FFFFFF"/>
                  <w:noWrap w:val="0"/>
                  <w:vAlign w:val="center"/>
                </w:tcPr>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r>
            <w:tr>
              <w:tblPrEx>
                <w:tblCellMar>
                  <w:top w:w="0" w:type="dxa"/>
                  <w:left w:w="108" w:type="dxa"/>
                  <w:bottom w:w="0" w:type="dxa"/>
                  <w:right w:w="108" w:type="dxa"/>
                </w:tblCellMar>
              </w:tblPrEx>
              <w:trPr>
                <w:trHeight w:val="20" w:hRule="atLeast"/>
                <w:jc w:val="center"/>
              </w:trPr>
              <w:tc>
                <w:tcPr>
                  <w:tcW w:w="131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8.0000</w:t>
                  </w:r>
                </w:p>
              </w:tc>
              <w:tc>
                <w:tcPr>
                  <w:tcW w:w="1312"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2.0000</w:t>
                  </w:r>
                </w:p>
              </w:tc>
              <w:tc>
                <w:tcPr>
                  <w:tcW w:w="1022"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57.14%</w:t>
                  </w:r>
                </w:p>
              </w:tc>
              <w:tc>
                <w:tcPr>
                  <w:tcW w:w="101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1.7143</w:t>
                  </w:r>
                </w:p>
              </w:tc>
              <w:tc>
                <w:tcPr>
                  <w:tcW w:w="99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512"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c>
                <w:tcPr>
                  <w:tcW w:w="756"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r>
            <w:tr>
              <w:tblPrEx>
                <w:tblCellMar>
                  <w:top w:w="0" w:type="dxa"/>
                  <w:left w:w="108" w:type="dxa"/>
                  <w:bottom w:w="0" w:type="dxa"/>
                  <w:right w:w="108" w:type="dxa"/>
                </w:tblCellMar>
              </w:tblPrEx>
              <w:trPr>
                <w:trHeight w:val="20" w:hRule="atLeast"/>
                <w:jc w:val="center"/>
              </w:trPr>
              <w:tc>
                <w:tcPr>
                  <w:tcW w:w="131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1.0000</w:t>
                  </w:r>
                </w:p>
              </w:tc>
              <w:tc>
                <w:tcPr>
                  <w:tcW w:w="1312"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1.0000</w:t>
                  </w:r>
                </w:p>
              </w:tc>
              <w:tc>
                <w:tcPr>
                  <w:tcW w:w="1022"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28.57%</w:t>
                  </w:r>
                </w:p>
              </w:tc>
              <w:tc>
                <w:tcPr>
                  <w:tcW w:w="101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0.8571</w:t>
                  </w:r>
                </w:p>
              </w:tc>
              <w:tc>
                <w:tcPr>
                  <w:tcW w:w="99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512"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c>
                <w:tcPr>
                  <w:tcW w:w="756"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r>
          </w:tbl>
          <w:p>
            <w:pPr>
              <w:spacing w:line="400" w:lineRule="exact"/>
              <w:ind w:firstLine="482"/>
              <w:rPr>
                <w:rFonts w:hint="eastAsia" w:ascii="宋体" w:hAnsi="宋体" w:eastAsia="宋体" w:cs="宋体"/>
                <w:sz w:val="24"/>
                <w:szCs w:val="24"/>
              </w:rPr>
            </w:pPr>
            <w:r>
              <w:rPr>
                <w:rFonts w:hint="eastAsia" w:ascii="宋体" w:hAnsi="宋体" w:eastAsia="宋体" w:cs="宋体"/>
                <w:sz w:val="24"/>
                <w:szCs w:val="24"/>
              </w:rPr>
              <w:t>CI= 0.0000   CR= 0.0000&lt;0.1 检验通过</w:t>
            </w:r>
          </w:p>
          <w:p>
            <w:pPr>
              <w:spacing w:line="400" w:lineRule="exact"/>
              <w:ind w:firstLine="482"/>
              <w:rPr>
                <w:rFonts w:hint="eastAsia" w:ascii="宋体" w:hAnsi="宋体" w:eastAsia="宋体" w:cs="宋体"/>
                <w:sz w:val="24"/>
                <w:szCs w:val="24"/>
              </w:rPr>
            </w:pPr>
            <w:r>
              <w:rPr>
                <w:rFonts w:hint="eastAsia" w:ascii="宋体" w:hAnsi="宋体" w:eastAsia="宋体" w:cs="宋体"/>
                <w:sz w:val="24"/>
                <w:szCs w:val="24"/>
              </w:rPr>
              <w:t>c.确定各项因素在销售增长中的贡献大小</w:t>
            </w: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表8 </w:t>
            </w:r>
            <w:r>
              <w:rPr>
                <w:rFonts w:hint="eastAsia" w:ascii="宋体" w:hAnsi="宋体" w:eastAsia="宋体" w:cs="宋体"/>
                <w:sz w:val="24"/>
                <w:szCs w:val="24"/>
              </w:rPr>
              <w:t>标准层各种因素在销售增长中的贡献大小</w:t>
            </w:r>
            <w:r>
              <w:rPr>
                <w:rFonts w:hint="eastAsia" w:ascii="宋体" w:hAnsi="宋体" w:eastAsia="宋体" w:cs="宋体"/>
                <w:sz w:val="24"/>
                <w:szCs w:val="24"/>
                <w:lang w:val="en-US" w:eastAsia="zh-CN"/>
              </w:rPr>
              <w:t>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4"/>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9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9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9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2    </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c>
                <w:tcPr>
                  <w:tcW w:w="19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4    </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4    </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r>
          </w:tbl>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一致性检验：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表9 </w:t>
            </w:r>
            <w:r>
              <w:rPr>
                <w:rFonts w:hint="eastAsia" w:ascii="宋体" w:hAnsi="宋体" w:eastAsia="宋体" w:cs="宋体"/>
                <w:sz w:val="24"/>
                <w:szCs w:val="24"/>
              </w:rPr>
              <w:t>标准层各种因素在销售增长中的贡献大小</w:t>
            </w:r>
            <w:r>
              <w:rPr>
                <w:rFonts w:hint="eastAsia" w:ascii="宋体" w:hAnsi="宋体" w:eastAsia="宋体" w:cs="宋体"/>
                <w:b w:val="0"/>
                <w:bCs w:val="0"/>
                <w:color w:val="000000"/>
                <w:sz w:val="24"/>
                <w:szCs w:val="24"/>
              </w:rPr>
              <w:t>单排序和一致性检验</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1215"/>
              <w:gridCol w:w="938"/>
              <w:gridCol w:w="981"/>
              <w:gridCol w:w="1000"/>
              <w:gridCol w:w="985"/>
              <w:gridCol w:w="1680"/>
              <w:gridCol w:w="1185"/>
            </w:tblGrid>
            <w:tr>
              <w:tblPrEx>
                <w:tblCellMar>
                  <w:top w:w="0" w:type="dxa"/>
                  <w:left w:w="108" w:type="dxa"/>
                  <w:bottom w:w="0" w:type="dxa"/>
                  <w:right w:w="108" w:type="dxa"/>
                </w:tblCellMar>
              </w:tblPrEx>
              <w:trPr>
                <w:trHeight w:val="20" w:hRule="atLeast"/>
                <w:jc w:val="center"/>
              </w:trPr>
              <w:tc>
                <w:tcPr>
                  <w:tcW w:w="7984" w:type="dxa"/>
                  <w:gridSpan w:val="7"/>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单排序和一致性检验</w:t>
                  </w:r>
                </w:p>
              </w:tc>
            </w:tr>
            <w:tr>
              <w:tblPrEx>
                <w:tblCellMar>
                  <w:top w:w="0" w:type="dxa"/>
                  <w:left w:w="108" w:type="dxa"/>
                  <w:bottom w:w="0" w:type="dxa"/>
                  <w:right w:w="108" w:type="dxa"/>
                </w:tblCellMar>
              </w:tblPrEx>
              <w:trPr>
                <w:trHeight w:val="20" w:hRule="atLeast"/>
                <w:jc w:val="center"/>
              </w:trPr>
              <w:tc>
                <w:tcPr>
                  <w:tcW w:w="121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单行元素</w:t>
                  </w:r>
                  <w:r>
                    <w:rPr>
                      <w:rFonts w:hint="eastAsia" w:ascii="宋体" w:hAnsi="宋体" w:eastAsia="宋体" w:cs="宋体"/>
                      <w:b w:val="0"/>
                      <w:bCs w:val="0"/>
                      <w:color w:val="000000"/>
                      <w:sz w:val="24"/>
                      <w:szCs w:val="24"/>
                    </w:rPr>
                    <w:br w:type="textWrapping"/>
                  </w:r>
                  <w:r>
                    <w:rPr>
                      <w:rFonts w:hint="eastAsia" w:ascii="宋体" w:hAnsi="宋体" w:eastAsia="宋体" w:cs="宋体"/>
                      <w:b w:val="0"/>
                      <w:bCs w:val="0"/>
                      <w:color w:val="000000"/>
                      <w:sz w:val="24"/>
                      <w:szCs w:val="24"/>
                    </w:rPr>
                    <w:t>乘积</w:t>
                  </w:r>
                </w:p>
              </w:tc>
              <w:tc>
                <w:tcPr>
                  <w:tcW w:w="938"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开n次方</w:t>
                  </w:r>
                </w:p>
              </w:tc>
              <w:tc>
                <w:tcPr>
                  <w:tcW w:w="98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归一化W</w:t>
                  </w:r>
                  <w:r>
                    <w:rPr>
                      <w:rFonts w:hint="eastAsia" w:ascii="宋体" w:hAnsi="宋体" w:eastAsia="宋体" w:cs="宋体"/>
                      <w:b w:val="0"/>
                      <w:bCs w:val="0"/>
                      <w:color w:val="000000"/>
                      <w:sz w:val="24"/>
                      <w:szCs w:val="24"/>
                      <w:vertAlign w:val="subscript"/>
                    </w:rPr>
                    <w:t>i</w:t>
                  </w:r>
                </w:p>
              </w:tc>
              <w:tc>
                <w:tcPr>
                  <w:tcW w:w="10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p>
              </w:tc>
              <w:tc>
                <w:tcPr>
                  <w:tcW w:w="98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/w</w:t>
                  </w:r>
                  <w:r>
                    <w:rPr>
                      <w:rFonts w:hint="eastAsia" w:ascii="宋体" w:hAnsi="宋体" w:eastAsia="宋体" w:cs="宋体"/>
                      <w:b w:val="0"/>
                      <w:bCs w:val="0"/>
                      <w:color w:val="000000"/>
                      <w:sz w:val="24"/>
                      <w:szCs w:val="24"/>
                      <w:vertAlign w:val="subscript"/>
                    </w:rPr>
                    <w:t>i</w:t>
                  </w:r>
                </w:p>
              </w:tc>
              <w:tc>
                <w:tcPr>
                  <w:tcW w:w="1680" w:type="dxa"/>
                  <w:tcBorders>
                    <w:top w:val="nil"/>
                    <w:left w:val="nil"/>
                    <w:bottom w:val="nil"/>
                    <w:right w:val="single" w:color="auto" w:sz="4" w:space="0"/>
                  </w:tcBorders>
                  <w:shd w:val="clear" w:color="000000" w:fill="FFFFFF"/>
                  <w:noWrap w:val="0"/>
                  <w:vAlign w:val="center"/>
                </w:tcPr>
                <w:p>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一致性指标CI=(</w:t>
                  </w:r>
                  <w:r>
                    <w:rPr>
                      <w:rFonts w:hint="eastAsia" w:ascii="宋体" w:hAnsi="宋体" w:eastAsia="宋体" w:cs="宋体"/>
                      <w:b w:val="0"/>
                      <w:bCs w:val="0"/>
                      <w:color w:val="000000"/>
                      <w:position w:val="-12"/>
                      <w:sz w:val="24"/>
                      <w:szCs w:val="24"/>
                    </w:rPr>
                    <w:object>
                      <v:shape id="_x0000_i1027" o:spt="75" type="#_x0000_t75" style="height:18pt;width:22pt;" o:ole="t" filled="f" o:preferrelative="t" stroked="f" coordsize="21600,21600">
                        <v:path/>
                        <v:fill on="f" focussize="0,0"/>
                        <v:stroke on="f"/>
                        <v:imagedata r:id="rId5" o:title=""/>
                        <o:lock v:ext="edit" aspectratio="t"/>
                        <w10:wrap type="none"/>
                        <w10:anchorlock/>
                      </v:shape>
                      <o:OLEObject Type="Embed" ProgID="Equation.KSEE3" ShapeID="_x0000_i1027" DrawAspect="Content" ObjectID="_1468075727" r:id="rId7">
                        <o:LockedField>false</o:LockedField>
                      </o:OLEObject>
                    </w:object>
                  </w:r>
                  <w:r>
                    <w:rPr>
                      <w:rFonts w:hint="eastAsia" w:ascii="宋体" w:hAnsi="宋体" w:eastAsia="宋体" w:cs="宋体"/>
                      <w:b w:val="0"/>
                      <w:bCs w:val="0"/>
                      <w:color w:val="000000"/>
                      <w:sz w:val="24"/>
                      <w:szCs w:val="24"/>
                    </w:rPr>
                    <w:t>-n)/(n-1)</w:t>
                  </w:r>
                </w:p>
              </w:tc>
              <w:tc>
                <w:tcPr>
                  <w:tcW w:w="1185" w:type="dxa"/>
                  <w:tcBorders>
                    <w:top w:val="nil"/>
                    <w:left w:val="nil"/>
                    <w:bottom w:val="nil"/>
                    <w:right w:val="single" w:color="auto" w:sz="4" w:space="0"/>
                  </w:tcBorders>
                  <w:shd w:val="clear" w:color="000000" w:fill="FFFFFF"/>
                  <w:noWrap w:val="0"/>
                  <w:vAlign w:val="center"/>
                </w:tcPr>
                <w:p>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CR=CI/RI</w:t>
                  </w:r>
                </w:p>
              </w:tc>
            </w:tr>
            <w:tr>
              <w:tblPrEx>
                <w:tblCellMar>
                  <w:top w:w="0" w:type="dxa"/>
                  <w:left w:w="108" w:type="dxa"/>
                  <w:bottom w:w="0" w:type="dxa"/>
                  <w:right w:w="108" w:type="dxa"/>
                </w:tblCellMar>
              </w:tblPrEx>
              <w:trPr>
                <w:trHeight w:val="20" w:hRule="atLeast"/>
                <w:jc w:val="center"/>
              </w:trPr>
              <w:tc>
                <w:tcPr>
                  <w:tcW w:w="121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0.1250</w:t>
                  </w:r>
                </w:p>
              </w:tc>
              <w:tc>
                <w:tcPr>
                  <w:tcW w:w="938"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0.5000</w:t>
                  </w:r>
                </w:p>
              </w:tc>
              <w:tc>
                <w:tcPr>
                  <w:tcW w:w="98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13.11%</w:t>
                  </w:r>
                </w:p>
              </w:tc>
              <w:tc>
                <w:tcPr>
                  <w:tcW w:w="10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0.4004</w:t>
                  </w:r>
                </w:p>
              </w:tc>
              <w:tc>
                <w:tcPr>
                  <w:tcW w:w="98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3.0536</w:t>
                  </w:r>
                </w:p>
              </w:tc>
              <w:tc>
                <w:tcPr>
                  <w:tcW w:w="1680"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0.0268</w:t>
                  </w:r>
                </w:p>
              </w:tc>
              <w:tc>
                <w:tcPr>
                  <w:tcW w:w="1185"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0.0462</w:t>
                  </w:r>
                </w:p>
              </w:tc>
            </w:tr>
            <w:tr>
              <w:tblPrEx>
                <w:tblCellMar>
                  <w:top w:w="0" w:type="dxa"/>
                  <w:left w:w="108" w:type="dxa"/>
                  <w:bottom w:w="0" w:type="dxa"/>
                  <w:right w:w="108" w:type="dxa"/>
                </w:tblCellMar>
              </w:tblPrEx>
              <w:trPr>
                <w:trHeight w:val="20" w:hRule="atLeast"/>
                <w:jc w:val="center"/>
              </w:trPr>
              <w:tc>
                <w:tcPr>
                  <w:tcW w:w="121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0.5000</w:t>
                  </w:r>
                </w:p>
              </w:tc>
              <w:tc>
                <w:tcPr>
                  <w:tcW w:w="938"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0.7937</w:t>
                  </w:r>
                </w:p>
              </w:tc>
              <w:tc>
                <w:tcPr>
                  <w:tcW w:w="98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20.81%</w:t>
                  </w:r>
                </w:p>
              </w:tc>
              <w:tc>
                <w:tcPr>
                  <w:tcW w:w="10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0.6355</w:t>
                  </w:r>
                </w:p>
              </w:tc>
              <w:tc>
                <w:tcPr>
                  <w:tcW w:w="98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3.0536</w:t>
                  </w:r>
                </w:p>
              </w:tc>
              <w:tc>
                <w:tcPr>
                  <w:tcW w:w="168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c>
                <w:tcPr>
                  <w:tcW w:w="1185"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r>
            <w:tr>
              <w:tblPrEx>
                <w:tblCellMar>
                  <w:top w:w="0" w:type="dxa"/>
                  <w:left w:w="108" w:type="dxa"/>
                  <w:bottom w:w="0" w:type="dxa"/>
                  <w:right w:w="108" w:type="dxa"/>
                </w:tblCellMar>
              </w:tblPrEx>
              <w:trPr>
                <w:trHeight w:val="20" w:hRule="atLeast"/>
                <w:jc w:val="center"/>
              </w:trPr>
              <w:tc>
                <w:tcPr>
                  <w:tcW w:w="121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16.0000</w:t>
                  </w:r>
                </w:p>
              </w:tc>
              <w:tc>
                <w:tcPr>
                  <w:tcW w:w="938"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2.5198</w:t>
                  </w:r>
                </w:p>
              </w:tc>
              <w:tc>
                <w:tcPr>
                  <w:tcW w:w="98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66.08%</w:t>
                  </w:r>
                </w:p>
              </w:tc>
              <w:tc>
                <w:tcPr>
                  <w:tcW w:w="10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2.0177</w:t>
                  </w:r>
                </w:p>
              </w:tc>
              <w:tc>
                <w:tcPr>
                  <w:tcW w:w="98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3.0536</w:t>
                  </w:r>
                </w:p>
              </w:tc>
              <w:tc>
                <w:tcPr>
                  <w:tcW w:w="168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c>
                <w:tcPr>
                  <w:tcW w:w="1185"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r>
          </w:tbl>
          <w:p>
            <w:pPr>
              <w:spacing w:line="500" w:lineRule="exact"/>
              <w:ind w:firstLine="420"/>
              <w:rPr>
                <w:rFonts w:hint="eastAsia" w:ascii="宋体" w:hAnsi="宋体" w:eastAsia="宋体" w:cs="宋体"/>
                <w:sz w:val="24"/>
                <w:szCs w:val="24"/>
              </w:rPr>
            </w:pPr>
            <w:r>
              <w:rPr>
                <w:rFonts w:hint="eastAsia" w:ascii="宋体" w:hAnsi="宋体" w:eastAsia="宋体" w:cs="宋体"/>
                <w:sz w:val="24"/>
                <w:szCs w:val="24"/>
              </w:rPr>
              <w:t>CI= 0.0268    CR= 0.0462&lt;0.1 检验通过</w:t>
            </w:r>
          </w:p>
          <w:p>
            <w:pPr>
              <w:spacing w:line="500" w:lineRule="exact"/>
              <w:ind w:firstLine="420"/>
              <w:rPr>
                <w:rFonts w:hint="eastAsia" w:ascii="宋体" w:hAnsi="宋体" w:eastAsia="宋体" w:cs="宋体"/>
                <w:sz w:val="24"/>
                <w:szCs w:val="24"/>
              </w:rPr>
            </w:pPr>
            <w:r>
              <w:rPr>
                <w:rFonts w:hint="eastAsia" w:ascii="宋体" w:hAnsi="宋体" w:eastAsia="宋体" w:cs="宋体"/>
                <w:sz w:val="24"/>
                <w:szCs w:val="24"/>
              </w:rPr>
              <w:t>d.确定各项因素在成本节约中的贡献大小</w:t>
            </w:r>
          </w:p>
          <w:p>
            <w:pPr>
              <w:spacing w:line="50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表10 </w:t>
            </w:r>
            <w:r>
              <w:rPr>
                <w:rFonts w:hint="eastAsia" w:ascii="宋体" w:hAnsi="宋体" w:eastAsia="宋体" w:cs="宋体"/>
                <w:sz w:val="24"/>
                <w:szCs w:val="24"/>
              </w:rPr>
              <w:t>标准层各种因素在成本节约中的贡献大小</w:t>
            </w:r>
            <w:r>
              <w:rPr>
                <w:rFonts w:hint="eastAsia" w:ascii="宋体" w:hAnsi="宋体" w:eastAsia="宋体" w:cs="宋体"/>
                <w:sz w:val="24"/>
                <w:szCs w:val="24"/>
                <w:lang w:val="en-US" w:eastAsia="zh-CN"/>
              </w:rPr>
              <w:t>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4"/>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9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84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984"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c>
                <w:tcPr>
                  <w:tcW w:w="1843"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1/4</w:t>
                  </w:r>
                </w:p>
              </w:tc>
              <w:tc>
                <w:tcPr>
                  <w:tcW w:w="1843"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984"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4</w:t>
                  </w:r>
                </w:p>
              </w:tc>
              <w:tc>
                <w:tcPr>
                  <w:tcW w:w="1843"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c>
                <w:tcPr>
                  <w:tcW w:w="1843"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c>
                <w:tcPr>
                  <w:tcW w:w="1984"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4</w:t>
                  </w:r>
                </w:p>
              </w:tc>
              <w:tc>
                <w:tcPr>
                  <w:tcW w:w="1843"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c>
                <w:tcPr>
                  <w:tcW w:w="1843"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r>
          </w:tbl>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一致性检验：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表11 </w:t>
            </w:r>
            <w:r>
              <w:rPr>
                <w:rFonts w:hint="eastAsia" w:ascii="宋体" w:hAnsi="宋体" w:eastAsia="宋体" w:cs="宋体"/>
                <w:sz w:val="24"/>
                <w:szCs w:val="24"/>
              </w:rPr>
              <w:t>标准层各种因素在成本节约中的贡献大小</w:t>
            </w:r>
            <w:r>
              <w:rPr>
                <w:rFonts w:hint="eastAsia" w:ascii="宋体" w:hAnsi="宋体" w:eastAsia="宋体" w:cs="宋体"/>
                <w:b w:val="0"/>
                <w:bCs w:val="0"/>
                <w:color w:val="000000"/>
                <w:sz w:val="24"/>
                <w:szCs w:val="24"/>
              </w:rPr>
              <w:t>单排序和一致性检验</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1109"/>
              <w:gridCol w:w="1000"/>
              <w:gridCol w:w="981"/>
              <w:gridCol w:w="1044"/>
              <w:gridCol w:w="985"/>
              <w:gridCol w:w="1680"/>
              <w:gridCol w:w="1191"/>
            </w:tblGrid>
            <w:tr>
              <w:tblPrEx>
                <w:tblCellMar>
                  <w:top w:w="0" w:type="dxa"/>
                  <w:left w:w="108" w:type="dxa"/>
                  <w:bottom w:w="0" w:type="dxa"/>
                  <w:right w:w="108" w:type="dxa"/>
                </w:tblCellMar>
              </w:tblPrEx>
              <w:trPr>
                <w:trHeight w:val="20" w:hRule="atLeast"/>
                <w:jc w:val="center"/>
              </w:trPr>
              <w:tc>
                <w:tcPr>
                  <w:tcW w:w="7990" w:type="dxa"/>
                  <w:gridSpan w:val="7"/>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单排序和一致性检验</w:t>
                  </w:r>
                </w:p>
              </w:tc>
            </w:tr>
            <w:tr>
              <w:tblPrEx>
                <w:tblCellMar>
                  <w:top w:w="0" w:type="dxa"/>
                  <w:left w:w="108" w:type="dxa"/>
                  <w:bottom w:w="0" w:type="dxa"/>
                  <w:right w:w="108" w:type="dxa"/>
                </w:tblCellMar>
              </w:tblPrEx>
              <w:trPr>
                <w:trHeight w:val="20" w:hRule="atLeast"/>
                <w:jc w:val="center"/>
              </w:trPr>
              <w:tc>
                <w:tcPr>
                  <w:tcW w:w="110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单行元素乘积</w:t>
                  </w:r>
                </w:p>
              </w:tc>
              <w:tc>
                <w:tcPr>
                  <w:tcW w:w="10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开n次方</w:t>
                  </w:r>
                </w:p>
              </w:tc>
              <w:tc>
                <w:tcPr>
                  <w:tcW w:w="98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归一化W</w:t>
                  </w:r>
                  <w:r>
                    <w:rPr>
                      <w:rFonts w:hint="eastAsia" w:ascii="宋体" w:hAnsi="宋体" w:eastAsia="宋体" w:cs="宋体"/>
                      <w:b w:val="0"/>
                      <w:bCs w:val="0"/>
                      <w:color w:val="000000"/>
                      <w:sz w:val="24"/>
                      <w:szCs w:val="24"/>
                      <w:vertAlign w:val="subscript"/>
                    </w:rPr>
                    <w:t>i</w:t>
                  </w:r>
                </w:p>
              </w:tc>
              <w:tc>
                <w:tcPr>
                  <w:tcW w:w="104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p>
              </w:tc>
              <w:tc>
                <w:tcPr>
                  <w:tcW w:w="98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/w</w:t>
                  </w:r>
                  <w:r>
                    <w:rPr>
                      <w:rFonts w:hint="eastAsia" w:ascii="宋体" w:hAnsi="宋体" w:eastAsia="宋体" w:cs="宋体"/>
                      <w:b w:val="0"/>
                      <w:bCs w:val="0"/>
                      <w:color w:val="000000"/>
                      <w:sz w:val="24"/>
                      <w:szCs w:val="24"/>
                      <w:vertAlign w:val="subscript"/>
                    </w:rPr>
                    <w:t>i</w:t>
                  </w:r>
                </w:p>
              </w:tc>
              <w:tc>
                <w:tcPr>
                  <w:tcW w:w="1680" w:type="dxa"/>
                  <w:tcBorders>
                    <w:top w:val="nil"/>
                    <w:left w:val="nil"/>
                    <w:bottom w:val="nil"/>
                    <w:right w:val="single" w:color="auto" w:sz="4" w:space="0"/>
                  </w:tcBorders>
                  <w:shd w:val="clear" w:color="000000" w:fill="FFFFFF"/>
                  <w:noWrap w:val="0"/>
                  <w:vAlign w:val="center"/>
                </w:tcPr>
                <w:p>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一致性指标CI=(</w:t>
                  </w:r>
                  <w:r>
                    <w:rPr>
                      <w:rFonts w:hint="eastAsia" w:ascii="宋体" w:hAnsi="宋体" w:eastAsia="宋体" w:cs="宋体"/>
                      <w:b w:val="0"/>
                      <w:bCs w:val="0"/>
                      <w:color w:val="000000"/>
                      <w:position w:val="-12"/>
                      <w:sz w:val="24"/>
                      <w:szCs w:val="24"/>
                    </w:rPr>
                    <w:object>
                      <v:shape id="_x0000_i1028" o:spt="75" type="#_x0000_t75" style="height:18pt;width:22pt;" o:ole="t" filled="f" o:preferrelative="t" stroked="f" coordsize="21600,21600">
                        <v:path/>
                        <v:fill on="f" focussize="0,0"/>
                        <v:stroke on="f"/>
                        <v:imagedata r:id="rId5" o:title=""/>
                        <o:lock v:ext="edit" aspectratio="t"/>
                        <w10:wrap type="none"/>
                        <w10:anchorlock/>
                      </v:shape>
                      <o:OLEObject Type="Embed" ProgID="Equation.KSEE3" ShapeID="_x0000_i1028" DrawAspect="Content" ObjectID="_1468075728" r:id="rId8">
                        <o:LockedField>false</o:LockedField>
                      </o:OLEObject>
                    </w:object>
                  </w:r>
                  <w:r>
                    <w:rPr>
                      <w:rFonts w:hint="eastAsia" w:ascii="宋体" w:hAnsi="宋体" w:eastAsia="宋体" w:cs="宋体"/>
                      <w:b w:val="0"/>
                      <w:bCs w:val="0"/>
                      <w:color w:val="000000"/>
                      <w:sz w:val="24"/>
                      <w:szCs w:val="24"/>
                    </w:rPr>
                    <w:t>-n)/(n-1)</w:t>
                  </w:r>
                </w:p>
              </w:tc>
              <w:tc>
                <w:tcPr>
                  <w:tcW w:w="1191" w:type="dxa"/>
                  <w:tcBorders>
                    <w:top w:val="nil"/>
                    <w:left w:val="nil"/>
                    <w:bottom w:val="nil"/>
                    <w:right w:val="single" w:color="auto" w:sz="4" w:space="0"/>
                  </w:tcBorders>
                  <w:shd w:val="clear" w:color="000000" w:fill="FFFFFF"/>
                  <w:noWrap w:val="0"/>
                  <w:vAlign w:val="center"/>
                </w:tcPr>
                <w:p>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CR=CI/RI</w:t>
                  </w:r>
                </w:p>
              </w:tc>
            </w:tr>
            <w:tr>
              <w:tblPrEx>
                <w:tblCellMar>
                  <w:top w:w="0" w:type="dxa"/>
                  <w:left w:w="108" w:type="dxa"/>
                  <w:bottom w:w="0" w:type="dxa"/>
                  <w:right w:w="108" w:type="dxa"/>
                </w:tblCellMar>
              </w:tblPrEx>
              <w:trPr>
                <w:trHeight w:val="20" w:hRule="atLeast"/>
                <w:jc w:val="center"/>
              </w:trPr>
              <w:tc>
                <w:tcPr>
                  <w:tcW w:w="110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0.0625</w:t>
                  </w:r>
                </w:p>
              </w:tc>
              <w:tc>
                <w:tcPr>
                  <w:tcW w:w="10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0.3969</w:t>
                  </w:r>
                </w:p>
              </w:tc>
              <w:tc>
                <w:tcPr>
                  <w:tcW w:w="98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11.11%</w:t>
                  </w:r>
                </w:p>
              </w:tc>
              <w:tc>
                <w:tcPr>
                  <w:tcW w:w="104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0.3333</w:t>
                  </w:r>
                </w:p>
              </w:tc>
              <w:tc>
                <w:tcPr>
                  <w:tcW w:w="98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80"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c>
                <w:tcPr>
                  <w:tcW w:w="1191"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r>
            <w:tr>
              <w:tblPrEx>
                <w:tblCellMar>
                  <w:top w:w="0" w:type="dxa"/>
                  <w:left w:w="108" w:type="dxa"/>
                  <w:bottom w:w="0" w:type="dxa"/>
                  <w:right w:w="108" w:type="dxa"/>
                </w:tblCellMar>
              </w:tblPrEx>
              <w:trPr>
                <w:trHeight w:val="20" w:hRule="atLeast"/>
                <w:jc w:val="center"/>
              </w:trPr>
              <w:tc>
                <w:tcPr>
                  <w:tcW w:w="110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4.0000</w:t>
                  </w:r>
                </w:p>
              </w:tc>
              <w:tc>
                <w:tcPr>
                  <w:tcW w:w="10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1.5874</w:t>
                  </w:r>
                </w:p>
              </w:tc>
              <w:tc>
                <w:tcPr>
                  <w:tcW w:w="98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44.44%</w:t>
                  </w:r>
                </w:p>
              </w:tc>
              <w:tc>
                <w:tcPr>
                  <w:tcW w:w="104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1.3333</w:t>
                  </w:r>
                </w:p>
              </w:tc>
              <w:tc>
                <w:tcPr>
                  <w:tcW w:w="98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8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c>
                <w:tcPr>
                  <w:tcW w:w="1191"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r>
            <w:tr>
              <w:tblPrEx>
                <w:tblCellMar>
                  <w:top w:w="0" w:type="dxa"/>
                  <w:left w:w="108" w:type="dxa"/>
                  <w:bottom w:w="0" w:type="dxa"/>
                  <w:right w:w="108" w:type="dxa"/>
                </w:tblCellMar>
              </w:tblPrEx>
              <w:trPr>
                <w:trHeight w:val="20" w:hRule="atLeast"/>
                <w:jc w:val="center"/>
              </w:trPr>
              <w:tc>
                <w:tcPr>
                  <w:tcW w:w="110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4.0000</w:t>
                  </w:r>
                </w:p>
              </w:tc>
              <w:tc>
                <w:tcPr>
                  <w:tcW w:w="10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1.5874</w:t>
                  </w:r>
                </w:p>
              </w:tc>
              <w:tc>
                <w:tcPr>
                  <w:tcW w:w="98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44.44%</w:t>
                  </w:r>
                </w:p>
              </w:tc>
              <w:tc>
                <w:tcPr>
                  <w:tcW w:w="104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1.3333</w:t>
                  </w:r>
                </w:p>
              </w:tc>
              <w:tc>
                <w:tcPr>
                  <w:tcW w:w="98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8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c>
                <w:tcPr>
                  <w:tcW w:w="1191"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hint="eastAsia" w:ascii="宋体" w:hAnsi="宋体" w:eastAsia="宋体" w:cs="宋体"/>
                      <w:b/>
                      <w:bCs/>
                      <w:color w:val="000000"/>
                      <w:sz w:val="24"/>
                      <w:szCs w:val="24"/>
                    </w:rPr>
                  </w:pPr>
                </w:p>
              </w:tc>
            </w:tr>
          </w:tbl>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CI= 0.0268    CR= 0.0462&lt;0.1 检验通过</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e.总排序计算</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表12 </w:t>
            </w:r>
            <w:r>
              <w:rPr>
                <w:rFonts w:hint="eastAsia" w:ascii="宋体" w:hAnsi="宋体" w:eastAsia="宋体" w:cs="宋体"/>
                <w:sz w:val="24"/>
                <w:szCs w:val="24"/>
              </w:rPr>
              <w:t>标准层各种因素总排序计算</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1741"/>
              <w:gridCol w:w="1520"/>
              <w:gridCol w:w="1559"/>
              <w:gridCol w:w="1559"/>
              <w:gridCol w:w="1418"/>
            </w:tblGrid>
            <w:tr>
              <w:tblPrEx>
                <w:tblCellMar>
                  <w:top w:w="0" w:type="dxa"/>
                  <w:left w:w="108" w:type="dxa"/>
                  <w:bottom w:w="0" w:type="dxa"/>
                  <w:right w:w="108" w:type="dxa"/>
                </w:tblCellMar>
              </w:tblPrEx>
              <w:trPr>
                <w:trHeight w:val="310" w:hRule="atLeast"/>
                <w:jc w:val="center"/>
              </w:trPr>
              <w:tc>
                <w:tcPr>
                  <w:tcW w:w="7797" w:type="dxa"/>
                  <w:gridSpan w:val="5"/>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总排序计算</w:t>
                  </w:r>
                </w:p>
              </w:tc>
            </w:tr>
            <w:tr>
              <w:tblPrEx>
                <w:tblCellMar>
                  <w:top w:w="0" w:type="dxa"/>
                  <w:left w:w="108" w:type="dxa"/>
                  <w:bottom w:w="0" w:type="dxa"/>
                  <w:right w:w="108" w:type="dxa"/>
                </w:tblCellMar>
              </w:tblPrEx>
              <w:trPr>
                <w:trHeight w:val="300" w:hRule="atLeast"/>
                <w:jc w:val="center"/>
              </w:trPr>
              <w:tc>
                <w:tcPr>
                  <w:tcW w:w="174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3准则</w:t>
                  </w:r>
                </w:p>
              </w:tc>
              <w:tc>
                <w:tcPr>
                  <w:tcW w:w="15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价格提高</w:t>
                  </w:r>
                </w:p>
              </w:tc>
              <w:tc>
                <w:tcPr>
                  <w:tcW w:w="155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55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成本节约</w:t>
                  </w:r>
                </w:p>
              </w:tc>
              <w:tc>
                <w:tcPr>
                  <w:tcW w:w="1418" w:type="dxa"/>
                  <w:vMerge w:val="restart"/>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总排序</w:t>
                  </w:r>
                  <w:r>
                    <w:rPr>
                      <w:rFonts w:hint="eastAsia" w:ascii="宋体" w:hAnsi="宋体" w:eastAsia="宋体" w:cs="宋体"/>
                      <w:b w:val="0"/>
                      <w:bCs w:val="0"/>
                      <w:color w:val="000000"/>
                      <w:sz w:val="24"/>
                      <w:szCs w:val="24"/>
                    </w:rPr>
                    <w:br w:type="textWrapping"/>
                  </w:r>
                  <w:r>
                    <w:rPr>
                      <w:rFonts w:hint="eastAsia" w:ascii="宋体" w:hAnsi="宋体" w:eastAsia="宋体" w:cs="宋体"/>
                      <w:b w:val="0"/>
                      <w:bCs w:val="0"/>
                      <w:color w:val="000000"/>
                      <w:sz w:val="24"/>
                      <w:szCs w:val="24"/>
                    </w:rPr>
                    <w:t>∑a</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b</w:t>
                  </w:r>
                  <w:r>
                    <w:rPr>
                      <w:rFonts w:hint="eastAsia" w:ascii="宋体" w:hAnsi="宋体" w:eastAsia="宋体" w:cs="宋体"/>
                      <w:b w:val="0"/>
                      <w:bCs w:val="0"/>
                      <w:color w:val="000000"/>
                      <w:sz w:val="24"/>
                      <w:szCs w:val="24"/>
                      <w:vertAlign w:val="subscript"/>
                    </w:rPr>
                    <w:t>in</w:t>
                  </w:r>
                </w:p>
              </w:tc>
            </w:tr>
            <w:tr>
              <w:tblPrEx>
                <w:tblCellMar>
                  <w:top w:w="0" w:type="dxa"/>
                  <w:left w:w="108" w:type="dxa"/>
                  <w:bottom w:w="0" w:type="dxa"/>
                  <w:right w:w="108" w:type="dxa"/>
                </w:tblCellMar>
              </w:tblPrEx>
              <w:trPr>
                <w:trHeight w:val="300" w:hRule="atLeast"/>
                <w:jc w:val="center"/>
              </w:trPr>
              <w:tc>
                <w:tcPr>
                  <w:tcW w:w="174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3方案</w:t>
                  </w:r>
                </w:p>
              </w:tc>
              <w:tc>
                <w:tcPr>
                  <w:tcW w:w="15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25.00%</w:t>
                  </w:r>
                </w:p>
              </w:tc>
              <w:tc>
                <w:tcPr>
                  <w:tcW w:w="155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50.00%</w:t>
                  </w:r>
                </w:p>
              </w:tc>
              <w:tc>
                <w:tcPr>
                  <w:tcW w:w="155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25.00%</w:t>
                  </w:r>
                </w:p>
              </w:tc>
              <w:tc>
                <w:tcPr>
                  <w:tcW w:w="1418" w:type="dxa"/>
                  <w:vMerge w:val="continue"/>
                  <w:tcBorders>
                    <w:top w:val="nil"/>
                    <w:left w:val="single" w:color="auto" w:sz="4" w:space="0"/>
                    <w:bottom w:val="single" w:color="auto" w:sz="4" w:space="0"/>
                    <w:right w:val="single" w:color="auto" w:sz="4" w:space="0"/>
                  </w:tcBorders>
                  <w:noWrap w:val="0"/>
                  <w:vAlign w:val="center"/>
                </w:tcPr>
                <w:p>
                  <w:pPr>
                    <w:rPr>
                      <w:rFonts w:hint="eastAsia" w:ascii="宋体" w:hAnsi="宋体" w:eastAsia="宋体" w:cs="宋体"/>
                      <w:b w:val="0"/>
                      <w:bCs w:val="0"/>
                      <w:color w:val="000000"/>
                      <w:sz w:val="24"/>
                      <w:szCs w:val="24"/>
                    </w:rPr>
                  </w:pPr>
                </w:p>
              </w:tc>
            </w:tr>
            <w:tr>
              <w:tblPrEx>
                <w:tblCellMar>
                  <w:top w:w="0" w:type="dxa"/>
                  <w:left w:w="108" w:type="dxa"/>
                  <w:bottom w:w="0" w:type="dxa"/>
                  <w:right w:w="108" w:type="dxa"/>
                </w:tblCellMar>
              </w:tblPrEx>
              <w:trPr>
                <w:trHeight w:val="300" w:hRule="atLeast"/>
                <w:jc w:val="center"/>
              </w:trPr>
              <w:tc>
                <w:tcPr>
                  <w:tcW w:w="174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5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14.29%</w:t>
                  </w:r>
                </w:p>
              </w:tc>
              <w:tc>
                <w:tcPr>
                  <w:tcW w:w="155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13.11%</w:t>
                  </w:r>
                </w:p>
              </w:tc>
              <w:tc>
                <w:tcPr>
                  <w:tcW w:w="155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11.11%</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12.90%</w:t>
                  </w:r>
                </w:p>
              </w:tc>
            </w:tr>
            <w:tr>
              <w:tblPrEx>
                <w:tblCellMar>
                  <w:top w:w="0" w:type="dxa"/>
                  <w:left w:w="108" w:type="dxa"/>
                  <w:bottom w:w="0" w:type="dxa"/>
                  <w:right w:w="108" w:type="dxa"/>
                </w:tblCellMar>
              </w:tblPrEx>
              <w:trPr>
                <w:trHeight w:val="300" w:hRule="atLeast"/>
                <w:jc w:val="center"/>
              </w:trPr>
              <w:tc>
                <w:tcPr>
                  <w:tcW w:w="174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5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57.14%</w:t>
                  </w:r>
                </w:p>
              </w:tc>
              <w:tc>
                <w:tcPr>
                  <w:tcW w:w="155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20.81%</w:t>
                  </w:r>
                </w:p>
              </w:tc>
              <w:tc>
                <w:tcPr>
                  <w:tcW w:w="155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44.44%</w:t>
                  </w:r>
                </w:p>
              </w:tc>
              <w:tc>
                <w:tcPr>
                  <w:tcW w:w="141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35.80%</w:t>
                  </w:r>
                </w:p>
              </w:tc>
            </w:tr>
            <w:tr>
              <w:tblPrEx>
                <w:tblCellMar>
                  <w:top w:w="0" w:type="dxa"/>
                  <w:left w:w="108" w:type="dxa"/>
                  <w:bottom w:w="0" w:type="dxa"/>
                  <w:right w:w="108" w:type="dxa"/>
                </w:tblCellMar>
              </w:tblPrEx>
              <w:trPr>
                <w:trHeight w:val="300" w:hRule="atLeast"/>
                <w:jc w:val="center"/>
              </w:trPr>
              <w:tc>
                <w:tcPr>
                  <w:tcW w:w="174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c>
                <w:tcPr>
                  <w:tcW w:w="15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28.57%</w:t>
                  </w:r>
                </w:p>
              </w:tc>
              <w:tc>
                <w:tcPr>
                  <w:tcW w:w="155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66.08%</w:t>
                  </w:r>
                </w:p>
              </w:tc>
              <w:tc>
                <w:tcPr>
                  <w:tcW w:w="155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44.44%</w:t>
                  </w:r>
                </w:p>
              </w:tc>
              <w:tc>
                <w:tcPr>
                  <w:tcW w:w="141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51.29%</w:t>
                  </w:r>
                </w:p>
              </w:tc>
            </w:tr>
          </w:tbl>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总排序一致性检验：</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表13 </w:t>
            </w:r>
            <w:r>
              <w:rPr>
                <w:rFonts w:hint="eastAsia" w:ascii="宋体" w:hAnsi="宋体" w:eastAsia="宋体" w:cs="宋体"/>
                <w:sz w:val="24"/>
                <w:szCs w:val="24"/>
              </w:rPr>
              <w:t>标准层各种因素总排序</w:t>
            </w:r>
            <w:r>
              <w:rPr>
                <w:rFonts w:hint="eastAsia" w:ascii="宋体" w:hAnsi="宋体" w:eastAsia="宋体" w:cs="宋体"/>
                <w:b w:val="0"/>
                <w:bCs w:val="0"/>
                <w:color w:val="000000"/>
                <w:sz w:val="24"/>
                <w:szCs w:val="24"/>
              </w:rPr>
              <w:t>一致性检验</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1220"/>
              <w:gridCol w:w="1137"/>
              <w:gridCol w:w="993"/>
              <w:gridCol w:w="1392"/>
              <w:gridCol w:w="1040"/>
              <w:gridCol w:w="1119"/>
              <w:gridCol w:w="1043"/>
            </w:tblGrid>
            <w:tr>
              <w:tblPrEx>
                <w:tblCellMar>
                  <w:top w:w="0" w:type="dxa"/>
                  <w:left w:w="108" w:type="dxa"/>
                  <w:bottom w:w="0" w:type="dxa"/>
                  <w:right w:w="108" w:type="dxa"/>
                </w:tblCellMar>
              </w:tblPrEx>
              <w:trPr>
                <w:trHeight w:val="310" w:hRule="atLeast"/>
                <w:jc w:val="center"/>
              </w:trPr>
              <w:tc>
                <w:tcPr>
                  <w:tcW w:w="7944" w:type="dxa"/>
                  <w:gridSpan w:val="7"/>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总排序一致性检验</w:t>
                  </w:r>
                </w:p>
              </w:tc>
            </w:tr>
            <w:tr>
              <w:tblPrEx>
                <w:tblCellMar>
                  <w:top w:w="0" w:type="dxa"/>
                  <w:left w:w="108" w:type="dxa"/>
                  <w:bottom w:w="0" w:type="dxa"/>
                  <w:right w:w="108" w:type="dxa"/>
                </w:tblCellMar>
              </w:tblPrEx>
              <w:trPr>
                <w:trHeight w:val="300" w:hRule="atLeast"/>
                <w:jc w:val="center"/>
              </w:trPr>
              <w:tc>
                <w:tcPr>
                  <w:tcW w:w="1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价格提高</w:t>
                  </w:r>
                </w:p>
              </w:tc>
              <w:tc>
                <w:tcPr>
                  <w:tcW w:w="1137"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CI</w:t>
                  </w:r>
                </w:p>
              </w:tc>
              <w:tc>
                <w:tcPr>
                  <w:tcW w:w="99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w:t>
                  </w:r>
                </w:p>
              </w:tc>
              <w:tc>
                <w:tcPr>
                  <w:tcW w:w="1392"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RI</w:t>
                  </w:r>
                </w:p>
              </w:tc>
              <w:tc>
                <w:tcPr>
                  <w:tcW w:w="1040" w:type="dxa"/>
                  <w:tcBorders>
                    <w:top w:val="single" w:color="auto" w:sz="4" w:space="0"/>
                    <w:left w:val="nil"/>
                    <w:bottom w:val="single" w:color="auto" w:sz="4" w:space="0"/>
                    <w:right w:val="single" w:color="auto" w:sz="4" w:space="0"/>
                  </w:tcBorders>
                  <w:shd w:val="clear" w:color="000000" w:fill="FFFFFF"/>
                  <w:noWrap w:val="0"/>
                  <w:vAlign w:val="center"/>
                </w:tcPr>
                <w:p>
                  <w:pPr>
                    <w:jc w:val="righ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0.5800</w:t>
                  </w:r>
                </w:p>
              </w:tc>
              <w:tc>
                <w:tcPr>
                  <w:tcW w:w="1119"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CR</w:t>
                  </w:r>
                </w:p>
              </w:tc>
              <w:tc>
                <w:tcPr>
                  <w:tcW w:w="1043"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r>
            <w:tr>
              <w:tblPrEx>
                <w:tblCellMar>
                  <w:top w:w="0" w:type="dxa"/>
                  <w:left w:w="108" w:type="dxa"/>
                  <w:bottom w:w="0" w:type="dxa"/>
                  <w:right w:w="108" w:type="dxa"/>
                </w:tblCellMar>
              </w:tblPrEx>
              <w:trPr>
                <w:trHeight w:val="300" w:hRule="atLeast"/>
                <w:jc w:val="center"/>
              </w:trPr>
              <w:tc>
                <w:tcPr>
                  <w:tcW w:w="1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137"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CI</w:t>
                  </w:r>
                </w:p>
              </w:tc>
              <w:tc>
                <w:tcPr>
                  <w:tcW w:w="99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0.0268</w:t>
                  </w:r>
                </w:p>
              </w:tc>
              <w:tc>
                <w:tcPr>
                  <w:tcW w:w="1392"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RI</w:t>
                  </w:r>
                </w:p>
              </w:tc>
              <w:tc>
                <w:tcPr>
                  <w:tcW w:w="1040" w:type="dxa"/>
                  <w:tcBorders>
                    <w:top w:val="single" w:color="auto" w:sz="4" w:space="0"/>
                    <w:left w:val="nil"/>
                    <w:bottom w:val="single" w:color="auto" w:sz="4" w:space="0"/>
                    <w:right w:val="single" w:color="auto" w:sz="4" w:space="0"/>
                  </w:tcBorders>
                  <w:shd w:val="clear" w:color="000000" w:fill="FFFFFF"/>
                  <w:noWrap w:val="0"/>
                  <w:vAlign w:val="center"/>
                </w:tcPr>
                <w:p>
                  <w:pPr>
                    <w:jc w:val="righ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0.5800</w:t>
                  </w:r>
                </w:p>
              </w:tc>
              <w:tc>
                <w:tcPr>
                  <w:tcW w:w="1119"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CR</w:t>
                  </w:r>
                </w:p>
              </w:tc>
              <w:tc>
                <w:tcPr>
                  <w:tcW w:w="1043"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0.0462</w:t>
                  </w:r>
                </w:p>
              </w:tc>
            </w:tr>
            <w:tr>
              <w:tblPrEx>
                <w:tblCellMar>
                  <w:top w:w="0" w:type="dxa"/>
                  <w:left w:w="108" w:type="dxa"/>
                  <w:bottom w:w="0" w:type="dxa"/>
                  <w:right w:w="108" w:type="dxa"/>
                </w:tblCellMar>
              </w:tblPrEx>
              <w:trPr>
                <w:trHeight w:val="300" w:hRule="atLeast"/>
                <w:jc w:val="center"/>
              </w:trPr>
              <w:tc>
                <w:tcPr>
                  <w:tcW w:w="1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成本节约</w:t>
                  </w:r>
                </w:p>
              </w:tc>
              <w:tc>
                <w:tcPr>
                  <w:tcW w:w="1137"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CI</w:t>
                  </w:r>
                </w:p>
              </w:tc>
              <w:tc>
                <w:tcPr>
                  <w:tcW w:w="99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w:t>
                  </w:r>
                </w:p>
              </w:tc>
              <w:tc>
                <w:tcPr>
                  <w:tcW w:w="1392"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RI</w:t>
                  </w:r>
                </w:p>
              </w:tc>
              <w:tc>
                <w:tcPr>
                  <w:tcW w:w="1040" w:type="dxa"/>
                  <w:tcBorders>
                    <w:top w:val="single" w:color="auto" w:sz="4" w:space="0"/>
                    <w:left w:val="nil"/>
                    <w:bottom w:val="single" w:color="auto" w:sz="4" w:space="0"/>
                    <w:right w:val="single" w:color="auto" w:sz="4" w:space="0"/>
                  </w:tcBorders>
                  <w:shd w:val="clear" w:color="000000" w:fill="FFFFFF"/>
                  <w:noWrap w:val="0"/>
                  <w:vAlign w:val="center"/>
                </w:tcPr>
                <w:p>
                  <w:pPr>
                    <w:jc w:val="righ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0.5800</w:t>
                  </w:r>
                </w:p>
              </w:tc>
              <w:tc>
                <w:tcPr>
                  <w:tcW w:w="1119"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CR</w:t>
                  </w:r>
                </w:p>
              </w:tc>
              <w:tc>
                <w:tcPr>
                  <w:tcW w:w="1043"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r>
            <w:tr>
              <w:tblPrEx>
                <w:tblCellMar>
                  <w:top w:w="0" w:type="dxa"/>
                  <w:left w:w="108" w:type="dxa"/>
                  <w:bottom w:w="0" w:type="dxa"/>
                  <w:right w:w="108" w:type="dxa"/>
                </w:tblCellMar>
              </w:tblPrEx>
              <w:trPr>
                <w:trHeight w:val="300" w:hRule="atLeast"/>
                <w:jc w:val="center"/>
              </w:trPr>
              <w:tc>
                <w:tcPr>
                  <w:tcW w:w="1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总排序</w:t>
                  </w:r>
                </w:p>
              </w:tc>
              <w:tc>
                <w:tcPr>
                  <w:tcW w:w="1137"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CI=∑a</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CI</w:t>
                  </w:r>
                  <w:r>
                    <w:rPr>
                      <w:rFonts w:hint="eastAsia" w:ascii="宋体" w:hAnsi="宋体" w:eastAsia="宋体" w:cs="宋体"/>
                      <w:b w:val="0"/>
                      <w:bCs w:val="0"/>
                      <w:color w:val="000000"/>
                      <w:sz w:val="24"/>
                      <w:szCs w:val="24"/>
                      <w:vertAlign w:val="subscript"/>
                    </w:rPr>
                    <w:t>i</w:t>
                  </w:r>
                </w:p>
              </w:tc>
              <w:tc>
                <w:tcPr>
                  <w:tcW w:w="99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0.0134</w:t>
                  </w:r>
                </w:p>
              </w:tc>
              <w:tc>
                <w:tcPr>
                  <w:tcW w:w="1392"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RI=∑a</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RI</w:t>
                  </w:r>
                  <w:r>
                    <w:rPr>
                      <w:rFonts w:hint="eastAsia" w:ascii="宋体" w:hAnsi="宋体" w:eastAsia="宋体" w:cs="宋体"/>
                      <w:b w:val="0"/>
                      <w:bCs w:val="0"/>
                      <w:color w:val="000000"/>
                      <w:sz w:val="24"/>
                      <w:szCs w:val="24"/>
                      <w:vertAlign w:val="subscript"/>
                    </w:rPr>
                    <w:t>i</w:t>
                  </w:r>
                </w:p>
              </w:tc>
              <w:tc>
                <w:tcPr>
                  <w:tcW w:w="1040" w:type="dxa"/>
                  <w:tcBorders>
                    <w:top w:val="single" w:color="auto" w:sz="4" w:space="0"/>
                    <w:left w:val="nil"/>
                    <w:bottom w:val="single" w:color="auto" w:sz="4" w:space="0"/>
                    <w:right w:val="single" w:color="auto" w:sz="4" w:space="0"/>
                  </w:tcBorders>
                  <w:shd w:val="clear" w:color="000000" w:fill="FFFFFF"/>
                  <w:noWrap w:val="0"/>
                  <w:vAlign w:val="center"/>
                </w:tcPr>
                <w:p>
                  <w:pPr>
                    <w:jc w:val="righ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0.5800</w:t>
                  </w:r>
                </w:p>
              </w:tc>
              <w:tc>
                <w:tcPr>
                  <w:tcW w:w="1119"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CR=CI/RI</w:t>
                  </w:r>
                </w:p>
              </w:tc>
              <w:tc>
                <w:tcPr>
                  <w:tcW w:w="1043"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0.0231</w:t>
                  </w:r>
                </w:p>
              </w:tc>
            </w:tr>
            <w:tr>
              <w:tblPrEx>
                <w:tblCellMar>
                  <w:top w:w="0" w:type="dxa"/>
                  <w:left w:w="108" w:type="dxa"/>
                  <w:bottom w:w="0" w:type="dxa"/>
                  <w:right w:w="108" w:type="dxa"/>
                </w:tblCellMar>
              </w:tblPrEx>
              <w:trPr>
                <w:trHeight w:val="364" w:hRule="atLeast"/>
                <w:jc w:val="center"/>
              </w:trPr>
              <w:tc>
                <w:tcPr>
                  <w:tcW w:w="7944" w:type="dxa"/>
                  <w:gridSpan w:val="7"/>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CR&lt;0.1层次总排序一致性检验通过</w:t>
                  </w:r>
                </w:p>
              </w:tc>
            </w:tr>
            <w:tr>
              <w:tblPrEx>
                <w:tblCellMar>
                  <w:top w:w="0" w:type="dxa"/>
                  <w:left w:w="108" w:type="dxa"/>
                  <w:bottom w:w="0" w:type="dxa"/>
                  <w:right w:w="108" w:type="dxa"/>
                </w:tblCellMar>
              </w:tblPrEx>
              <w:trPr>
                <w:trHeight w:val="364" w:hRule="atLeast"/>
                <w:jc w:val="center"/>
              </w:trPr>
              <w:tc>
                <w:tcPr>
                  <w:tcW w:w="7944" w:type="dxa"/>
                  <w:gridSpan w:val="7"/>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
                      <w:bCs/>
                      <w:color w:val="000000"/>
                      <w:sz w:val="24"/>
                      <w:szCs w:val="24"/>
                      <w:highlight w:val="yellow"/>
                    </w:rPr>
                  </w:pPr>
                </w:p>
              </w:tc>
            </w:tr>
          </w:tbl>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委估无形资产为计算机著作权，占无形非流动资产的比重为12.90%。</w:t>
            </w:r>
          </w:p>
          <w:p>
            <w:pPr>
              <w:numPr>
                <w:ilvl w:val="0"/>
                <w:numId w:val="0"/>
              </w:numPr>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(4)</w:t>
            </w:r>
            <w:r>
              <w:rPr>
                <w:rFonts w:hint="eastAsia" w:ascii="宋体" w:hAnsi="宋体" w:eastAsia="宋体" w:cs="宋体"/>
                <w:b/>
                <w:bCs/>
                <w:color w:val="000000"/>
                <w:sz w:val="24"/>
                <w:szCs w:val="24"/>
              </w:rPr>
              <w:t>可比公司委估无形资产提成率的确</w:t>
            </w:r>
            <w:r>
              <w:rPr>
                <w:rFonts w:hint="eastAsia" w:ascii="宋体" w:hAnsi="宋体" w:eastAsia="宋体" w:cs="宋体"/>
                <w:b/>
                <w:bCs/>
                <w:color w:val="000000"/>
                <w:sz w:val="24"/>
                <w:szCs w:val="24"/>
                <w:lang w:val="en-US" w:eastAsia="zh-CN"/>
              </w:rPr>
              <w:t>定</w:t>
            </w:r>
          </w:p>
          <w:p>
            <w:pPr>
              <w:numPr>
                <w:ilvl w:val="0"/>
                <w:numId w:val="0"/>
              </w:numPr>
              <w:spacing w:line="360" w:lineRule="auto"/>
              <w:jc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表14 可比公司委估无形资产提成率的确定</w:t>
            </w:r>
          </w:p>
          <w:tbl>
            <w:tblPr>
              <w:tblStyle w:val="7"/>
              <w:tblW w:w="8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602"/>
              <w:gridCol w:w="883"/>
              <w:gridCol w:w="888"/>
              <w:gridCol w:w="795"/>
              <w:gridCol w:w="788"/>
              <w:gridCol w:w="1042"/>
              <w:gridCol w:w="938"/>
              <w:gridCol w:w="892"/>
              <w:gridCol w:w="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77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股票名称</w:t>
                  </w:r>
                </w:p>
              </w:tc>
              <w:tc>
                <w:tcPr>
                  <w:tcW w:w="60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代码</w:t>
                  </w: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日期</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无形非流动资产在资本结构中所占比例</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无形非流动资产中技术所占比重</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技术在资本结构中所占比重</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相应年份的业务税息折旧、摊销前利润</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技术对主营业现金流的贡献</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相应年份的主营业收入</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技术提成率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鼎捷软件</w:t>
                  </w:r>
                </w:p>
              </w:tc>
              <w:tc>
                <w:tcPr>
                  <w:tcW w:w="602"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300378</w:t>
                  </w: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64.91%</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8.37%</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183.06</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-99.061977</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519.37</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48.23%</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6.22%</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490.48</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963.734129</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152.15</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67.97%</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8.77%</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916.26</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1044.757</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598.05</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70.30%</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9.07%</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304.11</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662.364468</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001.28</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70.48%</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9.09%</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477.94</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225.289072</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011.66</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赢时胜</w:t>
                  </w:r>
                </w:p>
              </w:tc>
              <w:tc>
                <w:tcPr>
                  <w:tcW w:w="602"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300377</w:t>
                  </w: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66.20%</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8.54%</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034.34</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259.135812</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311.73</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56.56%</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7.30%</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305.22</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1627.38612</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910.05</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61.30%</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7.91%</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778.72</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2038.53942</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701.80</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65.10%</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8.40%</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128.70</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1186.58932</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080.84</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87.65%</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11.31%</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288.31</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824.034506</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010.52</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四方精创</w:t>
                  </w:r>
                </w:p>
              </w:tc>
              <w:tc>
                <w:tcPr>
                  <w:tcW w:w="602"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300468</w:t>
                  </w: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69.01%</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8.90%</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455.73</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129.60</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712.45</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53.87%</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6.95%</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738.43</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537.71</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48</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781.66</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68.55%</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bidi w:val="0"/>
                    <w:rPr>
                      <w:rFonts w:hint="eastAsia"/>
                    </w:rPr>
                  </w:pPr>
                  <w:r>
                    <w:rPr>
                      <w:rFonts w:hint="eastAsia"/>
                    </w:rPr>
                    <w:t>8.84%</w:t>
                  </w:r>
                </w:p>
              </w:tc>
              <w:tc>
                <w:tcPr>
                  <w:tcW w:w="1042" w:type="dxa"/>
                  <w:noWrap/>
                  <w:vAlign w:val="center"/>
                </w:tcPr>
                <w:p>
                  <w:pPr>
                    <w:bidi w:val="0"/>
                    <w:rPr>
                      <w:rFonts w:hint="eastAsia"/>
                    </w:rPr>
                  </w:pPr>
                  <w:r>
                    <w:rPr>
                      <w:rFonts w:hint="eastAsia"/>
                    </w:rPr>
                    <w:t>9</w:t>
                  </w:r>
                  <w:r>
                    <w:rPr>
                      <w:rFonts w:hint="eastAsia"/>
                      <w:lang w:eastAsia="zh-CN"/>
                    </w:rPr>
                    <w:t>，</w:t>
                  </w:r>
                  <w:r>
                    <w:rPr>
                      <w:rFonts w:hint="eastAsia"/>
                    </w:rPr>
                    <w:t>726.12</w:t>
                  </w:r>
                </w:p>
              </w:tc>
              <w:tc>
                <w:tcPr>
                  <w:tcW w:w="938" w:type="dxa"/>
                  <w:noWrap/>
                  <w:vAlign w:val="center"/>
                </w:tcPr>
                <w:p>
                  <w:pPr>
                    <w:bidi w:val="0"/>
                    <w:rPr>
                      <w:rFonts w:hint="eastAsia"/>
                    </w:rPr>
                  </w:pPr>
                  <w:r>
                    <w:rPr>
                      <w:rFonts w:hint="eastAsia"/>
                    </w:rPr>
                    <w:t>860.09</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780.58</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77.39%</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9.98%</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590.87</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857.61</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36</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704.54</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70.92%</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9.15%</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949.63</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544.32</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032.97</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高新兴</w:t>
                  </w:r>
                </w:p>
              </w:tc>
              <w:tc>
                <w:tcPr>
                  <w:tcW w:w="602"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300098</w:t>
                  </w: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68.18%</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8.80%</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195.75</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160.57</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048.44</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58.53%</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7.55%</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148.79</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617.09</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356</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283.28</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63.61%</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8.21%</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47</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791.37</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921.33</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701.97</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74.12%</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9.56%</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777.77</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942.79</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766.66</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pPr>
                    <w:jc w:val="center"/>
                    <w:rPr>
                      <w:rFonts w:hint="eastAsia" w:ascii="宋体" w:hAnsi="宋体" w:eastAsia="宋体" w:cs="宋体"/>
                      <w:color w:val="000000"/>
                      <w:sz w:val="24"/>
                      <w:szCs w:val="24"/>
                    </w:rPr>
                  </w:pPr>
                </w:p>
              </w:tc>
              <w:tc>
                <w:tcPr>
                  <w:tcW w:w="602" w:type="dxa"/>
                  <w:vMerge w:val="continue"/>
                  <w:noWrap w:val="0"/>
                  <w:vAlign w:val="center"/>
                </w:tcPr>
                <w:p>
                  <w:pPr>
                    <w:jc w:val="center"/>
                    <w:rPr>
                      <w:rFonts w:hint="eastAsia" w:ascii="宋体" w:hAnsi="宋体" w:eastAsia="宋体" w:cs="宋体"/>
                      <w:color w:val="000000"/>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79.20%</w:t>
                  </w:r>
                </w:p>
              </w:tc>
              <w:tc>
                <w:tcPr>
                  <w:tcW w:w="79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10.22%</w:t>
                  </w:r>
                </w:p>
              </w:tc>
              <w:tc>
                <w:tcPr>
                  <w:tcW w:w="104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161.13</w:t>
                  </w:r>
                </w:p>
              </w:tc>
              <w:tc>
                <w:tcPr>
                  <w:tcW w:w="9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548.89</w:t>
                  </w:r>
                </w:p>
              </w:tc>
              <w:tc>
                <w:tcPr>
                  <w:tcW w:w="89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108</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059.32</w:t>
                  </w: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70" w:type="dxa"/>
                  <w:noWrap/>
                  <w:vAlign w:val="center"/>
                </w:tcPr>
                <w:p>
                  <w:pPr>
                    <w:jc w:val="center"/>
                    <w:rPr>
                      <w:rFonts w:hint="eastAsia" w:ascii="宋体" w:hAnsi="宋体" w:eastAsia="宋体" w:cs="宋体"/>
                      <w:color w:val="000000"/>
                      <w:sz w:val="24"/>
                      <w:szCs w:val="24"/>
                    </w:rPr>
                  </w:pPr>
                </w:p>
              </w:tc>
              <w:tc>
                <w:tcPr>
                  <w:tcW w:w="602" w:type="dxa"/>
                  <w:noWrap/>
                  <w:vAlign w:val="center"/>
                </w:tcPr>
                <w:p>
                  <w:pPr>
                    <w:jc w:val="center"/>
                    <w:rPr>
                      <w:rFonts w:hint="eastAsia" w:ascii="宋体" w:hAnsi="宋体" w:eastAsia="宋体" w:cs="宋体"/>
                      <w:sz w:val="24"/>
                      <w:szCs w:val="24"/>
                    </w:rPr>
                  </w:pPr>
                </w:p>
              </w:tc>
              <w:tc>
                <w:tcPr>
                  <w:tcW w:w="8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平均</w:t>
                  </w:r>
                </w:p>
              </w:tc>
              <w:tc>
                <w:tcPr>
                  <w:tcW w:w="8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67.10%</w:t>
                  </w:r>
                </w:p>
              </w:tc>
              <w:tc>
                <w:tcPr>
                  <w:tcW w:w="795" w:type="dxa"/>
                  <w:noWrap/>
                  <w:vAlign w:val="center"/>
                </w:tcPr>
                <w:p>
                  <w:pPr>
                    <w:jc w:val="center"/>
                    <w:rPr>
                      <w:rFonts w:hint="eastAsia" w:ascii="宋体" w:hAnsi="宋体" w:eastAsia="宋体" w:cs="宋体"/>
                      <w:color w:val="000000"/>
                      <w:sz w:val="24"/>
                      <w:szCs w:val="24"/>
                    </w:rPr>
                  </w:pPr>
                </w:p>
              </w:tc>
              <w:tc>
                <w:tcPr>
                  <w:tcW w:w="78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8.66%</w:t>
                  </w:r>
                </w:p>
              </w:tc>
              <w:tc>
                <w:tcPr>
                  <w:tcW w:w="1042" w:type="dxa"/>
                  <w:noWrap/>
                  <w:vAlign w:val="center"/>
                </w:tcPr>
                <w:p>
                  <w:pPr>
                    <w:jc w:val="center"/>
                    <w:rPr>
                      <w:rFonts w:hint="eastAsia" w:ascii="宋体" w:hAnsi="宋体" w:eastAsia="宋体" w:cs="宋体"/>
                      <w:color w:val="000000"/>
                      <w:sz w:val="24"/>
                      <w:szCs w:val="24"/>
                    </w:rPr>
                  </w:pPr>
                </w:p>
              </w:tc>
              <w:tc>
                <w:tcPr>
                  <w:tcW w:w="938" w:type="dxa"/>
                  <w:noWrap/>
                  <w:vAlign w:val="center"/>
                </w:tcPr>
                <w:p>
                  <w:pPr>
                    <w:jc w:val="center"/>
                    <w:rPr>
                      <w:rFonts w:hint="eastAsia" w:ascii="宋体" w:hAnsi="宋体" w:eastAsia="宋体" w:cs="宋体"/>
                      <w:sz w:val="24"/>
                      <w:szCs w:val="24"/>
                    </w:rPr>
                  </w:pPr>
                </w:p>
              </w:tc>
              <w:tc>
                <w:tcPr>
                  <w:tcW w:w="892" w:type="dxa"/>
                  <w:noWrap/>
                  <w:vAlign w:val="center"/>
                </w:tcPr>
                <w:p>
                  <w:pPr>
                    <w:jc w:val="center"/>
                    <w:rPr>
                      <w:rFonts w:hint="eastAsia" w:ascii="宋体" w:hAnsi="宋体" w:eastAsia="宋体" w:cs="宋体"/>
                      <w:sz w:val="24"/>
                      <w:szCs w:val="24"/>
                    </w:rPr>
                  </w:pPr>
                </w:p>
              </w:tc>
              <w:tc>
                <w:tcPr>
                  <w:tcW w:w="65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1.64%</w:t>
                  </w:r>
                </w:p>
              </w:tc>
            </w:tr>
          </w:tbl>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经计算</w:t>
            </w:r>
            <w:r>
              <w:rPr>
                <w:rFonts w:hint="eastAsia" w:ascii="宋体" w:hAnsi="宋体" w:eastAsia="宋体" w:cs="宋体"/>
                <w:sz w:val="24"/>
                <w:szCs w:val="24"/>
              </w:rPr>
              <w:t>可比公司委估无形资产</w:t>
            </w:r>
            <w:r>
              <w:rPr>
                <w:rFonts w:hint="eastAsia" w:ascii="宋体" w:hAnsi="宋体" w:eastAsia="宋体" w:cs="宋体"/>
                <w:color w:val="000000"/>
                <w:sz w:val="24"/>
                <w:szCs w:val="24"/>
              </w:rPr>
              <w:t>提成率平均为1.64%。</w:t>
            </w:r>
          </w:p>
          <w:p>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（5）产权持有单位无形资产提成率的确定</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通过分析发现四家对比公司的3年销售毛利率加权平均值为60.8%，即无形资产提成率平均值1.64%对应的产品销售毛利率大约为60.8%。对比公司前3年的销售毛利率数据如下：</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表15 </w:t>
            </w:r>
            <w:r>
              <w:rPr>
                <w:rFonts w:hint="eastAsia" w:ascii="宋体" w:hAnsi="宋体" w:eastAsia="宋体" w:cs="宋体"/>
                <w:color w:val="000000"/>
                <w:sz w:val="24"/>
                <w:szCs w:val="24"/>
              </w:rPr>
              <w:t>对比公司前3年的销售毛利率</w:t>
            </w:r>
          </w:p>
          <w:p>
            <w:pPr>
              <w:keepNext w:val="0"/>
              <w:keepLines w:val="0"/>
              <w:pageBreakBefore w:val="0"/>
              <w:widowControl w:val="0"/>
              <w:kinsoku/>
              <w:wordWrap/>
              <w:overflowPunct/>
              <w:topLinePunct w:val="0"/>
              <w:autoSpaceDE/>
              <w:autoSpaceDN/>
              <w:bidi w:val="0"/>
              <w:adjustRightInd/>
              <w:snapToGrid/>
              <w:spacing w:line="300" w:lineRule="auto"/>
              <w:ind w:firstLine="708" w:firstLineChars="295"/>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（单位：万元）</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541"/>
              <w:gridCol w:w="1973"/>
              <w:gridCol w:w="1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jc w:val="center"/>
              </w:trPr>
              <w:tc>
                <w:tcPr>
                  <w:tcW w:w="155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股票名称</w:t>
                  </w:r>
                </w:p>
              </w:tc>
              <w:tc>
                <w:tcPr>
                  <w:tcW w:w="154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代码</w:t>
                  </w: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日期</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毛利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鼎捷软件</w:t>
                  </w:r>
                </w:p>
              </w:tc>
              <w:tc>
                <w:tcPr>
                  <w:tcW w:w="1541"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300378</w:t>
                  </w: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赢时胜</w:t>
                  </w:r>
                </w:p>
              </w:tc>
              <w:tc>
                <w:tcPr>
                  <w:tcW w:w="1541"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300377</w:t>
                  </w: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四方精创</w:t>
                  </w:r>
                </w:p>
              </w:tc>
              <w:tc>
                <w:tcPr>
                  <w:tcW w:w="1541"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300468</w:t>
                  </w: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高新兴</w:t>
                  </w:r>
                </w:p>
              </w:tc>
              <w:tc>
                <w:tcPr>
                  <w:tcW w:w="1541" w:type="dxa"/>
                  <w:vMerge w:val="restart"/>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300098</w:t>
                  </w: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pPr>
                    <w:rPr>
                      <w:rFonts w:hint="eastAsia" w:ascii="宋体" w:hAnsi="宋体" w:eastAsia="宋体" w:cs="宋体"/>
                      <w:color w:val="000000"/>
                      <w:sz w:val="24"/>
                      <w:szCs w:val="24"/>
                    </w:rPr>
                  </w:pPr>
                </w:p>
              </w:tc>
              <w:tc>
                <w:tcPr>
                  <w:tcW w:w="1541" w:type="dxa"/>
                  <w:vMerge w:val="continue"/>
                  <w:noWrap w:val="0"/>
                  <w:vAlign w:val="center"/>
                </w:tcPr>
                <w:p>
                  <w:pPr>
                    <w:rPr>
                      <w:rFonts w:hint="eastAsia" w:ascii="宋体" w:hAnsi="宋体" w:eastAsia="宋体" w:cs="宋体"/>
                      <w:color w:val="000000"/>
                      <w:sz w:val="24"/>
                      <w:szCs w:val="24"/>
                    </w:rPr>
                  </w:pPr>
                </w:p>
              </w:tc>
              <w:tc>
                <w:tcPr>
                  <w:tcW w:w="197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noWrap/>
                  <w:vAlign w:val="center"/>
                </w:tcPr>
                <w:p>
                  <w:pPr>
                    <w:jc w:val="right"/>
                    <w:rPr>
                      <w:rFonts w:hint="eastAsia" w:ascii="宋体" w:hAnsi="宋体" w:eastAsia="宋体" w:cs="宋体"/>
                      <w:color w:val="000000"/>
                      <w:sz w:val="24"/>
                      <w:szCs w:val="24"/>
                    </w:rPr>
                  </w:pPr>
                </w:p>
              </w:tc>
              <w:tc>
                <w:tcPr>
                  <w:tcW w:w="1541" w:type="dxa"/>
                  <w:noWrap/>
                  <w:vAlign w:val="center"/>
                </w:tcPr>
                <w:p>
                  <w:pPr>
                    <w:rPr>
                      <w:rFonts w:hint="eastAsia" w:ascii="宋体" w:hAnsi="宋体" w:eastAsia="宋体" w:cs="宋体"/>
                      <w:color w:val="000000"/>
                      <w:sz w:val="24"/>
                      <w:szCs w:val="24"/>
                    </w:rPr>
                  </w:pPr>
                  <w:r>
                    <w:rPr>
                      <w:rFonts w:hint="eastAsia" w:ascii="宋体" w:hAnsi="宋体" w:eastAsia="宋体" w:cs="宋体"/>
                      <w:color w:val="000000"/>
                      <w:sz w:val="24"/>
                      <w:szCs w:val="24"/>
                    </w:rPr>
                    <w:t>平均</w:t>
                  </w:r>
                </w:p>
              </w:tc>
              <w:tc>
                <w:tcPr>
                  <w:tcW w:w="1973" w:type="dxa"/>
                  <w:noWrap/>
                  <w:vAlign w:val="center"/>
                </w:tcPr>
                <w:p>
                  <w:pPr>
                    <w:jc w:val="center"/>
                    <w:rPr>
                      <w:rFonts w:hint="eastAsia" w:ascii="宋体" w:hAnsi="宋体" w:eastAsia="宋体" w:cs="宋体"/>
                      <w:color w:val="000000"/>
                      <w:sz w:val="24"/>
                      <w:szCs w:val="24"/>
                    </w:rPr>
                  </w:pPr>
                </w:p>
              </w:tc>
              <w:tc>
                <w:tcPr>
                  <w:tcW w:w="183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60.80%</w:t>
                  </w:r>
                </w:p>
              </w:tc>
            </w:tr>
          </w:tbl>
          <w:p>
            <w:pPr>
              <w:keepNext w:val="0"/>
              <w:keepLines w:val="0"/>
              <w:pageBreakBefore w:val="0"/>
              <w:widowControl w:val="0"/>
              <w:kinsoku/>
              <w:wordWrap/>
              <w:overflowPunct/>
              <w:topLinePunct w:val="0"/>
              <w:autoSpaceDE/>
              <w:autoSpaceDN/>
              <w:bidi w:val="0"/>
              <w:adjustRightInd/>
              <w:snapToGrid/>
              <w:spacing w:line="300" w:lineRule="auto"/>
              <w:ind w:firstLine="708" w:firstLineChars="295"/>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注：毛利率=（营业收入-营业成本）/营业收入</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根据公式：产权持有单位无形资产提成率=对比公司提成率+（被评估无形资产产品毛利率-对比公司无形资产产品毛利率）×</w:t>
            </w:r>
            <w:r>
              <w:rPr>
                <w:rFonts w:hint="eastAsia" w:ascii="宋体" w:hAnsi="宋体" w:eastAsia="宋体" w:cs="宋体"/>
                <w:color w:val="000000"/>
                <w:sz w:val="24"/>
                <w:szCs w:val="24"/>
                <w:lang w:val="en-US" w:eastAsia="zh-CN"/>
              </w:rPr>
              <w:t>可比公司无形资产价值/可比公司整体市场价值.</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以上销售毛利率数据，</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分析无形资产对目标公司的对应产品收入的提成率见下表：</w:t>
            </w:r>
          </w:p>
          <w:p>
            <w:pPr>
              <w:spacing w:line="50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表16 </w:t>
            </w:r>
            <w:r>
              <w:rPr>
                <w:rFonts w:hint="eastAsia" w:ascii="宋体" w:hAnsi="宋体" w:eastAsia="宋体" w:cs="宋体"/>
                <w:sz w:val="24"/>
                <w:szCs w:val="24"/>
              </w:rPr>
              <w:t>目标公司的对应产品收入的提成率</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2"/>
              <w:gridCol w:w="1120"/>
              <w:gridCol w:w="1133"/>
              <w:gridCol w:w="1131"/>
              <w:gridCol w:w="1550"/>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672" w:type="dxa"/>
                  <w:noWrap/>
                  <w:vAlign w:val="center"/>
                </w:tcPr>
                <w:p>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对比公司无形资产提成率平均值</w:t>
                  </w:r>
                </w:p>
              </w:tc>
              <w:tc>
                <w:tcPr>
                  <w:tcW w:w="1120" w:type="dxa"/>
                  <w:noWrap/>
                  <w:vAlign w:val="center"/>
                </w:tcPr>
                <w:p>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对比公司平均毛利</w:t>
                  </w:r>
                </w:p>
              </w:tc>
              <w:tc>
                <w:tcPr>
                  <w:tcW w:w="1133" w:type="dxa"/>
                  <w:noWrap/>
                  <w:vAlign w:val="center"/>
                </w:tcPr>
                <w:p>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被评估公司毛利</w:t>
                  </w:r>
                </w:p>
              </w:tc>
              <w:tc>
                <w:tcPr>
                  <w:tcW w:w="1131" w:type="dxa"/>
                  <w:noWrap/>
                  <w:vAlign w:val="center"/>
                </w:tcPr>
                <w:p>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销售利润率差异</w:t>
                  </w:r>
                </w:p>
              </w:tc>
              <w:tc>
                <w:tcPr>
                  <w:tcW w:w="1550" w:type="dxa"/>
                  <w:noWrap/>
                  <w:vAlign w:val="center"/>
                </w:tcPr>
                <w:p>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著作权资产占全部资本结构比重</w:t>
                  </w:r>
                </w:p>
              </w:tc>
              <w:tc>
                <w:tcPr>
                  <w:tcW w:w="1091" w:type="dxa"/>
                  <w:noWrap/>
                  <w:vAlign w:val="center"/>
                </w:tcPr>
                <w:p>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无形资产提成率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67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A</w:t>
                  </w:r>
                </w:p>
              </w:tc>
              <w:tc>
                <w:tcPr>
                  <w:tcW w:w="112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B</w:t>
                  </w:r>
                </w:p>
              </w:tc>
              <w:tc>
                <w:tcPr>
                  <w:tcW w:w="113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C</w:t>
                  </w:r>
                </w:p>
              </w:tc>
              <w:tc>
                <w:tcPr>
                  <w:tcW w:w="113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D=B-C</w:t>
                  </w:r>
                </w:p>
              </w:tc>
              <w:tc>
                <w:tcPr>
                  <w:tcW w:w="155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E</w:t>
                  </w:r>
                </w:p>
              </w:tc>
              <w:tc>
                <w:tcPr>
                  <w:tcW w:w="109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F=A-D*E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67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1.64%</w:t>
                  </w:r>
                </w:p>
              </w:tc>
              <w:tc>
                <w:tcPr>
                  <w:tcW w:w="112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60.80%</w:t>
                  </w:r>
                </w:p>
              </w:tc>
              <w:tc>
                <w:tcPr>
                  <w:tcW w:w="113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87.76%</w:t>
                  </w:r>
                </w:p>
              </w:tc>
              <w:tc>
                <w:tcPr>
                  <w:tcW w:w="113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-26.96%</w:t>
                  </w:r>
                </w:p>
              </w:tc>
              <w:tc>
                <w:tcPr>
                  <w:tcW w:w="155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8.66%</w:t>
                  </w:r>
                </w:p>
              </w:tc>
              <w:tc>
                <w:tcPr>
                  <w:tcW w:w="1091"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r>
          </w:tbl>
          <w:p>
            <w:pPr>
              <w:spacing w:line="520" w:lineRule="exact"/>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（6）确定委估无形资产对现金流的贡献</w:t>
            </w:r>
          </w:p>
          <w:p>
            <w:pPr>
              <w:keepNext w:val="0"/>
              <w:keepLines w:val="0"/>
              <w:pageBreakBefore w:val="0"/>
              <w:widowControl w:val="0"/>
              <w:kinsoku/>
              <w:wordWrap/>
              <w:overflowPunct/>
              <w:topLinePunct w:val="0"/>
              <w:autoSpaceDE/>
              <w:autoSpaceDN/>
              <w:bidi w:val="0"/>
              <w:adjustRightInd/>
              <w:snapToGrid/>
              <w:spacing w:line="300" w:lineRule="auto"/>
              <w:ind w:firstLine="708" w:firstLineChars="295"/>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通过上述无形资产提成率的估算和对产品销售收入的预测，可以得出待估范围内无形资产的贡献=Σ（对应产品年销售收入净值×年提成率）。则：预测期内各年无形资产贡献情况如下表：</w:t>
            </w:r>
          </w:p>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表17 </w:t>
            </w:r>
            <w:r>
              <w:rPr>
                <w:rFonts w:hint="eastAsia" w:ascii="宋体" w:hAnsi="宋体" w:eastAsia="宋体" w:cs="宋体"/>
                <w:color w:val="000000"/>
                <w:sz w:val="24"/>
                <w:szCs w:val="24"/>
              </w:rPr>
              <w:t>预测期内各年无形资产贡献</w:t>
            </w:r>
          </w:p>
          <w:p>
            <w:pPr>
              <w:keepNext w:val="0"/>
              <w:keepLines w:val="0"/>
              <w:pageBreakBefore w:val="0"/>
              <w:widowControl w:val="0"/>
              <w:kinsoku/>
              <w:wordWrap/>
              <w:overflowPunct/>
              <w:topLinePunct w:val="0"/>
              <w:autoSpaceDE/>
              <w:autoSpaceDN/>
              <w:bidi w:val="0"/>
              <w:adjustRightInd/>
              <w:snapToGrid/>
              <w:spacing w:line="300" w:lineRule="auto"/>
              <w:ind w:firstLine="480"/>
              <w:jc w:val="right"/>
              <w:textAlignment w:val="auto"/>
              <w:rPr>
                <w:rFonts w:hint="eastAsia" w:ascii="宋体" w:hAnsi="宋体" w:eastAsia="宋体" w:cs="宋体"/>
                <w:sz w:val="24"/>
                <w:szCs w:val="24"/>
              </w:rPr>
            </w:pPr>
            <w:r>
              <w:rPr>
                <w:rFonts w:hint="eastAsia" w:ascii="宋体" w:hAnsi="宋体" w:eastAsia="宋体" w:cs="宋体"/>
                <w:sz w:val="24"/>
                <w:szCs w:val="24"/>
              </w:rPr>
              <w:t>金额单位：人民币万元</w:t>
            </w:r>
          </w:p>
          <w:tbl>
            <w:tblPr>
              <w:tblStyle w:val="7"/>
              <w:tblW w:w="0" w:type="auto"/>
              <w:jc w:val="center"/>
              <w:tblLayout w:type="fixed"/>
              <w:tblCellMar>
                <w:top w:w="0" w:type="dxa"/>
                <w:left w:w="108" w:type="dxa"/>
                <w:bottom w:w="0" w:type="dxa"/>
                <w:right w:w="108" w:type="dxa"/>
              </w:tblCellMar>
            </w:tblPr>
            <w:tblGrid>
              <w:gridCol w:w="716"/>
              <w:gridCol w:w="819"/>
              <w:gridCol w:w="612"/>
              <w:gridCol w:w="623"/>
              <w:gridCol w:w="618"/>
              <w:gridCol w:w="675"/>
              <w:gridCol w:w="647"/>
              <w:gridCol w:w="619"/>
              <w:gridCol w:w="666"/>
              <w:gridCol w:w="646"/>
              <w:gridCol w:w="675"/>
              <w:gridCol w:w="666"/>
            </w:tblGrid>
            <w:tr>
              <w:tblPrEx>
                <w:tblCellMar>
                  <w:top w:w="0" w:type="dxa"/>
                  <w:left w:w="108" w:type="dxa"/>
                  <w:bottom w:w="0" w:type="dxa"/>
                  <w:right w:w="108" w:type="dxa"/>
                </w:tblCellMar>
              </w:tblPrEx>
              <w:trPr>
                <w:trHeight w:val="1185" w:hRule="atLeast"/>
                <w:jc w:val="center"/>
              </w:trPr>
              <w:tc>
                <w:tcPr>
                  <w:tcW w:w="716" w:type="dxa"/>
                  <w:tcBorders>
                    <w:top w:val="single" w:color="auto" w:sz="4" w:space="0"/>
                    <w:left w:val="single" w:color="auto" w:sz="4" w:space="0"/>
                    <w:bottom w:val="single" w:color="auto" w:sz="4" w:space="0"/>
                    <w:right w:val="single" w:color="auto" w:sz="4" w:space="0"/>
                  </w:tcBorders>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时间</w:t>
                  </w:r>
                </w:p>
              </w:tc>
              <w:tc>
                <w:tcPr>
                  <w:tcW w:w="819"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2019</w:t>
                  </w:r>
                  <w:r>
                    <w:rPr>
                      <w:rFonts w:hint="eastAsia" w:ascii="宋体" w:hAnsi="宋体" w:eastAsia="宋体" w:cs="宋体"/>
                      <w:color w:val="000000"/>
                      <w:sz w:val="24"/>
                      <w:szCs w:val="24"/>
                    </w:rPr>
                    <w:t>年</w:t>
                  </w:r>
                  <w:r>
                    <w:rPr>
                      <w:rFonts w:hint="eastAsia" w:ascii="宋体" w:hAnsi="宋体" w:eastAsia="宋体" w:cs="宋体"/>
                      <w:sz w:val="24"/>
                      <w:szCs w:val="24"/>
                    </w:rPr>
                    <w:t>6月至12</w:t>
                  </w:r>
                  <w:r>
                    <w:rPr>
                      <w:rFonts w:hint="eastAsia" w:ascii="宋体" w:hAnsi="宋体" w:eastAsia="宋体" w:cs="宋体"/>
                      <w:color w:val="000000"/>
                      <w:sz w:val="24"/>
                      <w:szCs w:val="24"/>
                    </w:rPr>
                    <w:t>月</w:t>
                  </w:r>
                </w:p>
              </w:tc>
              <w:tc>
                <w:tcPr>
                  <w:tcW w:w="612"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2020</w:t>
                  </w:r>
                  <w:r>
                    <w:rPr>
                      <w:rFonts w:hint="eastAsia" w:ascii="宋体" w:hAnsi="宋体" w:eastAsia="宋体" w:cs="宋体"/>
                      <w:color w:val="000000"/>
                      <w:sz w:val="24"/>
                      <w:szCs w:val="24"/>
                    </w:rPr>
                    <w:t>年</w:t>
                  </w:r>
                </w:p>
              </w:tc>
              <w:tc>
                <w:tcPr>
                  <w:tcW w:w="623"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2021年</w:t>
                  </w:r>
                </w:p>
              </w:tc>
              <w:tc>
                <w:tcPr>
                  <w:tcW w:w="618"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2022年</w:t>
                  </w:r>
                </w:p>
              </w:tc>
              <w:tc>
                <w:tcPr>
                  <w:tcW w:w="675"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2023年</w:t>
                  </w:r>
                </w:p>
              </w:tc>
              <w:tc>
                <w:tcPr>
                  <w:tcW w:w="647"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2024年</w:t>
                  </w:r>
                </w:p>
              </w:tc>
              <w:tc>
                <w:tcPr>
                  <w:tcW w:w="619"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2025年</w:t>
                  </w:r>
                </w:p>
              </w:tc>
              <w:tc>
                <w:tcPr>
                  <w:tcW w:w="6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2026年</w:t>
                  </w:r>
                </w:p>
              </w:tc>
              <w:tc>
                <w:tcPr>
                  <w:tcW w:w="64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2027年</w:t>
                  </w:r>
                </w:p>
              </w:tc>
              <w:tc>
                <w:tcPr>
                  <w:tcW w:w="675"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2028年</w:t>
                  </w:r>
                </w:p>
              </w:tc>
              <w:tc>
                <w:tcPr>
                  <w:tcW w:w="6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2029年</w:t>
                  </w:r>
                </w:p>
              </w:tc>
            </w:tr>
            <w:tr>
              <w:tblPrEx>
                <w:tblCellMar>
                  <w:top w:w="0" w:type="dxa"/>
                  <w:left w:w="108" w:type="dxa"/>
                  <w:bottom w:w="0" w:type="dxa"/>
                  <w:right w:w="108" w:type="dxa"/>
                </w:tblCellMar>
              </w:tblPrEx>
              <w:trPr>
                <w:trHeight w:val="893" w:hRule="atLeast"/>
                <w:jc w:val="center"/>
              </w:trPr>
              <w:tc>
                <w:tcPr>
                  <w:tcW w:w="716" w:type="dxa"/>
                  <w:tcBorders>
                    <w:top w:val="nil"/>
                    <w:left w:val="single" w:color="auto" w:sz="4" w:space="0"/>
                    <w:bottom w:val="single" w:color="auto" w:sz="4" w:space="0"/>
                    <w:right w:val="single" w:color="auto" w:sz="4" w:space="0"/>
                  </w:tcBorders>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收入</w:t>
                  </w:r>
                </w:p>
              </w:tc>
              <w:tc>
                <w:tcPr>
                  <w:tcW w:w="819"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446.25</w:t>
                  </w:r>
                </w:p>
              </w:tc>
              <w:tc>
                <w:tcPr>
                  <w:tcW w:w="612"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765.00</w:t>
                  </w:r>
                </w:p>
              </w:tc>
              <w:tc>
                <w:tcPr>
                  <w:tcW w:w="623"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994.50</w:t>
                  </w:r>
                </w:p>
              </w:tc>
              <w:tc>
                <w:tcPr>
                  <w:tcW w:w="618"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193.40</w:t>
                  </w:r>
                </w:p>
              </w:tc>
              <w:tc>
                <w:tcPr>
                  <w:tcW w:w="675"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312.74</w:t>
                  </w:r>
                </w:p>
              </w:tc>
              <w:tc>
                <w:tcPr>
                  <w:tcW w:w="647"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378.38</w:t>
                  </w:r>
                </w:p>
              </w:tc>
              <w:tc>
                <w:tcPr>
                  <w:tcW w:w="619"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6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4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75"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6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r>
            <w:tr>
              <w:tblPrEx>
                <w:tblCellMar>
                  <w:top w:w="0" w:type="dxa"/>
                  <w:left w:w="108" w:type="dxa"/>
                  <w:bottom w:w="0" w:type="dxa"/>
                  <w:right w:w="108" w:type="dxa"/>
                </w:tblCellMar>
              </w:tblPrEx>
              <w:trPr>
                <w:trHeight w:val="601" w:hRule="atLeast"/>
                <w:jc w:val="center"/>
              </w:trPr>
              <w:tc>
                <w:tcPr>
                  <w:tcW w:w="716" w:type="dxa"/>
                  <w:tcBorders>
                    <w:top w:val="nil"/>
                    <w:left w:val="single" w:color="auto" w:sz="4" w:space="0"/>
                    <w:bottom w:val="single" w:color="auto" w:sz="4" w:space="0"/>
                    <w:right w:val="single" w:color="auto" w:sz="4" w:space="0"/>
                  </w:tcBorders>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提成率</w:t>
                  </w:r>
                </w:p>
              </w:tc>
              <w:tc>
                <w:tcPr>
                  <w:tcW w:w="819"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12"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23"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18"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75"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47"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19"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6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4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75"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6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3.97%</w:t>
                  </w:r>
                </w:p>
              </w:tc>
            </w:tr>
            <w:tr>
              <w:tblPrEx>
                <w:tblCellMar>
                  <w:top w:w="0" w:type="dxa"/>
                  <w:left w:w="108" w:type="dxa"/>
                  <w:bottom w:w="0" w:type="dxa"/>
                  <w:right w:w="108" w:type="dxa"/>
                </w:tblCellMar>
              </w:tblPrEx>
              <w:trPr>
                <w:trHeight w:val="620" w:hRule="atLeast"/>
                <w:jc w:val="center"/>
              </w:trPr>
              <w:tc>
                <w:tcPr>
                  <w:tcW w:w="716" w:type="dxa"/>
                  <w:tcBorders>
                    <w:top w:val="nil"/>
                    <w:left w:val="single" w:color="auto" w:sz="4" w:space="0"/>
                    <w:bottom w:val="single" w:color="auto" w:sz="4" w:space="0"/>
                    <w:right w:val="single" w:color="auto" w:sz="4" w:space="0"/>
                  </w:tcBorders>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现金流</w:t>
                  </w:r>
                </w:p>
              </w:tc>
              <w:tc>
                <w:tcPr>
                  <w:tcW w:w="819"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17.72</w:t>
                  </w:r>
                </w:p>
              </w:tc>
              <w:tc>
                <w:tcPr>
                  <w:tcW w:w="612"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30.38</w:t>
                  </w:r>
                </w:p>
              </w:tc>
              <w:tc>
                <w:tcPr>
                  <w:tcW w:w="623"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39.49</w:t>
                  </w:r>
                </w:p>
              </w:tc>
              <w:tc>
                <w:tcPr>
                  <w:tcW w:w="618"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47.39</w:t>
                  </w:r>
                </w:p>
              </w:tc>
              <w:tc>
                <w:tcPr>
                  <w:tcW w:w="675"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52.12</w:t>
                  </w:r>
                </w:p>
              </w:tc>
              <w:tc>
                <w:tcPr>
                  <w:tcW w:w="647"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54.73</w:t>
                  </w:r>
                </w:p>
              </w:tc>
              <w:tc>
                <w:tcPr>
                  <w:tcW w:w="619"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56.37</w:t>
                  </w:r>
                </w:p>
              </w:tc>
              <w:tc>
                <w:tcPr>
                  <w:tcW w:w="66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56.37</w:t>
                  </w:r>
                </w:p>
              </w:tc>
              <w:tc>
                <w:tcPr>
                  <w:tcW w:w="64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56.37</w:t>
                  </w:r>
                </w:p>
              </w:tc>
              <w:tc>
                <w:tcPr>
                  <w:tcW w:w="675"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56.37</w:t>
                  </w:r>
                </w:p>
              </w:tc>
              <w:tc>
                <w:tcPr>
                  <w:tcW w:w="666" w:type="dxa"/>
                  <w:tcBorders>
                    <w:top w:val="nil"/>
                    <w:left w:val="nil"/>
                    <w:bottom w:val="single" w:color="auto" w:sz="4" w:space="0"/>
                    <w:right w:val="single" w:color="auto" w:sz="4" w:space="0"/>
                  </w:tcBorders>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56.37</w:t>
                  </w:r>
                </w:p>
              </w:tc>
            </w:tr>
          </w:tbl>
          <w:p>
            <w:pPr>
              <w:spacing w:line="360" w:lineRule="auto"/>
              <w:ind w:firstLine="241" w:firstLineChars="1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（四）折现率的估算</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折现率，又称期望投资回报率，是基于收益法确定评估价值的重要参数。本次评估的折现率</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采用对比公司的无形资产投资回报率作为技术评估的折现率。</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1､对比公司税前加权资金成本确定（WACCBT）</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WACCBT（Weighted</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Average</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Cost</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of</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Capital</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Before</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Tax）代表期望的总投资税前回报率。它是期望的税前股权回报率和债权回报率的加权平均值，权重取对比公司的股权与债权结构。</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（1）税前股权回报率的确定</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为了确定税前股权回报率，</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利用资本定价模型（Capital</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Asset</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Pricing</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Mode</w:t>
            </w:r>
            <w:r>
              <w:rPr>
                <w:rFonts w:hint="eastAsia" w:ascii="宋体" w:hAnsi="宋体" w:eastAsia="宋体" w:cs="宋体"/>
                <w:color w:val="000000"/>
                <w:sz w:val="24"/>
                <w:szCs w:val="24"/>
                <w:lang w:val="en-US" w:eastAsia="zh-CN"/>
              </w:rPr>
              <w:t>l</w:t>
            </w:r>
            <w:r>
              <w:rPr>
                <w:rFonts w:hint="eastAsia" w:ascii="宋体" w:hAnsi="宋体" w:eastAsia="宋体" w:cs="宋体"/>
                <w:color w:val="000000"/>
                <w:sz w:val="24"/>
                <w:szCs w:val="24"/>
              </w:rPr>
              <w:t>or“CAPM”）。CAPM是通常估算投资者收益要求并进而求取公司股权收益率的方法。它可以用下列公式表述：</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R</w:t>
            </w:r>
            <w:r>
              <w:rPr>
                <w:rFonts w:hint="eastAsia" w:ascii="宋体" w:hAnsi="宋体" w:eastAsia="宋体" w:cs="宋体"/>
                <w:color w:val="000000"/>
                <w:sz w:val="24"/>
                <w:szCs w:val="24"/>
                <w:vertAlign w:val="subscript"/>
              </w:rPr>
              <w:t>e</w:t>
            </w:r>
            <w:r>
              <w:rPr>
                <w:rFonts w:hint="eastAsia" w:ascii="宋体" w:hAnsi="宋体" w:eastAsia="宋体" w:cs="宋体"/>
                <w:color w:val="000000"/>
                <w:sz w:val="24"/>
                <w:szCs w:val="24"/>
              </w:rPr>
              <w:t>＝（Rf＋β×ERP＋R</w:t>
            </w:r>
            <w:r>
              <w:rPr>
                <w:rFonts w:hint="eastAsia" w:ascii="宋体" w:hAnsi="宋体" w:eastAsia="宋体" w:cs="宋体"/>
                <w:color w:val="000000"/>
                <w:sz w:val="24"/>
                <w:szCs w:val="24"/>
                <w:vertAlign w:val="subscript"/>
              </w:rPr>
              <w:t>s</w:t>
            </w:r>
            <w:r>
              <w:rPr>
                <w:rFonts w:hint="eastAsia" w:ascii="宋体" w:hAnsi="宋体" w:eastAsia="宋体" w:cs="宋体"/>
                <w:color w:val="000000"/>
                <w:sz w:val="24"/>
                <w:szCs w:val="24"/>
              </w:rPr>
              <w:t>）／（1-T）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其中：R</w:t>
            </w:r>
            <w:r>
              <w:rPr>
                <w:rFonts w:hint="eastAsia" w:ascii="宋体" w:hAnsi="宋体" w:eastAsia="宋体" w:cs="宋体"/>
                <w:color w:val="000000"/>
                <w:sz w:val="24"/>
                <w:szCs w:val="24"/>
                <w:vertAlign w:val="subscript"/>
              </w:rPr>
              <w:t>e</w:t>
            </w:r>
            <w:r>
              <w:rPr>
                <w:rFonts w:hint="eastAsia" w:ascii="宋体" w:hAnsi="宋体" w:eastAsia="宋体" w:cs="宋体"/>
                <w:color w:val="000000"/>
                <w:sz w:val="24"/>
                <w:szCs w:val="24"/>
              </w:rPr>
              <w:t>为股权回报率；Rf为无风险回报率；β为风险系数；ERP为市场风险超额回报率；R</w:t>
            </w:r>
            <w:r>
              <w:rPr>
                <w:rFonts w:hint="eastAsia" w:ascii="宋体" w:hAnsi="宋体" w:eastAsia="宋体" w:cs="宋体"/>
                <w:color w:val="000000"/>
                <w:sz w:val="24"/>
                <w:szCs w:val="24"/>
                <w:vertAlign w:val="subscript"/>
              </w:rPr>
              <w:t>s</w:t>
            </w:r>
            <w:r>
              <w:rPr>
                <w:rFonts w:hint="eastAsia" w:ascii="宋体" w:hAnsi="宋体" w:eastAsia="宋体" w:cs="宋体"/>
                <w:color w:val="000000"/>
                <w:sz w:val="24"/>
                <w:szCs w:val="24"/>
              </w:rPr>
              <w:t>为公司特有风险超额回报率</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T为适用所得税。</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fldChar w:fldCharType="begin"/>
            </w:r>
            <w:r>
              <w:rPr>
                <w:rFonts w:hint="eastAsia" w:ascii="宋体" w:hAnsi="宋体" w:eastAsia="宋体" w:cs="宋体"/>
                <w:color w:val="000000"/>
                <w:sz w:val="24"/>
                <w:szCs w:val="24"/>
              </w:rPr>
              <w:instrText xml:space="preserve"> = 1 \* GB3 </w:instrText>
            </w:r>
            <w:r>
              <w:rPr>
                <w:rFonts w:hint="eastAsia" w:ascii="宋体" w:hAnsi="宋体" w:eastAsia="宋体" w:cs="宋体"/>
                <w:color w:val="000000"/>
                <w:sz w:val="24"/>
                <w:szCs w:val="24"/>
              </w:rPr>
              <w:fldChar w:fldCharType="separate"/>
            </w:r>
            <w:r>
              <w:rPr>
                <w:rFonts w:hint="eastAsia" w:ascii="宋体" w:hAnsi="宋体" w:eastAsia="宋体" w:cs="宋体"/>
                <w:color w:val="000000"/>
                <w:sz w:val="24"/>
                <w:szCs w:val="24"/>
              </w:rPr>
              <w:t>①</w:t>
            </w:r>
            <w:r>
              <w:rPr>
                <w:rFonts w:hint="eastAsia" w:ascii="宋体" w:hAnsi="宋体" w:eastAsia="宋体" w:cs="宋体"/>
                <w:color w:val="000000"/>
                <w:sz w:val="24"/>
                <w:szCs w:val="24"/>
              </w:rPr>
              <w:fldChar w:fldCharType="end"/>
            </w:r>
            <w:r>
              <w:rPr>
                <w:rFonts w:hint="eastAsia" w:ascii="宋体" w:hAnsi="宋体" w:eastAsia="宋体" w:cs="宋体"/>
                <w:color w:val="000000"/>
                <w:sz w:val="24"/>
                <w:szCs w:val="24"/>
              </w:rPr>
              <w:t>确定无风险收益率</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国债收益率通常被认为是无风险的，因为持有该债权到期不能兑付的风险很小，可以忽略不计。</w:t>
            </w:r>
            <w:r>
              <w:rPr>
                <w:rFonts w:hint="eastAsia" w:ascii="宋体" w:hAnsi="宋体" w:eastAsia="宋体" w:cs="宋体"/>
                <w:color w:val="000000"/>
                <w:sz w:val="24"/>
                <w:szCs w:val="24"/>
                <w:lang w:val="en-US" w:eastAsia="zh-CN"/>
              </w:rPr>
              <w:t>本案例通过</w:t>
            </w:r>
            <w:r>
              <w:rPr>
                <w:rFonts w:hint="eastAsia" w:ascii="宋体" w:hAnsi="宋体" w:eastAsia="宋体" w:cs="宋体"/>
                <w:color w:val="000000"/>
                <w:sz w:val="24"/>
                <w:szCs w:val="24"/>
              </w:rPr>
              <w:t>在沪、深两市选择从评估基准日到国债到期日剩余期限超过10年期的国债，并计算其到期收益率，取所有国债到期收益率的平均值4.14%作为本次评估无风险收益率。</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fldChar w:fldCharType="begin"/>
            </w:r>
            <w:r>
              <w:rPr>
                <w:rFonts w:hint="eastAsia" w:ascii="宋体" w:hAnsi="宋体" w:eastAsia="宋体" w:cs="宋体"/>
                <w:color w:val="000000"/>
                <w:sz w:val="24"/>
                <w:szCs w:val="24"/>
              </w:rPr>
              <w:instrText xml:space="preserve"> = 2 \* GB3 </w:instrText>
            </w:r>
            <w:r>
              <w:rPr>
                <w:rFonts w:hint="eastAsia" w:ascii="宋体" w:hAnsi="宋体" w:eastAsia="宋体" w:cs="宋体"/>
                <w:color w:val="000000"/>
                <w:sz w:val="24"/>
                <w:szCs w:val="24"/>
              </w:rPr>
              <w:fldChar w:fldCharType="separate"/>
            </w:r>
            <w:r>
              <w:rPr>
                <w:rFonts w:hint="eastAsia" w:ascii="宋体" w:hAnsi="宋体" w:eastAsia="宋体" w:cs="宋体"/>
                <w:color w:val="000000"/>
                <w:sz w:val="24"/>
                <w:szCs w:val="24"/>
              </w:rPr>
              <w:t>②</w:t>
            </w:r>
            <w:r>
              <w:rPr>
                <w:rFonts w:hint="eastAsia" w:ascii="宋体" w:hAnsi="宋体" w:eastAsia="宋体" w:cs="宋体"/>
                <w:color w:val="000000"/>
                <w:sz w:val="24"/>
                <w:szCs w:val="24"/>
              </w:rPr>
              <w:fldChar w:fldCharType="end"/>
            </w:r>
            <w:r>
              <w:rPr>
                <w:rFonts w:hint="eastAsia" w:ascii="宋体" w:hAnsi="宋体" w:eastAsia="宋体" w:cs="宋体"/>
                <w:color w:val="000000"/>
                <w:sz w:val="24"/>
                <w:szCs w:val="24"/>
              </w:rPr>
              <w:t>确定股权风险收益率</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股权风险收益率是投资者投资股票市场所期望的超过无风险收益率的部分。</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按如下方式计算中国股市的股权风险收益率</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ERP</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确定衡量股市整体变化的指数：估算股票市场的投资回报率首先需要确定一个衡量股市波动变化的指数。</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在估算中国市场ERP时选用了沪深300指数。沪深300指数是2005年4月8日沪深交易所联合发布的第一只跨市场指数，该指数由沪深A股中规模大、流动性好、最具代表性的300只股票组成，以综合反映沪深A股市场整体表现。沪深300指数为成份指数，以指数成份股自由流通股本分级靠档后的调整股本作为权重，因此选择该指数成份股可以更真实反映市场中投资收益的情况。</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收益率计算年期的选择：所谓收益率计算年期就是考虑到股票价格是随机波动的，存在不确定性，因此为了合理稀释由于股票非系统波动所产生的扰动，</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需要估算一定长度年限股票投资的平均收益率，以最大程度地降低股票非系统波动所可能产生的差异。考虑到中国股市股票波动的特性，</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选择10年为间隔期为计算ERP的计算年期，也就是说每只成份股的投资回报率都是需要计算其十年的平均值投资回报率作为其未来可能的期望投资回报率。另一方面，</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知道中国股市起始于上世纪90年代初期，但最初几年发展极不规范，直到1997年之后才逐渐走上正规，考虑到上述情况，</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在测算中国股市ERP时，计算的最早滚动时间起始于1997年，</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具体采用“向前滚动”的方法分别计算了2008、2009、2010、…2016和2017年的ERP，也就是2008年ERP的计算采用的年期为1999年到2008年数据，该年度ERP的含义是如果在1999年购买指数成份股股票持有到2008年后每年平均超额收益率；2007年的ERP计算采用的年限为1999年到2008年，该年度ERP的含义是如果在1999年购买指数成份股股票持有到2008年后每年平均超额收益率；以此类推，当计算2017年ERP时</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采用的年限为2008年到2017年（10年年期），该年度ERP的含义是如果在2008年购买指数成份股股票持有到2017年后每年平均超额收益率。</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指数成份</w:t>
            </w:r>
            <w:r>
              <w:rPr>
                <w:rFonts w:hint="eastAsia" w:ascii="宋体" w:hAnsi="宋体" w:eastAsia="宋体" w:cs="宋体"/>
                <w:color w:val="000000"/>
                <w:sz w:val="24"/>
                <w:szCs w:val="24"/>
                <w:lang w:val="en-US" w:eastAsia="zh-CN"/>
              </w:rPr>
              <w:t>股的确定：沪深300指数的成份股每年是发生变化的，因此本案例在估算时采用每年年底时沪深300指数的成份股，即当计算2015年ERP时采用2015年底沪深300指数的成份股；计算2014年ERP时采用沪深300指数2014年底的成份股。</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数据的采集：本次ERP测算</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借助Wind资讯的数据系统提供所选择的各成份股每年年末的交易收盘价。由于成份股收益中应该包括每年分红、派息等产生的收益，因此</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需要考虑所谓分红、派息等产生的收益，为此</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选用的年末收盘价是Wind数据中的年末“复权”价。例如在计算2015年ERP时选用数据是从2006-12-31起至2015-12-31止的以1997年12月31日为基准的年末复权价，上述价格中已经有效的将每年由于分红、派息等产生的收益反映在价格中。</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年收益率的计算采用算术平均值和几何平均值两种计算方法：</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算术平均值计算方法：</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设：每年收益率为R</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，则：</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R</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－P</w:t>
            </w:r>
            <w:r>
              <w:rPr>
                <w:rFonts w:hint="eastAsia" w:ascii="宋体" w:hAnsi="宋体" w:eastAsia="宋体" w:cs="宋体"/>
                <w:color w:val="000000"/>
                <w:sz w:val="24"/>
                <w:szCs w:val="24"/>
                <w:vertAlign w:val="subscript"/>
              </w:rPr>
              <w:t>i-1</w:t>
            </w:r>
            <w:r>
              <w:rPr>
                <w:rFonts w:hint="eastAsia" w:ascii="宋体" w:hAnsi="宋体" w:eastAsia="宋体" w:cs="宋体"/>
                <w:color w:val="000000"/>
                <w:sz w:val="24"/>
                <w:szCs w:val="24"/>
              </w:rPr>
              <w:t>)/P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(i=1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N)</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式中：R</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为第i年收益率，P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为第i年年末交易收盘价(复权)</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设第1年到第n年的收益平均值为A</w:t>
            </w:r>
            <w:r>
              <w:rPr>
                <w:rFonts w:hint="eastAsia" w:ascii="宋体" w:hAnsi="宋体" w:eastAsia="宋体" w:cs="宋体"/>
                <w:color w:val="000000"/>
                <w:sz w:val="24"/>
                <w:szCs w:val="24"/>
                <w:vertAlign w:val="subscript"/>
              </w:rPr>
              <w:t>n</w:t>
            </w:r>
            <w:r>
              <w:rPr>
                <w:rFonts w:hint="eastAsia" w:ascii="宋体" w:hAnsi="宋体" w:eastAsia="宋体" w:cs="宋体"/>
                <w:color w:val="000000"/>
                <w:sz w:val="24"/>
                <w:szCs w:val="24"/>
              </w:rPr>
              <w:t>，则：</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object>
                <v:shape id="_x0000_i1029" o:spt="75" type="#_x0000_t75" style="height:40.95pt;width:80pt;" o:ole="t" filled="f" o:preferrelative="t" stroked="f" coordsize="21600,21600">
                  <v:path/>
                  <v:fill on="f" alignshape="1" focussize="0,0"/>
                  <v:stroke on="f"/>
                  <v:imagedata r:id="rId10" o:title=""/>
                  <o:lock v:ext="edit" aspectratio="t"/>
                  <w10:wrap type="none"/>
                  <w10:anchorlock/>
                </v:shape>
                <o:OLEObject Type="Embed" ProgID="Equation.3" ShapeID="_x0000_i1029" DrawAspect="Content" ObjectID="_1468075729" r:id="rId9">
                  <o:LockedField>false</o:LockedField>
                </o:OLEObject>
              </w:objec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式中：A</w:t>
            </w:r>
            <w:r>
              <w:rPr>
                <w:rFonts w:hint="eastAsia" w:ascii="宋体" w:hAnsi="宋体" w:eastAsia="宋体" w:cs="宋体"/>
                <w:color w:val="000000"/>
                <w:sz w:val="24"/>
                <w:szCs w:val="24"/>
                <w:vertAlign w:val="subscript"/>
              </w:rPr>
              <w:t>n</w:t>
            </w:r>
            <w:r>
              <w:rPr>
                <w:rFonts w:hint="eastAsia" w:ascii="宋体" w:hAnsi="宋体" w:eastAsia="宋体" w:cs="宋体"/>
                <w:color w:val="000000"/>
                <w:sz w:val="24"/>
                <w:szCs w:val="24"/>
              </w:rPr>
              <w:t>为第1年到第n年收益率的算术平均值，n=1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9，N是计算每年ERP时的有效年限。</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几何平均值计算方法：</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设第1年到第i年的几何平均值为Ci，则：</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object>
                <v:shape id="_x0000_i1030" o:spt="75" type="#_x0000_t75" style="height:27.1pt;width:108.05pt;" o:ole="t" filled="f" o:preferrelative="t" stroked="f" coordsize="21600,21600">
                  <v:path/>
                  <v:fill on="f" alignshape="1" focussize="0,0"/>
                  <v:stroke on="f"/>
                  <v:imagedata r:id="rId12" o:title=""/>
                  <o:lock v:ext="edit" aspectratio="t"/>
                  <w10:wrap type="none"/>
                  <w10:anchorlock/>
                </v:shape>
                <o:OLEObject Type="Embed" ProgID="Equation.3" ShapeID="_x0000_i1030" DrawAspect="Content" ObjectID="_1468075730" r:id="rId11">
                  <o:LockedField>false</o:LockedField>
                </o:OLEObject>
              </w:object>
            </w:r>
            <w:r>
              <w:rPr>
                <w:rFonts w:hint="eastAsia" w:ascii="宋体" w:hAnsi="宋体" w:eastAsia="宋体" w:cs="宋体"/>
                <w:color w:val="000000"/>
                <w:sz w:val="24"/>
                <w:szCs w:val="24"/>
              </w:rPr>
              <w:t>(i=2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N)</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式中：P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为第i年年末交易收盘价(后复权)</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无风险收益率R</w:t>
            </w:r>
            <w:r>
              <w:rPr>
                <w:rFonts w:hint="eastAsia" w:ascii="宋体" w:hAnsi="宋体" w:eastAsia="宋体" w:cs="宋体"/>
                <w:color w:val="000000"/>
                <w:sz w:val="24"/>
                <w:szCs w:val="24"/>
                <w:vertAlign w:val="subscript"/>
              </w:rPr>
              <w:t>fi</w:t>
            </w:r>
            <w:r>
              <w:rPr>
                <w:rFonts w:hint="eastAsia" w:ascii="宋体" w:hAnsi="宋体" w:eastAsia="宋体" w:cs="宋体"/>
                <w:color w:val="000000"/>
                <w:sz w:val="24"/>
                <w:szCs w:val="24"/>
              </w:rPr>
              <w:t>的估算：为了估算每年的ERP，需要估算计算期每年的无风险收益率R</w:t>
            </w:r>
            <w:r>
              <w:rPr>
                <w:rFonts w:hint="eastAsia" w:ascii="宋体" w:hAnsi="宋体" w:eastAsia="宋体" w:cs="宋体"/>
                <w:color w:val="000000"/>
                <w:sz w:val="24"/>
                <w:szCs w:val="24"/>
                <w:vertAlign w:val="subscript"/>
              </w:rPr>
              <w:t>fi</w:t>
            </w:r>
            <w:r>
              <w:rPr>
                <w:rFonts w:hint="eastAsia" w:ascii="宋体" w:hAnsi="宋体" w:eastAsia="宋体" w:cs="宋体"/>
                <w:color w:val="000000"/>
                <w:sz w:val="24"/>
                <w:szCs w:val="24"/>
              </w:rPr>
              <w:t>，本次测算</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采用国债的到期收益率（Yieldto</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Maturate</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Rate）作为无风险收益率。</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首先选择每年年末距到期日剩余年限超过5年的国债，然后根据国债每年年末距到期日的剩余年限的长短将国债分为两部分，分别为每年年末距国债到期日剩余年限超过5年但少于10年的国债和每年年末距国债到期日剩余年限超过10年的国债，最后分别计算上述两类国债到期收益率的平均值作为每年年末的距到期剩余年限超过10年无风险收益率Rf和距到期剩余年限超过5年但小于10年的R</w:t>
            </w:r>
            <w:r>
              <w:rPr>
                <w:rFonts w:hint="eastAsia" w:ascii="宋体" w:hAnsi="宋体" w:eastAsia="宋体" w:cs="宋体"/>
                <w:color w:val="000000"/>
                <w:sz w:val="24"/>
                <w:szCs w:val="24"/>
                <w:vertAlign w:val="subscript"/>
              </w:rPr>
              <w:t>f</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将每年沪深300指数成份股收益算术平均值或几何平均值计算出来后，需要将300个股票收益率计算平均值作为本年算术或几何平均值的计算ERP结论，这个平均值</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采用加权平均的方式，权重则选择每个成份股在沪深300指数计算中的权重；每年ERP的估算分别采用如下方式：</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算术平均值法：</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ERP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=A</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－Rf</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(i=1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N)</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几何平均值法：</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ERP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=C</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－Rf</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(i=1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N)</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通过估算</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可以分别计算出2008至2018年每年的市场风险超额收益率ERP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如下：</w:t>
            </w:r>
          </w:p>
          <w:p>
            <w:pPr>
              <w:spacing w:line="50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表18 </w:t>
            </w:r>
            <w:r>
              <w:rPr>
                <w:rFonts w:hint="eastAsia" w:ascii="宋体" w:hAnsi="宋体" w:eastAsia="宋体" w:cs="宋体"/>
                <w:sz w:val="24"/>
                <w:szCs w:val="24"/>
              </w:rPr>
              <w:t>2008至2018年每年的市场风险超额收益率ERP</w:t>
            </w:r>
            <w:r>
              <w:rPr>
                <w:rFonts w:hint="eastAsia" w:ascii="宋体" w:hAnsi="宋体" w:eastAsia="宋体" w:cs="宋体"/>
                <w:sz w:val="24"/>
                <w:szCs w:val="24"/>
                <w:vertAlign w:val="subscript"/>
              </w:rPr>
              <w:t>i</w:t>
            </w:r>
          </w:p>
          <w:tbl>
            <w:tblPr>
              <w:tblStyle w:val="7"/>
              <w:tblW w:w="8614"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451"/>
              <w:gridCol w:w="912"/>
              <w:gridCol w:w="785"/>
              <w:gridCol w:w="785"/>
              <w:gridCol w:w="1032"/>
              <w:gridCol w:w="787"/>
              <w:gridCol w:w="898"/>
              <w:gridCol w:w="1099"/>
              <w:gridCol w:w="838"/>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60"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912"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年分</w:t>
                  </w:r>
                </w:p>
              </w:tc>
              <w:tc>
                <w:tcPr>
                  <w:tcW w:w="785"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R</w:t>
                  </w:r>
                  <w:r>
                    <w:rPr>
                      <w:rFonts w:hint="eastAsia" w:ascii="宋体" w:hAnsi="宋体" w:eastAsia="宋体" w:cs="宋体"/>
                      <w:b w:val="0"/>
                      <w:bCs w:val="0"/>
                      <w:sz w:val="24"/>
                      <w:szCs w:val="24"/>
                      <w:vertAlign w:val="subscript"/>
                    </w:rPr>
                    <w:t>m</w:t>
                  </w:r>
                  <w:r>
                    <w:rPr>
                      <w:rFonts w:hint="eastAsia" w:ascii="宋体" w:hAnsi="宋体" w:eastAsia="宋体" w:cs="宋体"/>
                      <w:b w:val="0"/>
                      <w:bCs w:val="0"/>
                      <w:sz w:val="24"/>
                      <w:szCs w:val="24"/>
                    </w:rPr>
                    <w:t>算术 平均值</w:t>
                  </w:r>
                </w:p>
              </w:tc>
              <w:tc>
                <w:tcPr>
                  <w:tcW w:w="785"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R</w:t>
                  </w:r>
                  <w:r>
                    <w:rPr>
                      <w:rFonts w:hint="eastAsia" w:ascii="宋体" w:hAnsi="宋体" w:eastAsia="宋体" w:cs="宋体"/>
                      <w:b w:val="0"/>
                      <w:bCs w:val="0"/>
                      <w:sz w:val="24"/>
                      <w:szCs w:val="24"/>
                      <w:vertAlign w:val="subscript"/>
                    </w:rPr>
                    <w:t>m</w:t>
                  </w:r>
                  <w:r>
                    <w:rPr>
                      <w:rFonts w:hint="eastAsia" w:ascii="宋体" w:hAnsi="宋体" w:eastAsia="宋体" w:cs="宋体"/>
                      <w:b w:val="0"/>
                      <w:bCs w:val="0"/>
                      <w:sz w:val="24"/>
                      <w:szCs w:val="24"/>
                    </w:rPr>
                    <w:t>几何 平均值</w:t>
                  </w:r>
                </w:p>
              </w:tc>
              <w:tc>
                <w:tcPr>
                  <w:tcW w:w="1032"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无风险收益率R</w:t>
                  </w:r>
                  <w:r>
                    <w:rPr>
                      <w:rFonts w:hint="eastAsia" w:ascii="宋体" w:hAnsi="宋体" w:eastAsia="宋体" w:cs="宋体"/>
                      <w:b w:val="0"/>
                      <w:bCs w:val="0"/>
                      <w:sz w:val="24"/>
                      <w:szCs w:val="24"/>
                      <w:vertAlign w:val="subscript"/>
                    </w:rPr>
                    <w:t>f</w:t>
                  </w:r>
                  <w:r>
                    <w:rPr>
                      <w:rFonts w:hint="eastAsia" w:ascii="宋体" w:hAnsi="宋体" w:eastAsia="宋体" w:cs="宋体"/>
                      <w:b w:val="0"/>
                      <w:bCs w:val="0"/>
                      <w:sz w:val="24"/>
                      <w:szCs w:val="24"/>
                    </w:rPr>
                    <w:t>(距到期剩余年限超过10年)</w:t>
                  </w:r>
                </w:p>
              </w:tc>
              <w:tc>
                <w:tcPr>
                  <w:tcW w:w="787"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ERP=Rm算术平均值-R</w:t>
                  </w:r>
                  <w:r>
                    <w:rPr>
                      <w:rFonts w:hint="eastAsia" w:ascii="宋体" w:hAnsi="宋体" w:eastAsia="宋体" w:cs="宋体"/>
                      <w:b w:val="0"/>
                      <w:bCs w:val="0"/>
                      <w:sz w:val="24"/>
                      <w:szCs w:val="24"/>
                      <w:vertAlign w:val="subscript"/>
                    </w:rPr>
                    <w:t>f</w:t>
                  </w:r>
                </w:p>
              </w:tc>
              <w:tc>
                <w:tcPr>
                  <w:tcW w:w="898"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ERP=Rm几何平均值-R</w:t>
                  </w:r>
                  <w:r>
                    <w:rPr>
                      <w:rFonts w:hint="eastAsia" w:ascii="宋体" w:hAnsi="宋体" w:eastAsia="宋体" w:cs="宋体"/>
                      <w:b w:val="0"/>
                      <w:bCs w:val="0"/>
                      <w:sz w:val="24"/>
                      <w:szCs w:val="24"/>
                      <w:vertAlign w:val="subscript"/>
                    </w:rPr>
                    <w:t>f</w:t>
                  </w:r>
                </w:p>
              </w:tc>
              <w:tc>
                <w:tcPr>
                  <w:tcW w:w="1099" w:type="dxa"/>
                  <w:noWrap w:val="0"/>
                  <w:vAlign w:val="center"/>
                </w:tcPr>
                <w:p>
                  <w:pPr>
                    <w:spacing w:before="100" w:beforeAutospacing="1" w:after="100" w:afterAutospacing="1" w:line="240" w:lineRule="exact"/>
                    <w:jc w:val="center"/>
                    <w:rPr>
                      <w:rFonts w:hint="eastAsia" w:ascii="宋体" w:hAnsi="宋体" w:eastAsia="宋体" w:cs="宋体"/>
                      <w:b w:val="0"/>
                      <w:bCs w:val="0"/>
                      <w:w w:val="80"/>
                      <w:sz w:val="24"/>
                      <w:szCs w:val="24"/>
                    </w:rPr>
                  </w:pPr>
                  <w:r>
                    <w:rPr>
                      <w:rFonts w:hint="eastAsia" w:ascii="宋体" w:hAnsi="宋体" w:eastAsia="宋体" w:cs="宋体"/>
                      <w:b w:val="0"/>
                      <w:bCs w:val="0"/>
                      <w:w w:val="80"/>
                      <w:sz w:val="24"/>
                      <w:szCs w:val="24"/>
                    </w:rPr>
                    <w:t>无风险收益率R</w:t>
                  </w:r>
                  <w:r>
                    <w:rPr>
                      <w:rFonts w:hint="eastAsia" w:ascii="宋体" w:hAnsi="宋体" w:eastAsia="宋体" w:cs="宋体"/>
                      <w:b w:val="0"/>
                      <w:bCs w:val="0"/>
                      <w:w w:val="80"/>
                      <w:sz w:val="24"/>
                      <w:szCs w:val="24"/>
                      <w:vertAlign w:val="subscript"/>
                    </w:rPr>
                    <w:t>f</w:t>
                  </w:r>
                  <w:r>
                    <w:rPr>
                      <w:rFonts w:hint="eastAsia" w:ascii="宋体" w:hAnsi="宋体" w:eastAsia="宋体" w:cs="宋体"/>
                      <w:b w:val="0"/>
                      <w:bCs w:val="0"/>
                      <w:w w:val="80"/>
                      <w:sz w:val="24"/>
                      <w:szCs w:val="24"/>
                    </w:rPr>
                    <w:t>(距到期剩余年限超过5年但小于10年)</w:t>
                  </w:r>
                </w:p>
              </w:tc>
              <w:tc>
                <w:tcPr>
                  <w:tcW w:w="838"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ERP=R</w:t>
                  </w:r>
                  <w:r>
                    <w:rPr>
                      <w:rFonts w:hint="eastAsia" w:ascii="宋体" w:hAnsi="宋体" w:eastAsia="宋体" w:cs="宋体"/>
                      <w:b w:val="0"/>
                      <w:bCs w:val="0"/>
                      <w:sz w:val="24"/>
                      <w:szCs w:val="24"/>
                      <w:vertAlign w:val="subscript"/>
                    </w:rPr>
                    <w:t>m</w:t>
                  </w:r>
                  <w:r>
                    <w:rPr>
                      <w:rFonts w:hint="eastAsia" w:ascii="宋体" w:hAnsi="宋体" w:eastAsia="宋体" w:cs="宋体"/>
                      <w:b w:val="0"/>
                      <w:bCs w:val="0"/>
                      <w:sz w:val="24"/>
                      <w:szCs w:val="24"/>
                    </w:rPr>
                    <w:t>算术平均值-R</w:t>
                  </w:r>
                  <w:r>
                    <w:rPr>
                      <w:rFonts w:hint="eastAsia" w:ascii="宋体" w:hAnsi="宋体" w:eastAsia="宋体" w:cs="宋体"/>
                      <w:b w:val="0"/>
                      <w:bCs w:val="0"/>
                      <w:sz w:val="24"/>
                      <w:szCs w:val="24"/>
                      <w:vertAlign w:val="subscript"/>
                    </w:rPr>
                    <w:t>f</w:t>
                  </w:r>
                </w:p>
              </w:tc>
              <w:tc>
                <w:tcPr>
                  <w:tcW w:w="1027"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ERP=R</w:t>
                  </w:r>
                  <w:r>
                    <w:rPr>
                      <w:rFonts w:hint="eastAsia" w:ascii="宋体" w:hAnsi="宋体" w:eastAsia="宋体" w:cs="宋体"/>
                      <w:b w:val="0"/>
                      <w:bCs w:val="0"/>
                      <w:sz w:val="24"/>
                      <w:szCs w:val="24"/>
                      <w:vertAlign w:val="subscript"/>
                    </w:rPr>
                    <w:t>m</w:t>
                  </w:r>
                  <w:r>
                    <w:rPr>
                      <w:rFonts w:hint="eastAsia" w:ascii="宋体" w:hAnsi="宋体" w:eastAsia="宋体" w:cs="宋体"/>
                      <w:b w:val="0"/>
                      <w:bCs w:val="0"/>
                      <w:sz w:val="24"/>
                      <w:szCs w:val="24"/>
                    </w:rPr>
                    <w:t>几何平均值-R</w:t>
                  </w:r>
                  <w:r>
                    <w:rPr>
                      <w:rFonts w:hint="eastAsia" w:ascii="宋体" w:hAnsi="宋体" w:eastAsia="宋体" w:cs="宋体"/>
                      <w:b w:val="0"/>
                      <w:bCs w:val="0"/>
                      <w:sz w:val="24"/>
                      <w:szCs w:val="24"/>
                      <w:vertAlign w:val="subscript"/>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2009</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45.41%</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16.89%</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4.09%</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41.32%</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12.80%</w:t>
                  </w:r>
                </w:p>
              </w:tc>
              <w:tc>
                <w:tcPr>
                  <w:tcW w:w="1099" w:type="dxa"/>
                  <w:noWrap w:val="0"/>
                  <w:vAlign w:val="center"/>
                </w:tcPr>
                <w:p>
                  <w:pPr>
                    <w:spacing w:before="100" w:beforeAutospacing="1" w:after="100" w:afterAutospacing="1" w:line="240" w:lineRule="exact"/>
                    <w:jc w:val="center"/>
                    <w:rPr>
                      <w:rFonts w:hint="eastAsia" w:ascii="宋体" w:hAnsi="宋体" w:eastAsia="宋体" w:cs="宋体"/>
                      <w:w w:val="80"/>
                      <w:sz w:val="24"/>
                      <w:szCs w:val="24"/>
                    </w:rPr>
                  </w:pPr>
                  <w:r>
                    <w:rPr>
                      <w:rFonts w:hint="eastAsia" w:ascii="宋体" w:hAnsi="宋体" w:eastAsia="宋体" w:cs="宋体"/>
                      <w:w w:val="80"/>
                      <w:sz w:val="24"/>
                      <w:szCs w:val="24"/>
                    </w:rPr>
                    <w:t>3.54%</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41.87%</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2010</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41.43%</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15.10%</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4.25%</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37.18%</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10.85%</w:t>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3.83%</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37.60%</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2011</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25.44%</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0.12%</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3.98%</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21.46%</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-3.86%</w:t>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3.41%</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22.03%</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2012</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25.40%</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1.60%</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4.15%</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21.25%</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-2.55%</w:t>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3.50%</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21.90%</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5</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2013</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24.69%</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4.26%</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4.32%</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20.37%</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-0.06%</w:t>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3.88%</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20.81%</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6</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2014</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41.88%</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20.69%</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4.31%</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37.57%</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16.37%</w:t>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3.73%</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38.15%</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7</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2015</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31.27%</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15.55%</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4.12%</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27.15%</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11.43%</w:t>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3.29%</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27.98%</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8</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2016</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17.57%</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6.48%</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3.91%</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13.66%</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2.57%</w:t>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3.09%</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14.48%</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9</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2017</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25.68%</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18.81%</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4.23%</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21.45%</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14.58%</w:t>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3.68%</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22.00%</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10</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2018</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13.42%</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7.31%</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4.01%</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9.41%</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3.30%</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INCLUDEPICTURE "/var/folders/3n/8yhjfgm95y97w_4c1fm8zrvh0000gn/T/com.microsoft.Word/WebArchiveCopyPasteTempFiles/page3image71224" \* MERGEFORMATINET </w:instrText>
                  </w:r>
                  <w:r>
                    <w:rPr>
                      <w:rFonts w:hint="eastAsia" w:ascii="宋体" w:hAnsi="宋体" w:eastAsia="宋体" w:cs="宋体"/>
                      <w:sz w:val="24"/>
                      <w:szCs w:val="24"/>
                    </w:rPr>
                    <w:fldChar w:fldCharType="separate"/>
                  </w:r>
                  <w:r>
                    <w:rPr>
                      <w:rFonts w:hint="eastAsia" w:ascii="宋体" w:hAnsi="宋体" w:eastAsia="宋体" w:cs="宋体"/>
                      <w:sz w:val="24"/>
                      <w:szCs w:val="24"/>
                    </w:rPr>
                    <w:drawing>
                      <wp:inline distT="0" distB="0" distL="114300" distR="114300">
                        <wp:extent cx="13970" cy="13970"/>
                        <wp:effectExtent l="0" t="0" r="5080" b="0"/>
                        <wp:docPr id="2" name="图片 3" descr="page3image7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page3image71224"/>
                                <pic:cNvPicPr>
                                  <a:picLocks noChangeAspect="1"/>
                                </pic:cNvPicPr>
                              </pic:nvPicPr>
                              <pic:blipFill>
                                <a:blip r:embed="rId13"/>
                                <a:stretch>
                                  <a:fillRect/>
                                </a:stretch>
                              </pic:blipFill>
                              <pic:spPr>
                                <a:xfrm>
                                  <a:off x="0" y="0"/>
                                  <a:ext cx="13970" cy="13970"/>
                                </a:xfrm>
                                <a:prstGeom prst="rect">
                                  <a:avLst/>
                                </a:prstGeom>
                                <a:noFill/>
                                <a:ln>
                                  <a:noFill/>
                                </a:ln>
                              </pic:spPr>
                            </pic:pic>
                          </a:graphicData>
                        </a:graphic>
                      </wp:inline>
                    </w:drawing>
                  </w:r>
                  <w:r>
                    <w:rPr>
                      <w:rFonts w:hint="eastAsia" w:ascii="宋体" w:hAnsi="宋体" w:eastAsia="宋体" w:cs="宋体"/>
                      <w:sz w:val="24"/>
                      <w:szCs w:val="24"/>
                    </w:rPr>
                    <w:fldChar w:fldCharType="end"/>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INCLUDEPICTURE "/var/folders/3n/8yhjfgm95y97w_4c1fm8zrvh0000gn/T/com.microsoft.Word/WebArchiveCopyPasteTempFiles/page3image71384" \* MERGEFORMATINET </w:instrText>
                  </w:r>
                  <w:r>
                    <w:rPr>
                      <w:rFonts w:hint="eastAsia" w:ascii="宋体" w:hAnsi="宋体" w:eastAsia="宋体" w:cs="宋体"/>
                      <w:sz w:val="24"/>
                      <w:szCs w:val="24"/>
                    </w:rPr>
                    <w:fldChar w:fldCharType="separate"/>
                  </w:r>
                  <w:r>
                    <w:rPr>
                      <w:rFonts w:hint="eastAsia" w:ascii="宋体" w:hAnsi="宋体" w:eastAsia="宋体" w:cs="宋体"/>
                      <w:sz w:val="24"/>
                      <w:szCs w:val="24"/>
                    </w:rPr>
                    <w:drawing>
                      <wp:inline distT="0" distB="0" distL="114300" distR="114300">
                        <wp:extent cx="13970" cy="13970"/>
                        <wp:effectExtent l="0" t="0" r="5080" b="0"/>
                        <wp:docPr id="1" name="图片 4" descr="page3image7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page3image71384"/>
                                <pic:cNvPicPr>
                                  <a:picLocks noChangeAspect="1"/>
                                </pic:cNvPicPr>
                              </pic:nvPicPr>
                              <pic:blipFill>
                                <a:blip r:embed="rId13"/>
                                <a:stretch>
                                  <a:fillRect/>
                                </a:stretch>
                              </pic:blipFill>
                              <pic:spPr>
                                <a:xfrm>
                                  <a:off x="0" y="0"/>
                                  <a:ext cx="13970" cy="13970"/>
                                </a:xfrm>
                                <a:prstGeom prst="rect">
                                  <a:avLst/>
                                </a:prstGeom>
                                <a:noFill/>
                                <a:ln>
                                  <a:noFill/>
                                </a:ln>
                              </pic:spPr>
                            </pic:pic>
                          </a:graphicData>
                        </a:graphic>
                      </wp:inline>
                    </w:drawing>
                  </w:r>
                  <w:r>
                    <w:rPr>
                      <w:rFonts w:hint="eastAsia" w:ascii="宋体" w:hAnsi="宋体" w:eastAsia="宋体" w:cs="宋体"/>
                      <w:sz w:val="24"/>
                      <w:szCs w:val="24"/>
                    </w:rPr>
                    <w:fldChar w:fldCharType="end"/>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INCLUDEPICTURE "/var/folders/3n/8yhjfgm95y97w_4c1fm8zrvh0000gn/T/com.microsoft.Word/WebArchiveCopyPasteTempFiles/page3image71544" \* MERGEFORMATINET </w:instrText>
                  </w:r>
                  <w:r>
                    <w:rPr>
                      <w:rFonts w:hint="eastAsia" w:ascii="宋体" w:hAnsi="宋体" w:eastAsia="宋体" w:cs="宋体"/>
                      <w:sz w:val="24"/>
                      <w:szCs w:val="24"/>
                    </w:rPr>
                    <w:fldChar w:fldCharType="separate"/>
                  </w:r>
                  <w:r>
                    <w:rPr>
                      <w:rFonts w:hint="eastAsia" w:ascii="宋体" w:hAnsi="宋体" w:eastAsia="宋体" w:cs="宋体"/>
                      <w:sz w:val="24"/>
                      <w:szCs w:val="24"/>
                    </w:rPr>
                    <w:drawing>
                      <wp:inline distT="0" distB="0" distL="114300" distR="114300">
                        <wp:extent cx="13970" cy="13970"/>
                        <wp:effectExtent l="0" t="0" r="5080" b="0"/>
                        <wp:docPr id="3" name="图片 5" descr="page3image7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page3image71544"/>
                                <pic:cNvPicPr>
                                  <a:picLocks noChangeAspect="1"/>
                                </pic:cNvPicPr>
                              </pic:nvPicPr>
                              <pic:blipFill>
                                <a:blip r:embed="rId13"/>
                                <a:stretch>
                                  <a:fillRect/>
                                </a:stretch>
                              </pic:blipFill>
                              <pic:spPr>
                                <a:xfrm>
                                  <a:off x="0" y="0"/>
                                  <a:ext cx="13970" cy="13970"/>
                                </a:xfrm>
                                <a:prstGeom prst="rect">
                                  <a:avLst/>
                                </a:prstGeom>
                                <a:noFill/>
                                <a:ln>
                                  <a:noFill/>
                                </a:ln>
                              </pic:spPr>
                            </pic:pic>
                          </a:graphicData>
                        </a:graphic>
                      </wp:inline>
                    </w:drawing>
                  </w:r>
                  <w:r>
                    <w:rPr>
                      <w:rFonts w:hint="eastAsia" w:ascii="宋体" w:hAnsi="宋体" w:eastAsia="宋体" w:cs="宋体"/>
                      <w:sz w:val="24"/>
                      <w:szCs w:val="24"/>
                    </w:rPr>
                    <w:fldChar w:fldCharType="end"/>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INCLUDEPICTURE "/var/folders/3n/8yhjfgm95y97w_4c1fm8zrvh0000gn/T/com.microsoft.Word/WebArchiveCopyPasteTempFiles/page3image71704" \* MERGEFORMATINET </w:instrText>
                  </w:r>
                  <w:r>
                    <w:rPr>
                      <w:rFonts w:hint="eastAsia" w:ascii="宋体" w:hAnsi="宋体" w:eastAsia="宋体" w:cs="宋体"/>
                      <w:sz w:val="24"/>
                      <w:szCs w:val="24"/>
                    </w:rPr>
                    <w:fldChar w:fldCharType="separate"/>
                  </w:r>
                  <w:r>
                    <w:rPr>
                      <w:rFonts w:hint="eastAsia" w:ascii="宋体" w:hAnsi="宋体" w:eastAsia="宋体" w:cs="宋体"/>
                      <w:sz w:val="24"/>
                      <w:szCs w:val="24"/>
                    </w:rPr>
                    <w:drawing>
                      <wp:inline distT="0" distB="0" distL="114300" distR="114300">
                        <wp:extent cx="13970" cy="13970"/>
                        <wp:effectExtent l="0" t="0" r="5080" b="0"/>
                        <wp:docPr id="4" name="图片 6" descr="page3image7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page3image71704"/>
                                <pic:cNvPicPr>
                                  <a:picLocks noChangeAspect="1"/>
                                </pic:cNvPicPr>
                              </pic:nvPicPr>
                              <pic:blipFill>
                                <a:blip r:embed="rId13"/>
                                <a:stretch>
                                  <a:fillRect/>
                                </a:stretch>
                              </pic:blipFill>
                              <pic:spPr>
                                <a:xfrm>
                                  <a:off x="0" y="0"/>
                                  <a:ext cx="13970" cy="13970"/>
                                </a:xfrm>
                                <a:prstGeom prst="rect">
                                  <a:avLst/>
                                </a:prstGeom>
                                <a:noFill/>
                                <a:ln>
                                  <a:noFill/>
                                </a:ln>
                              </pic:spPr>
                            </pic:pic>
                          </a:graphicData>
                        </a:graphic>
                      </wp:inline>
                    </w:drawing>
                  </w:r>
                  <w:r>
                    <w:rPr>
                      <w:rFonts w:hint="eastAsia" w:ascii="宋体" w:hAnsi="宋体" w:eastAsia="宋体" w:cs="宋体"/>
                      <w:sz w:val="24"/>
                      <w:szCs w:val="24"/>
                    </w:rPr>
                    <w:fldChar w:fldCharType="end"/>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3.50%</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9.92%</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11</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平均值</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29.22%</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10.68%</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4.14%</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25.08%</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6.54%</w:t>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3.54%</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25.67%</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12</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最大值</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45.41%</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20.69%</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4.32%</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41.32%</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16.37%</w:t>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3.88%</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41.87%</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13</w:t>
                  </w:r>
                </w:p>
              </w:tc>
              <w:tc>
                <w:tcPr>
                  <w:tcW w:w="91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最小值</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13.42%</w:t>
                  </w:r>
                </w:p>
              </w:tc>
              <w:tc>
                <w:tcPr>
                  <w:tcW w:w="785"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0.12%</w:t>
                  </w:r>
                </w:p>
              </w:tc>
              <w:tc>
                <w:tcPr>
                  <w:tcW w:w="1032"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3.91%</w:t>
                  </w:r>
                </w:p>
              </w:tc>
              <w:tc>
                <w:tcPr>
                  <w:tcW w:w="78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9.41%</w:t>
                  </w:r>
                </w:p>
              </w:tc>
              <w:tc>
                <w:tcPr>
                  <w:tcW w:w="89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-3.86%</w:t>
                  </w:r>
                </w:p>
              </w:tc>
              <w:tc>
                <w:tcPr>
                  <w:tcW w:w="1099"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3.09%</w:t>
                  </w:r>
                </w:p>
              </w:tc>
              <w:tc>
                <w:tcPr>
                  <w:tcW w:w="838"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9.92%</w:t>
                  </w:r>
                </w:p>
              </w:tc>
              <w:tc>
                <w:tcPr>
                  <w:tcW w:w="1027"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48" w:hRule="atLeast"/>
              </w:trPr>
              <w:tc>
                <w:tcPr>
                  <w:tcW w:w="451" w:type="dxa"/>
                  <w:noWrap w:val="0"/>
                  <w:vAlign w:val="center"/>
                </w:tcPr>
                <w:p>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b/>
                      <w:bCs/>
                      <w:sz w:val="24"/>
                      <w:szCs w:val="24"/>
                    </w:rPr>
                    <w:t>14</w:t>
                  </w:r>
                </w:p>
              </w:tc>
              <w:tc>
                <w:tcPr>
                  <w:tcW w:w="912" w:type="dxa"/>
                  <w:noWrap w:val="0"/>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hint="eastAsia" w:ascii="宋体" w:hAnsi="宋体" w:eastAsia="宋体" w:cs="宋体"/>
                      <w:b w:val="0"/>
                      <w:bCs w:val="0"/>
                      <w:sz w:val="24"/>
                      <w:szCs w:val="24"/>
                    </w:rPr>
                  </w:pPr>
                  <w:r>
                    <w:rPr>
                      <w:rFonts w:hint="eastAsia" w:ascii="宋体" w:hAnsi="宋体" w:eastAsia="宋体" w:cs="宋体"/>
                      <w:b w:val="0"/>
                      <w:bCs w:val="0"/>
                      <w:w w:val="66"/>
                      <w:sz w:val="24"/>
                      <w:szCs w:val="24"/>
                    </w:rPr>
                    <w:t>剔除最大、最小值后的平均值</w:t>
                  </w:r>
                </w:p>
              </w:tc>
              <w:tc>
                <w:tcPr>
                  <w:tcW w:w="785"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29.17%</w:t>
                  </w:r>
                </w:p>
              </w:tc>
              <w:tc>
                <w:tcPr>
                  <w:tcW w:w="785"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10.75%</w:t>
                  </w:r>
                </w:p>
              </w:tc>
              <w:tc>
                <w:tcPr>
                  <w:tcW w:w="1032"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4.14%</w:t>
                  </w:r>
                </w:p>
              </w:tc>
              <w:tc>
                <w:tcPr>
                  <w:tcW w:w="787"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25.01%</w:t>
                  </w:r>
                </w:p>
              </w:tc>
              <w:tc>
                <w:tcPr>
                  <w:tcW w:w="898"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6.62%</w:t>
                  </w:r>
                </w:p>
              </w:tc>
              <w:tc>
                <w:tcPr>
                  <w:tcW w:w="1099"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3.56%</w:t>
                  </w:r>
                </w:p>
              </w:tc>
              <w:tc>
                <w:tcPr>
                  <w:tcW w:w="838" w:type="dxa"/>
                  <w:noWrap w:val="0"/>
                  <w:vAlign w:val="center"/>
                </w:tcPr>
                <w:p>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25.62%</w:t>
                  </w:r>
                </w:p>
              </w:tc>
              <w:tc>
                <w:tcPr>
                  <w:tcW w:w="1027" w:type="dxa"/>
                  <w:noWrap w:val="0"/>
                  <w:vAlign w:val="center"/>
                </w:tcPr>
                <w:p>
                  <w:pPr>
                    <w:spacing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7.21%</w:t>
                  </w:r>
                </w:p>
              </w:tc>
            </w:tr>
          </w:tbl>
          <w:p>
            <w:pPr>
              <w:keepNext w:val="0"/>
              <w:keepLines w:val="0"/>
              <w:pageBreakBefore w:val="0"/>
              <w:widowControl w:val="0"/>
              <w:kinsoku/>
              <w:wordWrap/>
              <w:overflowPunct/>
              <w:topLinePunct w:val="0"/>
              <w:autoSpaceDE/>
              <w:autoSpaceDN/>
              <w:bidi w:val="0"/>
              <w:adjustRightInd/>
              <w:spacing w:line="300" w:lineRule="auto"/>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由于几何平均值可以更好表述收益率的增长情况，以及本次评估的标的企业理论上的寿命期为无限年期，因此</w:t>
            </w:r>
            <w:r>
              <w:rPr>
                <w:rFonts w:hint="eastAsia" w:ascii="宋体" w:hAnsi="宋体" w:eastAsia="宋体" w:cs="宋体"/>
                <w:sz w:val="24"/>
                <w:szCs w:val="24"/>
                <w:lang w:eastAsia="zh-CN"/>
              </w:rPr>
              <w:t>本案例</w:t>
            </w:r>
            <w:r>
              <w:rPr>
                <w:rFonts w:hint="eastAsia" w:ascii="宋体" w:hAnsi="宋体" w:eastAsia="宋体" w:cs="宋体"/>
                <w:sz w:val="24"/>
                <w:szCs w:val="24"/>
              </w:rPr>
              <w:t>认为采用包括超过10年期的ERP=6.62%比较恰当。</w:t>
            </w:r>
          </w:p>
          <w:p>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outlineLvl w:val="5"/>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3 \* GB3 </w:instrText>
            </w:r>
            <w:r>
              <w:rPr>
                <w:rFonts w:hint="eastAsia" w:ascii="宋体" w:hAnsi="宋体" w:eastAsia="宋体" w:cs="宋体"/>
                <w:sz w:val="24"/>
                <w:szCs w:val="24"/>
              </w:rPr>
              <w:fldChar w:fldCharType="separate"/>
            </w:r>
            <w:r>
              <w:rPr>
                <w:rFonts w:hint="eastAsia" w:ascii="宋体" w:hAnsi="宋体" w:eastAsia="宋体" w:cs="宋体"/>
                <w:sz w:val="24"/>
                <w:szCs w:val="24"/>
              </w:rPr>
              <w:t>③</w:t>
            </w:r>
            <w:r>
              <w:rPr>
                <w:rFonts w:hint="eastAsia" w:ascii="宋体" w:hAnsi="宋体" w:eastAsia="宋体" w:cs="宋体"/>
                <w:sz w:val="24"/>
                <w:szCs w:val="24"/>
              </w:rPr>
              <w:fldChar w:fldCharType="end"/>
            </w:r>
            <w:r>
              <w:rPr>
                <w:rFonts w:hint="eastAsia" w:ascii="宋体" w:hAnsi="宋体" w:eastAsia="宋体" w:cs="宋体"/>
                <w:sz w:val="24"/>
                <w:szCs w:val="24"/>
              </w:rPr>
              <w:t>确定对比公司相对于股票市场风险系数β(Leveredβ)。</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本次评估</w:t>
            </w:r>
            <w:r>
              <w:rPr>
                <w:rFonts w:hint="eastAsia" w:ascii="宋体" w:hAnsi="宋体" w:eastAsia="宋体" w:cs="宋体"/>
                <w:sz w:val="24"/>
                <w:szCs w:val="24"/>
                <w:lang w:eastAsia="zh-CN"/>
              </w:rPr>
              <w:t>本案例</w:t>
            </w:r>
            <w:r>
              <w:rPr>
                <w:rFonts w:hint="eastAsia" w:ascii="宋体" w:hAnsi="宋体" w:eastAsia="宋体" w:cs="宋体"/>
                <w:sz w:val="24"/>
                <w:szCs w:val="24"/>
              </w:rPr>
              <w:t>是选取Wind资讯公司公布的β计算器计算对比公司的β值，上述β值是含有对比公司自身资本结构的β值。</w:t>
            </w:r>
          </w:p>
          <w:p>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outlineLvl w:val="5"/>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4 \* GB3 </w:instrText>
            </w:r>
            <w:r>
              <w:rPr>
                <w:rFonts w:hint="eastAsia" w:ascii="宋体" w:hAnsi="宋体" w:eastAsia="宋体" w:cs="宋体"/>
                <w:sz w:val="24"/>
                <w:szCs w:val="24"/>
              </w:rPr>
              <w:fldChar w:fldCharType="separate"/>
            </w:r>
            <w:r>
              <w:rPr>
                <w:rFonts w:hint="eastAsia" w:ascii="宋体" w:hAnsi="宋体" w:eastAsia="宋体" w:cs="宋体"/>
                <w:sz w:val="24"/>
                <w:szCs w:val="24"/>
              </w:rPr>
              <w:t>④</w:t>
            </w:r>
            <w:r>
              <w:rPr>
                <w:rFonts w:hint="eastAsia" w:ascii="宋体" w:hAnsi="宋体" w:eastAsia="宋体" w:cs="宋体"/>
                <w:sz w:val="24"/>
                <w:szCs w:val="24"/>
              </w:rPr>
              <w:fldChar w:fldCharType="end"/>
            </w:r>
            <w:r>
              <w:rPr>
                <w:rFonts w:hint="eastAsia" w:ascii="宋体" w:hAnsi="宋体" w:eastAsia="宋体" w:cs="宋体"/>
                <w:sz w:val="24"/>
                <w:szCs w:val="24"/>
              </w:rPr>
              <w:t>计算对比公司Unleveredβ和估算被评估单位Unleveredβ</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根据以下公式，</w:t>
            </w:r>
            <w:r>
              <w:rPr>
                <w:rFonts w:hint="eastAsia" w:ascii="宋体" w:hAnsi="宋体" w:eastAsia="宋体" w:cs="宋体"/>
                <w:sz w:val="24"/>
                <w:szCs w:val="24"/>
                <w:lang w:eastAsia="zh-CN"/>
              </w:rPr>
              <w:t>本案例</w:t>
            </w:r>
            <w:r>
              <w:rPr>
                <w:rFonts w:hint="eastAsia" w:ascii="宋体" w:hAnsi="宋体" w:eastAsia="宋体" w:cs="宋体"/>
                <w:sz w:val="24"/>
                <w:szCs w:val="24"/>
              </w:rPr>
              <w:t>可以分别计算对比公司的Unleveredβ：</w:t>
            </w:r>
          </w:p>
          <w:p>
            <w:pPr>
              <w:pStyle w:val="3"/>
              <w:keepNext w:val="0"/>
              <w:keepLines w:val="0"/>
              <w:pageBreakBefore w:val="0"/>
              <w:widowControl w:val="0"/>
              <w:kinsoku/>
              <w:wordWrap/>
              <w:overflowPunct/>
              <w:topLinePunct w:val="0"/>
              <w:autoSpaceDE/>
              <w:autoSpaceDN/>
              <w:bidi w:val="0"/>
              <w:adjustRightInd/>
              <w:spacing w:line="30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Unleveredβ=Leveredβ/[1+(1-T)×D/E]</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式中</w:t>
            </w:r>
            <w:r>
              <w:rPr>
                <w:rFonts w:hint="eastAsia" w:ascii="宋体" w:hAnsi="宋体" w:eastAsia="宋体" w:cs="宋体"/>
                <w:sz w:val="24"/>
                <w:szCs w:val="24"/>
                <w:lang w:eastAsia="zh-CN"/>
              </w:rPr>
              <w:t>，</w:t>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债权价值；E－股权价值；T</w:t>
            </w:r>
            <w:r>
              <w:rPr>
                <w:rFonts w:hint="eastAsia" w:ascii="宋体" w:hAnsi="宋体" w:eastAsia="宋体" w:cs="宋体"/>
                <w:sz w:val="24"/>
                <w:szCs w:val="24"/>
                <w:lang w:eastAsia="zh-CN"/>
              </w:rPr>
              <w:t>：</w:t>
            </w:r>
            <w:r>
              <w:rPr>
                <w:rFonts w:hint="eastAsia" w:ascii="宋体" w:hAnsi="宋体" w:eastAsia="宋体" w:cs="宋体"/>
                <w:sz w:val="24"/>
                <w:szCs w:val="24"/>
              </w:rPr>
              <w:t>适用所得税率。</w:t>
            </w:r>
          </w:p>
          <w:p>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将对比公司的Unleveredβ计算出来后，取其平均值作为被评估单位的Unleveredβ。</w:t>
            </w:r>
          </w:p>
          <w:p>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outlineLvl w:val="5"/>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5 \* GB3 </w:instrText>
            </w:r>
            <w:r>
              <w:rPr>
                <w:rFonts w:hint="eastAsia" w:ascii="宋体" w:hAnsi="宋体" w:eastAsia="宋体" w:cs="宋体"/>
                <w:sz w:val="24"/>
                <w:szCs w:val="24"/>
              </w:rPr>
              <w:fldChar w:fldCharType="separate"/>
            </w:r>
            <w:r>
              <w:rPr>
                <w:rFonts w:hint="eastAsia" w:ascii="宋体" w:hAnsi="宋体" w:eastAsia="宋体" w:cs="宋体"/>
                <w:sz w:val="24"/>
                <w:szCs w:val="24"/>
              </w:rPr>
              <w:t>⑤</w:t>
            </w:r>
            <w:r>
              <w:rPr>
                <w:rFonts w:hint="eastAsia" w:ascii="宋体" w:hAnsi="宋体" w:eastAsia="宋体" w:cs="宋体"/>
                <w:sz w:val="24"/>
                <w:szCs w:val="24"/>
              </w:rPr>
              <w:fldChar w:fldCharType="end"/>
            </w:r>
            <w:r>
              <w:rPr>
                <w:rFonts w:hint="eastAsia" w:ascii="宋体" w:hAnsi="宋体" w:eastAsia="宋体" w:cs="宋体"/>
                <w:sz w:val="24"/>
                <w:szCs w:val="24"/>
              </w:rPr>
              <w:t>确定被评估单位的资本结构比率</w:t>
            </w:r>
          </w:p>
          <w:p>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在确定被评估单位目标资本结构时</w:t>
            </w:r>
            <w:r>
              <w:rPr>
                <w:rFonts w:hint="eastAsia" w:ascii="宋体" w:hAnsi="宋体" w:eastAsia="宋体" w:cs="宋体"/>
                <w:sz w:val="24"/>
                <w:szCs w:val="24"/>
                <w:lang w:eastAsia="zh-CN"/>
              </w:rPr>
              <w:t>本案例</w:t>
            </w:r>
            <w:r>
              <w:rPr>
                <w:rFonts w:hint="eastAsia" w:ascii="宋体" w:hAnsi="宋体" w:eastAsia="宋体" w:cs="宋体"/>
                <w:sz w:val="24"/>
                <w:szCs w:val="24"/>
              </w:rPr>
              <w:t>参考了以下两个指标：</w:t>
            </w:r>
            <w:r>
              <w:rPr>
                <w:rFonts w:hint="eastAsia" w:ascii="宋体" w:hAnsi="宋体" w:eastAsia="宋体" w:cs="宋体"/>
                <w:sz w:val="24"/>
                <w:szCs w:val="24"/>
                <w:lang w:val="en-US" w:eastAsia="zh-CN"/>
              </w:rPr>
              <w:t>一是</w:t>
            </w:r>
            <w:r>
              <w:rPr>
                <w:rFonts w:hint="eastAsia" w:ascii="宋体" w:hAnsi="宋体" w:eastAsia="宋体" w:cs="宋体"/>
                <w:sz w:val="24"/>
                <w:szCs w:val="24"/>
              </w:rPr>
              <w:t>被对比公司资本结构平均值；</w:t>
            </w:r>
            <w:r>
              <w:rPr>
                <w:rFonts w:hint="eastAsia" w:ascii="宋体" w:hAnsi="宋体" w:eastAsia="宋体" w:cs="宋体"/>
                <w:sz w:val="24"/>
                <w:szCs w:val="24"/>
                <w:lang w:val="en-US" w:eastAsia="zh-CN"/>
              </w:rPr>
              <w:t>二是</w:t>
            </w:r>
            <w:r>
              <w:rPr>
                <w:rFonts w:hint="eastAsia" w:ascii="宋体" w:hAnsi="宋体" w:eastAsia="宋体" w:cs="宋体"/>
                <w:sz w:val="24"/>
                <w:szCs w:val="24"/>
              </w:rPr>
              <w:t>被评估单位自身账面价值计算的资本结构。</w:t>
            </w:r>
          </w:p>
          <w:p>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最后被对比公司资本结构平均值确定被评估单位目标资本结构。</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本案例</w:t>
            </w:r>
            <w:r>
              <w:rPr>
                <w:rFonts w:hint="eastAsia" w:ascii="宋体" w:hAnsi="宋体" w:eastAsia="宋体" w:cs="宋体"/>
                <w:sz w:val="24"/>
                <w:szCs w:val="24"/>
              </w:rPr>
              <w:t>将已经确定的被评估单位资本结构比率代入到如下公式中，计算被评估单位Levered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β：</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Levered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β=Unlevered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β×[1+(1-T)×D/E]</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式中</w:t>
            </w:r>
            <w:r>
              <w:rPr>
                <w:rFonts w:hint="eastAsia" w:ascii="宋体" w:hAnsi="宋体" w:eastAsia="宋体" w:cs="宋体"/>
                <w:sz w:val="24"/>
                <w:szCs w:val="24"/>
                <w:lang w:eastAsia="zh-CN"/>
              </w:rPr>
              <w:t>，</w:t>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债权价值；E－股权价值；T：适用所得税率(取15%)；</w:t>
            </w:r>
          </w:p>
          <w:p>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outlineLvl w:val="5"/>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fldChar w:fldCharType="begin"/>
            </w:r>
            <w:r>
              <w:rPr>
                <w:rFonts w:hint="eastAsia" w:ascii="宋体" w:hAnsi="宋体" w:eastAsia="宋体" w:cs="宋体"/>
                <w:color w:val="auto"/>
                <w:kern w:val="40"/>
                <w:sz w:val="24"/>
                <w:szCs w:val="24"/>
                <w:lang w:val="en-US" w:eastAsia="zh-CN" w:bidi="ar-SA"/>
              </w:rPr>
              <w:instrText xml:space="preserve"> = 6 \* GB3 </w:instrText>
            </w:r>
            <w:r>
              <w:rPr>
                <w:rFonts w:hint="eastAsia" w:ascii="宋体" w:hAnsi="宋体" w:eastAsia="宋体" w:cs="宋体"/>
                <w:color w:val="auto"/>
                <w:kern w:val="40"/>
                <w:sz w:val="24"/>
                <w:szCs w:val="24"/>
                <w:lang w:val="en-US" w:eastAsia="zh-CN" w:bidi="ar-SA"/>
              </w:rPr>
              <w:fldChar w:fldCharType="separate"/>
            </w:r>
            <w:r>
              <w:rPr>
                <w:rFonts w:hint="eastAsia" w:ascii="宋体" w:hAnsi="宋体" w:eastAsia="宋体" w:cs="宋体"/>
                <w:color w:val="auto"/>
                <w:kern w:val="40"/>
                <w:sz w:val="24"/>
                <w:szCs w:val="24"/>
                <w:lang w:val="en-US" w:eastAsia="zh-CN" w:bidi="ar-SA"/>
              </w:rPr>
              <w:t>⑥</w:t>
            </w:r>
            <w:r>
              <w:rPr>
                <w:rFonts w:hint="eastAsia" w:ascii="宋体" w:hAnsi="宋体" w:eastAsia="宋体" w:cs="宋体"/>
                <w:color w:val="auto"/>
                <w:kern w:val="40"/>
                <w:sz w:val="24"/>
                <w:szCs w:val="24"/>
                <w:lang w:val="en-US" w:eastAsia="zh-CN" w:bidi="ar-SA"/>
              </w:rPr>
              <w:fldChar w:fldCharType="end"/>
            </w:r>
            <w:r>
              <w:rPr>
                <w:rFonts w:hint="eastAsia" w:ascii="宋体" w:hAnsi="宋体" w:eastAsia="宋体" w:cs="宋体"/>
                <w:color w:val="auto"/>
                <w:kern w:val="40"/>
                <w:sz w:val="24"/>
                <w:szCs w:val="24"/>
                <w:lang w:val="en-US" w:eastAsia="zh-CN" w:bidi="ar-SA"/>
              </w:rPr>
              <w:t>估算公司特有风险收益率R</w:t>
            </w:r>
            <w:r>
              <w:rPr>
                <w:rFonts w:hint="eastAsia" w:ascii="宋体" w:hAnsi="宋体" w:eastAsia="宋体" w:cs="宋体"/>
                <w:color w:val="auto"/>
                <w:kern w:val="40"/>
                <w:sz w:val="24"/>
                <w:szCs w:val="24"/>
                <w:vertAlign w:val="subscript"/>
                <w:lang w:val="en-US" w:eastAsia="zh-CN" w:bidi="ar-SA"/>
              </w:rPr>
              <w:t>s</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采用资本定价模型一般被认为是估算一个投资组合（Portfolio）的组合投资回报率，资本定价模型不能直接估算单个公司的投资回报率，一般认为单个公司的投资风险要高于一个投资组合的投资风险，因此，在考虑一个单个公司或股票的投资收益时应该考虑该公司的针对投资组合所具有的全部特有风险所产生的超额回报率。公司特别风险溢价主要是针对公司具有的一些非系统的特有因素所产生风险的风险溢价或折价，综合考虑公司特有风险超额收益率按1%预测。</w:t>
            </w:r>
          </w:p>
          <w:p>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outlineLvl w:val="5"/>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fldChar w:fldCharType="begin"/>
            </w:r>
            <w:r>
              <w:rPr>
                <w:rFonts w:hint="eastAsia" w:ascii="宋体" w:hAnsi="宋体" w:eastAsia="宋体" w:cs="宋体"/>
                <w:color w:val="auto"/>
                <w:kern w:val="40"/>
                <w:sz w:val="24"/>
                <w:szCs w:val="24"/>
                <w:lang w:val="en-US" w:eastAsia="zh-CN" w:bidi="ar-SA"/>
              </w:rPr>
              <w:instrText xml:space="preserve"> = 7 \* GB3 </w:instrText>
            </w:r>
            <w:r>
              <w:rPr>
                <w:rFonts w:hint="eastAsia" w:ascii="宋体" w:hAnsi="宋体" w:eastAsia="宋体" w:cs="宋体"/>
                <w:color w:val="auto"/>
                <w:kern w:val="40"/>
                <w:sz w:val="24"/>
                <w:szCs w:val="24"/>
                <w:lang w:val="en-US" w:eastAsia="zh-CN" w:bidi="ar-SA"/>
              </w:rPr>
              <w:fldChar w:fldCharType="separate"/>
            </w:r>
            <w:r>
              <w:rPr>
                <w:rFonts w:hint="eastAsia" w:ascii="宋体" w:hAnsi="宋体" w:eastAsia="宋体" w:cs="宋体"/>
                <w:color w:val="auto"/>
                <w:kern w:val="40"/>
                <w:sz w:val="24"/>
                <w:szCs w:val="24"/>
                <w:lang w:val="en-US" w:eastAsia="zh-CN" w:bidi="ar-SA"/>
              </w:rPr>
              <w:t>⑦</w:t>
            </w:r>
            <w:r>
              <w:rPr>
                <w:rFonts w:hint="eastAsia" w:ascii="宋体" w:hAnsi="宋体" w:eastAsia="宋体" w:cs="宋体"/>
                <w:color w:val="auto"/>
                <w:kern w:val="40"/>
                <w:sz w:val="24"/>
                <w:szCs w:val="24"/>
                <w:lang w:val="en-US" w:eastAsia="zh-CN" w:bidi="ar-SA"/>
              </w:rPr>
              <w:fldChar w:fldCharType="end"/>
            </w:r>
            <w:r>
              <w:rPr>
                <w:rFonts w:hint="eastAsia" w:ascii="宋体" w:hAnsi="宋体" w:eastAsia="宋体" w:cs="宋体"/>
                <w:color w:val="auto"/>
                <w:kern w:val="40"/>
                <w:sz w:val="24"/>
                <w:szCs w:val="24"/>
                <w:lang w:val="en-US" w:eastAsia="zh-CN" w:bidi="ar-SA"/>
              </w:rPr>
              <w:t>计算现行税前股权收益率</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将恰当的数据代入CAPM公式中，将上一步计算得到的股权收益率除以（1-相应所得税率），得到对比公司的税前股权收益率。</w:t>
            </w:r>
          </w:p>
          <w:p>
            <w:pPr>
              <w:pStyle w:val="3"/>
              <w:keepNext w:val="0"/>
              <w:keepLines w:val="0"/>
              <w:pageBreakBefore w:val="0"/>
              <w:widowControl w:val="0"/>
              <w:kinsoku/>
              <w:wordWrap/>
              <w:overflowPunct/>
              <w:topLinePunct w:val="0"/>
              <w:autoSpaceDE/>
              <w:autoSpaceDN/>
              <w:bidi w:val="0"/>
              <w:adjustRightInd/>
              <w:spacing w:line="300" w:lineRule="auto"/>
              <w:jc w:val="center"/>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表19 对比公司的税前股权收益率</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986"/>
              <w:gridCol w:w="1079"/>
              <w:gridCol w:w="1079"/>
              <w:gridCol w:w="1163"/>
              <w:gridCol w:w="995"/>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17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对比公司名称</w:t>
                  </w:r>
                </w:p>
              </w:tc>
              <w:tc>
                <w:tcPr>
                  <w:tcW w:w="98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无风险收益率(R</w:t>
                  </w:r>
                  <w:r>
                    <w:rPr>
                      <w:rFonts w:hint="eastAsia" w:ascii="宋体" w:hAnsi="宋体" w:eastAsia="宋体" w:cs="宋体"/>
                      <w:sz w:val="24"/>
                      <w:szCs w:val="24"/>
                      <w:vertAlign w:val="subscript"/>
                    </w:rPr>
                    <w:t>f</w:t>
                  </w:r>
                  <w:r>
                    <w:rPr>
                      <w:rFonts w:hint="eastAsia" w:ascii="宋体" w:hAnsi="宋体" w:eastAsia="宋体" w:cs="宋体"/>
                      <w:sz w:val="24"/>
                      <w:szCs w:val="24"/>
                    </w:rPr>
                    <w:t>)</w:t>
                  </w:r>
                </w:p>
              </w:tc>
              <w:tc>
                <w:tcPr>
                  <w:tcW w:w="1079"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超额风险收益率(ERP)</w:t>
                  </w:r>
                </w:p>
              </w:tc>
              <w:tc>
                <w:tcPr>
                  <w:tcW w:w="1079"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β值</w:t>
                  </w:r>
                </w:p>
              </w:tc>
              <w:tc>
                <w:tcPr>
                  <w:tcW w:w="1163"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公司特有风险超额收益率</w:t>
                  </w:r>
                </w:p>
              </w:tc>
              <w:tc>
                <w:tcPr>
                  <w:tcW w:w="995"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适用所得税率</w:t>
                  </w:r>
                </w:p>
              </w:tc>
              <w:tc>
                <w:tcPr>
                  <w:tcW w:w="136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税前股权收益率(R</w:t>
                  </w:r>
                  <w:r>
                    <w:rPr>
                      <w:rFonts w:hint="eastAsia" w:ascii="宋体" w:hAnsi="宋体" w:eastAsia="宋体" w:cs="宋体"/>
                      <w:sz w:val="24"/>
                      <w:szCs w:val="24"/>
                      <w:vertAlign w:val="subscript"/>
                    </w:rPr>
                    <w:t>e</w:t>
                  </w: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172"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鼎捷软件</w:t>
                  </w:r>
                </w:p>
              </w:tc>
              <w:tc>
                <w:tcPr>
                  <w:tcW w:w="986"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4.14%</w:t>
                  </w:r>
                </w:p>
              </w:tc>
              <w:tc>
                <w:tcPr>
                  <w:tcW w:w="107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w:t>
                  </w:r>
                </w:p>
              </w:tc>
              <w:tc>
                <w:tcPr>
                  <w:tcW w:w="1079"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1.07</w:t>
                  </w:r>
                </w:p>
              </w:tc>
              <w:tc>
                <w:tcPr>
                  <w:tcW w:w="1163"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995"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15.00%</w:t>
                  </w:r>
                </w:p>
              </w:tc>
              <w:tc>
                <w:tcPr>
                  <w:tcW w:w="1362"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172"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赢时胜</w:t>
                  </w:r>
                </w:p>
              </w:tc>
              <w:tc>
                <w:tcPr>
                  <w:tcW w:w="986"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4.14%</w:t>
                  </w:r>
                </w:p>
              </w:tc>
              <w:tc>
                <w:tcPr>
                  <w:tcW w:w="107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w:t>
                  </w:r>
                </w:p>
              </w:tc>
              <w:tc>
                <w:tcPr>
                  <w:tcW w:w="1079"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1.21</w:t>
                  </w:r>
                </w:p>
              </w:tc>
              <w:tc>
                <w:tcPr>
                  <w:tcW w:w="1163"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995"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15.00%</w:t>
                  </w:r>
                </w:p>
              </w:tc>
              <w:tc>
                <w:tcPr>
                  <w:tcW w:w="1362"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172"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四方精创</w:t>
                  </w:r>
                </w:p>
              </w:tc>
              <w:tc>
                <w:tcPr>
                  <w:tcW w:w="986"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4.14%</w:t>
                  </w:r>
                </w:p>
              </w:tc>
              <w:tc>
                <w:tcPr>
                  <w:tcW w:w="107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w:t>
                  </w:r>
                </w:p>
              </w:tc>
              <w:tc>
                <w:tcPr>
                  <w:tcW w:w="1079"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1.14</w:t>
                  </w:r>
                </w:p>
              </w:tc>
              <w:tc>
                <w:tcPr>
                  <w:tcW w:w="116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995"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15.00%</w:t>
                  </w:r>
                </w:p>
              </w:tc>
              <w:tc>
                <w:tcPr>
                  <w:tcW w:w="1362"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172"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高新兴</w:t>
                  </w:r>
                </w:p>
              </w:tc>
              <w:tc>
                <w:tcPr>
                  <w:tcW w:w="986"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4.14%</w:t>
                  </w:r>
                </w:p>
              </w:tc>
              <w:tc>
                <w:tcPr>
                  <w:tcW w:w="107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w:t>
                  </w:r>
                </w:p>
              </w:tc>
              <w:tc>
                <w:tcPr>
                  <w:tcW w:w="1079"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1.15</w:t>
                  </w:r>
                </w:p>
              </w:tc>
              <w:tc>
                <w:tcPr>
                  <w:tcW w:w="116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995"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15.00%</w:t>
                  </w:r>
                </w:p>
              </w:tc>
              <w:tc>
                <w:tcPr>
                  <w:tcW w:w="1362" w:type="dxa"/>
                  <w:noWrap w:val="0"/>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14.99%</w:t>
                  </w:r>
                </w:p>
              </w:tc>
            </w:tr>
          </w:tbl>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（2）债权回报率的确定</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在中国，对债权收益率的一个合理估计是将市场公允短期和长期银行贷款利率结合起来的一个估计。本次评估以目前有效的一年期贷款利率4.35%为基础，因此，本次评估选用1年期贷款利率4.35%作为债权投资回报率。</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（3）被评估单位税前加权平均总资本回报率的确定</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股权期望回报率和债权回报率可以用加权平均的方法计算总资本加权平均回报率。权重评估对象实际股权、债权结构比例。总资本加权平均回报率利用以下公式计算：</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WACC=E/(D+E)R</w:t>
            </w:r>
            <w:r>
              <w:rPr>
                <w:rFonts w:hint="eastAsia" w:ascii="宋体" w:hAnsi="宋体" w:eastAsia="宋体" w:cs="宋体"/>
                <w:color w:val="auto"/>
                <w:kern w:val="40"/>
                <w:sz w:val="24"/>
                <w:szCs w:val="24"/>
                <w:vertAlign w:val="subscript"/>
                <w:lang w:val="en-US" w:eastAsia="zh-CN" w:bidi="ar-SA"/>
              </w:rPr>
              <w:t>e</w:t>
            </w:r>
            <w:r>
              <w:rPr>
                <w:rFonts w:hint="eastAsia" w:ascii="宋体" w:hAnsi="宋体" w:eastAsia="宋体" w:cs="宋体"/>
                <w:color w:val="auto"/>
                <w:kern w:val="40"/>
                <w:sz w:val="24"/>
                <w:szCs w:val="24"/>
                <w:lang w:val="en-US" w:eastAsia="zh-CN" w:bidi="ar-SA"/>
              </w:rPr>
              <w:t xml:space="preserve"> + D/(D+E)R</w:t>
            </w:r>
            <w:r>
              <w:rPr>
                <w:rFonts w:hint="eastAsia" w:ascii="宋体" w:hAnsi="宋体" w:eastAsia="宋体" w:cs="宋体"/>
                <w:color w:val="auto"/>
                <w:kern w:val="40"/>
                <w:sz w:val="24"/>
                <w:szCs w:val="24"/>
                <w:vertAlign w:val="subscript"/>
                <w:lang w:val="en-US" w:eastAsia="zh-CN" w:bidi="ar-SA"/>
              </w:rPr>
              <w:t>d</w:t>
            </w:r>
            <w:r>
              <w:rPr>
                <w:rFonts w:hint="eastAsia" w:ascii="宋体" w:hAnsi="宋体" w:eastAsia="宋体" w:cs="宋体"/>
                <w:color w:val="auto"/>
                <w:kern w:val="40"/>
                <w:sz w:val="24"/>
                <w:szCs w:val="24"/>
                <w:lang w:val="en-US" w:eastAsia="zh-CN" w:bidi="ar-SA"/>
              </w:rPr>
              <w:t xml:space="preserve"> (1-T)</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其中，WACC：加权平均总资本回报率；E：股权；R</w:t>
            </w:r>
            <w:r>
              <w:rPr>
                <w:rFonts w:hint="eastAsia" w:ascii="宋体" w:hAnsi="宋体" w:eastAsia="宋体" w:cs="宋体"/>
                <w:color w:val="auto"/>
                <w:kern w:val="40"/>
                <w:sz w:val="24"/>
                <w:szCs w:val="24"/>
                <w:vertAlign w:val="subscript"/>
                <w:lang w:val="en-US" w:eastAsia="zh-CN" w:bidi="ar-SA"/>
              </w:rPr>
              <w:t>e</w:t>
            </w:r>
            <w:r>
              <w:rPr>
                <w:rFonts w:hint="eastAsia" w:ascii="宋体" w:hAnsi="宋体" w:eastAsia="宋体" w:cs="宋体"/>
                <w:color w:val="auto"/>
                <w:kern w:val="40"/>
                <w:sz w:val="24"/>
                <w:szCs w:val="24"/>
                <w:lang w:val="en-US" w:eastAsia="zh-CN" w:bidi="ar-SA"/>
              </w:rPr>
              <w:t>：股本回报率；D：付息债权；R</w:t>
            </w:r>
            <w:r>
              <w:rPr>
                <w:rFonts w:hint="eastAsia" w:ascii="宋体" w:hAnsi="宋体" w:eastAsia="宋体" w:cs="宋体"/>
                <w:color w:val="auto"/>
                <w:kern w:val="40"/>
                <w:sz w:val="24"/>
                <w:szCs w:val="24"/>
                <w:vertAlign w:val="subscript"/>
                <w:lang w:val="en-US" w:eastAsia="zh-CN" w:bidi="ar-SA"/>
              </w:rPr>
              <w:t>d</w:t>
            </w:r>
            <w:r>
              <w:rPr>
                <w:rFonts w:hint="eastAsia" w:ascii="宋体" w:hAnsi="宋体" w:eastAsia="宋体" w:cs="宋体"/>
                <w:color w:val="auto"/>
                <w:kern w:val="40"/>
                <w:sz w:val="24"/>
                <w:szCs w:val="24"/>
                <w:lang w:val="en-US" w:eastAsia="zh-CN" w:bidi="ar-SA"/>
              </w:rPr>
              <w:t>：债权期望回报率，T：企业所得税率。</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根据上述计算得到被评估单位总资本加权平均回报率为14.41%，本案例以其作为被评估单位的折现率。WACCBT系投资企业全部资产的期望回报率。</w:t>
            </w:r>
          </w:p>
          <w:p>
            <w:pPr>
              <w:pStyle w:val="3"/>
              <w:keepNext w:val="0"/>
              <w:keepLines w:val="0"/>
              <w:pageBreakBefore w:val="0"/>
              <w:widowControl w:val="0"/>
              <w:kinsoku/>
              <w:wordWrap/>
              <w:overflowPunct/>
              <w:topLinePunct w:val="0"/>
              <w:autoSpaceDE/>
              <w:autoSpaceDN/>
              <w:bidi w:val="0"/>
              <w:adjustRightInd/>
              <w:spacing w:line="300" w:lineRule="auto"/>
              <w:jc w:val="center"/>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表20 对比公司平均投资回报率</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714"/>
              <w:gridCol w:w="574"/>
              <w:gridCol w:w="770"/>
              <w:gridCol w:w="680"/>
              <w:gridCol w:w="686"/>
              <w:gridCol w:w="696"/>
              <w:gridCol w:w="793"/>
              <w:gridCol w:w="702"/>
              <w:gridCol w:w="712"/>
              <w:gridCol w:w="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815"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对比公司名称</w:t>
                  </w:r>
                </w:p>
              </w:tc>
              <w:tc>
                <w:tcPr>
                  <w:tcW w:w="71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负息负债(D)</w:t>
                  </w:r>
                </w:p>
              </w:tc>
              <w:tc>
                <w:tcPr>
                  <w:tcW w:w="57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债权比例</w:t>
                  </w:r>
                </w:p>
              </w:tc>
              <w:tc>
                <w:tcPr>
                  <w:tcW w:w="77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股权公平市场价值(E)</w:t>
                  </w:r>
                </w:p>
              </w:tc>
              <w:tc>
                <w:tcPr>
                  <w:tcW w:w="68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股权价值比例</w:t>
                  </w:r>
                </w:p>
              </w:tc>
              <w:tc>
                <w:tcPr>
                  <w:tcW w:w="68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无风险收益率(R</w:t>
                  </w:r>
                  <w:r>
                    <w:rPr>
                      <w:rFonts w:hint="eastAsia" w:ascii="宋体" w:hAnsi="宋体" w:eastAsia="宋体" w:cs="宋体"/>
                      <w:sz w:val="24"/>
                      <w:szCs w:val="24"/>
                      <w:vertAlign w:val="subscript"/>
                    </w:rPr>
                    <w:t>f</w:t>
                  </w:r>
                  <w:r>
                    <w:rPr>
                      <w:rFonts w:hint="eastAsia" w:ascii="宋体" w:hAnsi="宋体" w:eastAsia="宋体" w:cs="宋体"/>
                      <w:sz w:val="24"/>
                      <w:szCs w:val="24"/>
                    </w:rPr>
                    <w:t>)</w:t>
                  </w:r>
                </w:p>
              </w:tc>
              <w:tc>
                <w:tcPr>
                  <w:tcW w:w="69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超额风险收益率(ERP)</w:t>
                  </w:r>
                </w:p>
              </w:tc>
              <w:tc>
                <w:tcPr>
                  <w:tcW w:w="793"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税前股权收益率(R</w:t>
                  </w:r>
                  <w:r>
                    <w:rPr>
                      <w:rFonts w:hint="eastAsia" w:ascii="宋体" w:hAnsi="宋体" w:eastAsia="宋体" w:cs="宋体"/>
                      <w:sz w:val="24"/>
                      <w:szCs w:val="24"/>
                      <w:vertAlign w:val="subscript"/>
                    </w:rPr>
                    <w:t>e</w:t>
                  </w:r>
                  <w:r>
                    <w:rPr>
                      <w:rFonts w:hint="eastAsia" w:ascii="宋体" w:hAnsi="宋体" w:eastAsia="宋体" w:cs="宋体"/>
                      <w:sz w:val="24"/>
                      <w:szCs w:val="24"/>
                    </w:rPr>
                    <w:t>)</w:t>
                  </w:r>
                </w:p>
              </w:tc>
              <w:tc>
                <w:tcPr>
                  <w:tcW w:w="70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债权收益率(R</w:t>
                  </w:r>
                  <w:r>
                    <w:rPr>
                      <w:rFonts w:hint="eastAsia" w:ascii="宋体" w:hAnsi="宋体" w:eastAsia="宋体" w:cs="宋体"/>
                      <w:sz w:val="24"/>
                      <w:szCs w:val="24"/>
                      <w:vertAlign w:val="subscript"/>
                    </w:rPr>
                    <w:t>d</w:t>
                  </w:r>
                  <w:r>
                    <w:rPr>
                      <w:rFonts w:hint="eastAsia" w:ascii="宋体" w:hAnsi="宋体" w:eastAsia="宋体" w:cs="宋体"/>
                      <w:sz w:val="24"/>
                      <w:szCs w:val="24"/>
                    </w:rPr>
                    <w:t>)</w:t>
                  </w:r>
                </w:p>
              </w:tc>
              <w:tc>
                <w:tcPr>
                  <w:tcW w:w="71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适用所得税率</w:t>
                  </w:r>
                </w:p>
              </w:tc>
              <w:tc>
                <w:tcPr>
                  <w:tcW w:w="811"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税前加权资金成本(WACCBT)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5" w:type="dxa"/>
                  <w:noWrap/>
                  <w:vAlign w:val="center"/>
                </w:tcPr>
                <w:p>
                  <w:pPr>
                    <w:rPr>
                      <w:rFonts w:hint="eastAsia" w:ascii="宋体" w:hAnsi="宋体" w:eastAsia="宋体" w:cs="宋体"/>
                      <w:sz w:val="24"/>
                      <w:szCs w:val="24"/>
                    </w:rPr>
                  </w:pPr>
                  <w:r>
                    <w:rPr>
                      <w:rFonts w:hint="eastAsia" w:ascii="宋体" w:hAnsi="宋体" w:eastAsia="宋体" w:cs="宋体"/>
                      <w:sz w:val="24"/>
                      <w:szCs w:val="24"/>
                    </w:rPr>
                    <w:t>鼎捷软件</w:t>
                  </w:r>
                </w:p>
              </w:tc>
              <w:tc>
                <w:tcPr>
                  <w:tcW w:w="714"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58</w:t>
                  </w:r>
                  <w:r>
                    <w:rPr>
                      <w:rFonts w:hint="eastAsia" w:ascii="宋体" w:hAnsi="宋体" w:eastAsia="宋体" w:cs="宋体"/>
                      <w:sz w:val="24"/>
                      <w:szCs w:val="24"/>
                      <w:lang w:eastAsia="zh-CN"/>
                    </w:rPr>
                    <w:t>，</w:t>
                  </w:r>
                  <w:r>
                    <w:rPr>
                      <w:rFonts w:hint="eastAsia" w:ascii="宋体" w:hAnsi="宋体" w:eastAsia="宋体" w:cs="宋体"/>
                      <w:sz w:val="24"/>
                      <w:szCs w:val="24"/>
                    </w:rPr>
                    <w:t>393.31</w:t>
                  </w:r>
                </w:p>
              </w:tc>
              <w:tc>
                <w:tcPr>
                  <w:tcW w:w="57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14.89%</w:t>
                  </w:r>
                </w:p>
              </w:tc>
              <w:tc>
                <w:tcPr>
                  <w:tcW w:w="77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333</w:t>
                  </w:r>
                  <w:r>
                    <w:rPr>
                      <w:rFonts w:hint="eastAsia" w:ascii="宋体" w:hAnsi="宋体" w:eastAsia="宋体" w:cs="宋体"/>
                      <w:sz w:val="24"/>
                      <w:szCs w:val="24"/>
                      <w:lang w:eastAsia="zh-CN"/>
                    </w:rPr>
                    <w:t>，</w:t>
                  </w:r>
                  <w:r>
                    <w:rPr>
                      <w:rFonts w:hint="eastAsia" w:ascii="宋体" w:hAnsi="宋体" w:eastAsia="宋体" w:cs="宋体"/>
                      <w:sz w:val="24"/>
                      <w:szCs w:val="24"/>
                    </w:rPr>
                    <w:t>877.18</w:t>
                  </w:r>
                </w:p>
              </w:tc>
              <w:tc>
                <w:tcPr>
                  <w:tcW w:w="68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85.11%</w:t>
                  </w:r>
                </w:p>
              </w:tc>
              <w:tc>
                <w:tcPr>
                  <w:tcW w:w="68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4.14%</w:t>
                  </w:r>
                </w:p>
              </w:tc>
              <w:tc>
                <w:tcPr>
                  <w:tcW w:w="69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6.62%</w:t>
                  </w:r>
                </w:p>
              </w:tc>
              <w:tc>
                <w:tcPr>
                  <w:tcW w:w="793"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14.40%</w:t>
                  </w:r>
                </w:p>
              </w:tc>
              <w:tc>
                <w:tcPr>
                  <w:tcW w:w="70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71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15%</w:t>
                  </w:r>
                </w:p>
              </w:tc>
              <w:tc>
                <w:tcPr>
                  <w:tcW w:w="811"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5" w:type="dxa"/>
                  <w:noWrap/>
                  <w:vAlign w:val="center"/>
                </w:tcPr>
                <w:p>
                  <w:pPr>
                    <w:rPr>
                      <w:rFonts w:hint="eastAsia" w:ascii="宋体" w:hAnsi="宋体" w:eastAsia="宋体" w:cs="宋体"/>
                      <w:sz w:val="24"/>
                      <w:szCs w:val="24"/>
                    </w:rPr>
                  </w:pPr>
                  <w:r>
                    <w:rPr>
                      <w:rFonts w:hint="eastAsia" w:ascii="宋体" w:hAnsi="宋体" w:eastAsia="宋体" w:cs="宋体"/>
                      <w:sz w:val="24"/>
                      <w:szCs w:val="24"/>
                    </w:rPr>
                    <w:t>赢时胜</w:t>
                  </w:r>
                </w:p>
              </w:tc>
              <w:tc>
                <w:tcPr>
                  <w:tcW w:w="71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22</w:t>
                  </w:r>
                  <w:r>
                    <w:rPr>
                      <w:rFonts w:hint="eastAsia" w:ascii="宋体" w:hAnsi="宋体" w:eastAsia="宋体" w:cs="宋体"/>
                      <w:sz w:val="24"/>
                      <w:szCs w:val="24"/>
                      <w:lang w:eastAsia="zh-CN"/>
                    </w:rPr>
                    <w:t>，</w:t>
                  </w:r>
                  <w:r>
                    <w:rPr>
                      <w:rFonts w:hint="eastAsia" w:ascii="宋体" w:hAnsi="宋体" w:eastAsia="宋体" w:cs="宋体"/>
                      <w:sz w:val="24"/>
                      <w:szCs w:val="24"/>
                    </w:rPr>
                    <w:t>663.00</w:t>
                  </w:r>
                </w:p>
              </w:tc>
              <w:tc>
                <w:tcPr>
                  <w:tcW w:w="57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2.87%</w:t>
                  </w:r>
                </w:p>
              </w:tc>
              <w:tc>
                <w:tcPr>
                  <w:tcW w:w="77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767</w:t>
                  </w:r>
                  <w:r>
                    <w:rPr>
                      <w:rFonts w:hint="eastAsia" w:ascii="宋体" w:hAnsi="宋体" w:eastAsia="宋体" w:cs="宋体"/>
                      <w:sz w:val="24"/>
                      <w:szCs w:val="24"/>
                      <w:lang w:eastAsia="zh-CN"/>
                    </w:rPr>
                    <w:t>，</w:t>
                  </w:r>
                  <w:r>
                    <w:rPr>
                      <w:rFonts w:hint="eastAsia" w:ascii="宋体" w:hAnsi="宋体" w:eastAsia="宋体" w:cs="宋体"/>
                      <w:sz w:val="24"/>
                      <w:szCs w:val="24"/>
                    </w:rPr>
                    <w:t>633.39</w:t>
                  </w:r>
                </w:p>
              </w:tc>
              <w:tc>
                <w:tcPr>
                  <w:tcW w:w="68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97.13%</w:t>
                  </w:r>
                </w:p>
              </w:tc>
              <w:tc>
                <w:tcPr>
                  <w:tcW w:w="68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4.14%</w:t>
                  </w:r>
                </w:p>
              </w:tc>
              <w:tc>
                <w:tcPr>
                  <w:tcW w:w="69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6.62%</w:t>
                  </w:r>
                </w:p>
              </w:tc>
              <w:tc>
                <w:tcPr>
                  <w:tcW w:w="793"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15.45%</w:t>
                  </w:r>
                </w:p>
              </w:tc>
              <w:tc>
                <w:tcPr>
                  <w:tcW w:w="70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71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15%</w:t>
                  </w:r>
                </w:p>
              </w:tc>
              <w:tc>
                <w:tcPr>
                  <w:tcW w:w="811"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5" w:type="dxa"/>
                  <w:noWrap/>
                  <w:vAlign w:val="center"/>
                </w:tcPr>
                <w:p>
                  <w:pPr>
                    <w:rPr>
                      <w:rFonts w:hint="eastAsia" w:ascii="宋体" w:hAnsi="宋体" w:eastAsia="宋体" w:cs="宋体"/>
                      <w:sz w:val="24"/>
                      <w:szCs w:val="24"/>
                    </w:rPr>
                  </w:pPr>
                  <w:r>
                    <w:rPr>
                      <w:rFonts w:hint="eastAsia" w:ascii="宋体" w:hAnsi="宋体" w:eastAsia="宋体" w:cs="宋体"/>
                      <w:sz w:val="24"/>
                      <w:szCs w:val="24"/>
                    </w:rPr>
                    <w:t>四方精创</w:t>
                  </w:r>
                </w:p>
              </w:tc>
              <w:tc>
                <w:tcPr>
                  <w:tcW w:w="71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232.47</w:t>
                  </w:r>
                </w:p>
              </w:tc>
              <w:tc>
                <w:tcPr>
                  <w:tcW w:w="57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0.07%</w:t>
                  </w:r>
                </w:p>
              </w:tc>
              <w:tc>
                <w:tcPr>
                  <w:tcW w:w="77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340</w:t>
                  </w:r>
                  <w:r>
                    <w:rPr>
                      <w:rFonts w:hint="eastAsia" w:ascii="宋体" w:hAnsi="宋体" w:eastAsia="宋体" w:cs="宋体"/>
                      <w:sz w:val="24"/>
                      <w:szCs w:val="24"/>
                      <w:lang w:eastAsia="zh-CN"/>
                    </w:rPr>
                    <w:t>，</w:t>
                  </w:r>
                  <w:r>
                    <w:rPr>
                      <w:rFonts w:hint="eastAsia" w:ascii="宋体" w:hAnsi="宋体" w:eastAsia="宋体" w:cs="宋体"/>
                      <w:sz w:val="24"/>
                      <w:szCs w:val="24"/>
                    </w:rPr>
                    <w:t>551.09</w:t>
                  </w:r>
                </w:p>
              </w:tc>
              <w:tc>
                <w:tcPr>
                  <w:tcW w:w="68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99.93%</w:t>
                  </w:r>
                </w:p>
              </w:tc>
              <w:tc>
                <w:tcPr>
                  <w:tcW w:w="68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4.14%</w:t>
                  </w:r>
                </w:p>
              </w:tc>
              <w:tc>
                <w:tcPr>
                  <w:tcW w:w="69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6.62%</w:t>
                  </w:r>
                </w:p>
              </w:tc>
              <w:tc>
                <w:tcPr>
                  <w:tcW w:w="793"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14.95%</w:t>
                  </w:r>
                </w:p>
              </w:tc>
              <w:tc>
                <w:tcPr>
                  <w:tcW w:w="70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71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15%</w:t>
                  </w:r>
                </w:p>
              </w:tc>
              <w:tc>
                <w:tcPr>
                  <w:tcW w:w="811"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815" w:type="dxa"/>
                  <w:noWrap/>
                  <w:vAlign w:val="center"/>
                </w:tcPr>
                <w:p>
                  <w:pPr>
                    <w:rPr>
                      <w:rFonts w:hint="eastAsia" w:ascii="宋体" w:hAnsi="宋体" w:eastAsia="宋体" w:cs="宋体"/>
                      <w:sz w:val="24"/>
                      <w:szCs w:val="24"/>
                    </w:rPr>
                  </w:pPr>
                  <w:r>
                    <w:rPr>
                      <w:rFonts w:hint="eastAsia" w:ascii="宋体" w:hAnsi="宋体" w:eastAsia="宋体" w:cs="宋体"/>
                      <w:sz w:val="24"/>
                      <w:szCs w:val="24"/>
                    </w:rPr>
                    <w:t>高新兴</w:t>
                  </w:r>
                </w:p>
              </w:tc>
              <w:tc>
                <w:tcPr>
                  <w:tcW w:w="71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33</w:t>
                  </w:r>
                  <w:r>
                    <w:rPr>
                      <w:rFonts w:hint="eastAsia" w:ascii="宋体" w:hAnsi="宋体" w:eastAsia="宋体" w:cs="宋体"/>
                      <w:sz w:val="24"/>
                      <w:szCs w:val="24"/>
                      <w:lang w:eastAsia="zh-CN"/>
                    </w:rPr>
                    <w:t>，</w:t>
                  </w:r>
                  <w:r>
                    <w:rPr>
                      <w:rFonts w:hint="eastAsia" w:ascii="宋体" w:hAnsi="宋体" w:eastAsia="宋体" w:cs="宋体"/>
                      <w:sz w:val="24"/>
                      <w:szCs w:val="24"/>
                    </w:rPr>
                    <w:t>667.99</w:t>
                  </w:r>
                </w:p>
              </w:tc>
              <w:tc>
                <w:tcPr>
                  <w:tcW w:w="57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2.84%</w:t>
                  </w:r>
                </w:p>
              </w:tc>
              <w:tc>
                <w:tcPr>
                  <w:tcW w:w="77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152</w:t>
                  </w:r>
                  <w:r>
                    <w:rPr>
                      <w:rFonts w:hint="eastAsia" w:ascii="宋体" w:hAnsi="宋体" w:eastAsia="宋体" w:cs="宋体"/>
                      <w:sz w:val="24"/>
                      <w:szCs w:val="24"/>
                      <w:lang w:eastAsia="zh-CN"/>
                    </w:rPr>
                    <w:t>，</w:t>
                  </w:r>
                  <w:r>
                    <w:rPr>
                      <w:rFonts w:hint="eastAsia" w:ascii="宋体" w:hAnsi="宋体" w:eastAsia="宋体" w:cs="宋体"/>
                      <w:sz w:val="24"/>
                      <w:szCs w:val="24"/>
                    </w:rPr>
                    <w:t>233.08</w:t>
                  </w:r>
                </w:p>
              </w:tc>
              <w:tc>
                <w:tcPr>
                  <w:tcW w:w="68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97.16%</w:t>
                  </w:r>
                </w:p>
              </w:tc>
              <w:tc>
                <w:tcPr>
                  <w:tcW w:w="68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4.14%</w:t>
                  </w:r>
                </w:p>
              </w:tc>
              <w:tc>
                <w:tcPr>
                  <w:tcW w:w="69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6.62%</w:t>
                  </w:r>
                </w:p>
              </w:tc>
              <w:tc>
                <w:tcPr>
                  <w:tcW w:w="793"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14.99%</w:t>
                  </w:r>
                </w:p>
              </w:tc>
              <w:tc>
                <w:tcPr>
                  <w:tcW w:w="70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71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15%</w:t>
                  </w:r>
                </w:p>
              </w:tc>
              <w:tc>
                <w:tcPr>
                  <w:tcW w:w="811"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529" w:type="dxa"/>
                  <w:gridSpan w:val="2"/>
                  <w:noWrap/>
                  <w:vAlign w:val="center"/>
                </w:tcPr>
                <w:p>
                  <w:pPr>
                    <w:rPr>
                      <w:rFonts w:hint="eastAsia" w:ascii="宋体" w:hAnsi="宋体" w:eastAsia="宋体" w:cs="宋体"/>
                      <w:sz w:val="24"/>
                      <w:szCs w:val="24"/>
                    </w:rPr>
                  </w:pPr>
                  <w:r>
                    <w:rPr>
                      <w:rFonts w:hint="eastAsia" w:ascii="宋体" w:hAnsi="宋体" w:eastAsia="宋体" w:cs="宋体"/>
                      <w:sz w:val="24"/>
                      <w:szCs w:val="24"/>
                    </w:rPr>
                    <w:t>对比公司平均投资回报率</w:t>
                  </w:r>
                </w:p>
              </w:tc>
              <w:tc>
                <w:tcPr>
                  <w:tcW w:w="6424" w:type="dxa"/>
                  <w:gridSpan w:val="9"/>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14.41%</w:t>
                  </w:r>
                </w:p>
              </w:tc>
            </w:tr>
          </w:tbl>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2、无形资产投资回报率</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上述计算的WACCBT可以理解为投资企业全部资产的期望回报率，企业全部资产包括流动资产、固定资产和无形资产组成。WACCBT可以用下式表述：</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WACCBT=W</w:t>
            </w:r>
            <w:r>
              <w:rPr>
                <w:rFonts w:hint="eastAsia" w:ascii="宋体" w:hAnsi="宋体" w:eastAsia="宋体" w:cs="宋体"/>
                <w:color w:val="auto"/>
                <w:kern w:val="40"/>
                <w:sz w:val="24"/>
                <w:szCs w:val="24"/>
                <w:vertAlign w:val="subscript"/>
                <w:lang w:val="en-US" w:eastAsia="zh-CN" w:bidi="ar-SA"/>
              </w:rPr>
              <w:t>c</w:t>
            </w:r>
            <w:r>
              <w:rPr>
                <w:rFonts w:hint="eastAsia" w:ascii="宋体" w:hAnsi="宋体" w:eastAsia="宋体" w:cs="宋体"/>
                <w:color w:val="auto"/>
                <w:kern w:val="40"/>
                <w:sz w:val="24"/>
                <w:szCs w:val="24"/>
                <w:lang w:val="en-US" w:eastAsia="zh-CN" w:bidi="ar-SA"/>
              </w:rPr>
              <w:t>×R</w:t>
            </w:r>
            <w:r>
              <w:rPr>
                <w:rFonts w:hint="eastAsia" w:ascii="宋体" w:hAnsi="宋体" w:eastAsia="宋体" w:cs="宋体"/>
                <w:color w:val="auto"/>
                <w:kern w:val="40"/>
                <w:sz w:val="24"/>
                <w:szCs w:val="24"/>
                <w:vertAlign w:val="subscript"/>
                <w:lang w:val="en-US" w:eastAsia="zh-CN" w:bidi="ar-SA"/>
              </w:rPr>
              <w:t>c</w:t>
            </w:r>
            <w:r>
              <w:rPr>
                <w:rFonts w:hint="eastAsia" w:ascii="宋体" w:hAnsi="宋体" w:eastAsia="宋体" w:cs="宋体"/>
                <w:color w:val="auto"/>
                <w:kern w:val="40"/>
                <w:sz w:val="24"/>
                <w:szCs w:val="24"/>
                <w:lang w:val="en-US" w:eastAsia="zh-CN" w:bidi="ar-SA"/>
              </w:rPr>
              <w:t>+W</w:t>
            </w:r>
            <w:r>
              <w:rPr>
                <w:rFonts w:hint="eastAsia" w:ascii="宋体" w:hAnsi="宋体" w:eastAsia="宋体" w:cs="宋体"/>
                <w:color w:val="auto"/>
                <w:kern w:val="40"/>
                <w:sz w:val="24"/>
                <w:szCs w:val="24"/>
                <w:vertAlign w:val="subscript"/>
                <w:lang w:val="en-US" w:eastAsia="zh-CN" w:bidi="ar-SA"/>
              </w:rPr>
              <w:t>f</w:t>
            </w:r>
            <w:r>
              <w:rPr>
                <w:rFonts w:hint="eastAsia" w:ascii="宋体" w:hAnsi="宋体" w:eastAsia="宋体" w:cs="宋体"/>
                <w:color w:val="auto"/>
                <w:kern w:val="40"/>
                <w:sz w:val="24"/>
                <w:szCs w:val="24"/>
                <w:lang w:val="en-US" w:eastAsia="zh-CN" w:bidi="ar-SA"/>
              </w:rPr>
              <w:t>×R</w:t>
            </w:r>
            <w:r>
              <w:rPr>
                <w:rFonts w:hint="eastAsia" w:ascii="宋体" w:hAnsi="宋体" w:eastAsia="宋体" w:cs="宋体"/>
                <w:color w:val="auto"/>
                <w:kern w:val="40"/>
                <w:sz w:val="24"/>
                <w:szCs w:val="24"/>
                <w:vertAlign w:val="subscript"/>
                <w:lang w:val="en-US" w:eastAsia="zh-CN" w:bidi="ar-SA"/>
              </w:rPr>
              <w:t>f</w:t>
            </w:r>
            <w:r>
              <w:rPr>
                <w:rFonts w:hint="eastAsia" w:ascii="宋体" w:hAnsi="宋体" w:eastAsia="宋体" w:cs="宋体"/>
                <w:color w:val="auto"/>
                <w:kern w:val="40"/>
                <w:sz w:val="24"/>
                <w:szCs w:val="24"/>
                <w:lang w:val="en-US" w:eastAsia="zh-CN" w:bidi="ar-SA"/>
              </w:rPr>
              <w:t>+W</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×R</w:t>
            </w:r>
            <w:r>
              <w:rPr>
                <w:rFonts w:hint="eastAsia" w:ascii="宋体" w:hAnsi="宋体" w:eastAsia="宋体" w:cs="宋体"/>
                <w:color w:val="auto"/>
                <w:kern w:val="40"/>
                <w:sz w:val="24"/>
                <w:szCs w:val="24"/>
                <w:vertAlign w:val="subscript"/>
                <w:lang w:val="en-US" w:eastAsia="zh-CN" w:bidi="ar-SA"/>
              </w:rPr>
              <w:t>i</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其中，W</w:t>
            </w:r>
            <w:r>
              <w:rPr>
                <w:rFonts w:hint="eastAsia" w:ascii="宋体" w:hAnsi="宋体" w:eastAsia="宋体" w:cs="宋体"/>
                <w:color w:val="auto"/>
                <w:kern w:val="40"/>
                <w:sz w:val="24"/>
                <w:szCs w:val="24"/>
                <w:vertAlign w:val="subscript"/>
                <w:lang w:val="en-US" w:eastAsia="zh-CN" w:bidi="ar-SA"/>
              </w:rPr>
              <w:t>c</w:t>
            </w:r>
            <w:r>
              <w:rPr>
                <w:rFonts w:hint="eastAsia" w:ascii="宋体" w:hAnsi="宋体" w:eastAsia="宋体" w:cs="宋体"/>
                <w:color w:val="auto"/>
                <w:kern w:val="40"/>
                <w:sz w:val="24"/>
                <w:szCs w:val="24"/>
                <w:lang w:val="en-US" w:eastAsia="zh-CN" w:bidi="ar-SA"/>
              </w:rPr>
              <w:t>：为流动资产（资金）占全部资；W</w:t>
            </w:r>
            <w:r>
              <w:rPr>
                <w:rFonts w:hint="eastAsia" w:ascii="宋体" w:hAnsi="宋体" w:eastAsia="宋体" w:cs="宋体"/>
                <w:color w:val="auto"/>
                <w:kern w:val="40"/>
                <w:sz w:val="24"/>
                <w:szCs w:val="24"/>
                <w:vertAlign w:val="subscript"/>
                <w:lang w:val="en-US" w:eastAsia="zh-CN" w:bidi="ar-SA"/>
              </w:rPr>
              <w:t>f</w:t>
            </w:r>
            <w:r>
              <w:rPr>
                <w:rFonts w:hint="eastAsia" w:ascii="宋体" w:hAnsi="宋体" w:eastAsia="宋体" w:cs="宋体"/>
                <w:color w:val="auto"/>
                <w:kern w:val="40"/>
                <w:sz w:val="24"/>
                <w:szCs w:val="24"/>
                <w:lang w:val="en-US" w:eastAsia="zh-CN" w:bidi="ar-SA"/>
              </w:rPr>
              <w:t>：为固定资产（资金）占全部资产比例；W</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：为无形资产（资金）占全部资产比例；R</w:t>
            </w:r>
            <w:r>
              <w:rPr>
                <w:rFonts w:hint="eastAsia" w:ascii="宋体" w:hAnsi="宋体" w:eastAsia="宋体" w:cs="宋体"/>
                <w:color w:val="auto"/>
                <w:kern w:val="40"/>
                <w:sz w:val="24"/>
                <w:szCs w:val="24"/>
                <w:vertAlign w:val="subscript"/>
                <w:lang w:val="en-US" w:eastAsia="zh-CN" w:bidi="ar-SA"/>
              </w:rPr>
              <w:t>c</w:t>
            </w:r>
            <w:r>
              <w:rPr>
                <w:rFonts w:hint="eastAsia" w:ascii="宋体" w:hAnsi="宋体" w:eastAsia="宋体" w:cs="宋体"/>
                <w:color w:val="auto"/>
                <w:kern w:val="40"/>
                <w:sz w:val="24"/>
                <w:szCs w:val="24"/>
                <w:lang w:val="en-US" w:eastAsia="zh-CN" w:bidi="ar-SA"/>
              </w:rPr>
              <w:t>：为投资流动资产（资金）期望回报率；R</w:t>
            </w:r>
            <w:r>
              <w:rPr>
                <w:rFonts w:hint="eastAsia" w:ascii="宋体" w:hAnsi="宋体" w:eastAsia="宋体" w:cs="宋体"/>
                <w:color w:val="auto"/>
                <w:kern w:val="40"/>
                <w:sz w:val="24"/>
                <w:szCs w:val="24"/>
                <w:vertAlign w:val="subscript"/>
                <w:lang w:val="en-US" w:eastAsia="zh-CN" w:bidi="ar-SA"/>
              </w:rPr>
              <w:t>f</w:t>
            </w:r>
            <w:r>
              <w:rPr>
                <w:rFonts w:hint="eastAsia" w:ascii="宋体" w:hAnsi="宋体" w:eastAsia="宋体" w:cs="宋体"/>
                <w:color w:val="auto"/>
                <w:kern w:val="40"/>
                <w:sz w:val="24"/>
                <w:szCs w:val="24"/>
                <w:lang w:val="en-US" w:eastAsia="zh-CN" w:bidi="ar-SA"/>
              </w:rPr>
              <w:t>：为投资固定资产（资金）期望回报率；R</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：为投资无形资产（资金）期望回报率。</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投资流动资产所承担的风险相对最小，因而期望回报率应最低。本案例取一年内银行贷款基准利率4.35%为投资流动资产期望回报率。投资固定资产所承担的风险较流动资产高，因而期望回报率比流动资产高，本次评估取5年以上货款利率为4.9%计算。</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故上式可转换为：</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auto"/>
                <w:kern w:val="40"/>
                <w:position w:val="-30"/>
                <w:sz w:val="24"/>
                <w:szCs w:val="24"/>
                <w:lang w:val="en-US" w:eastAsia="zh-CN" w:bidi="ar-SA"/>
              </w:rPr>
              <w:object>
                <v:shape id="_x0000_i1031" o:spt="75" type="#_x0000_t75" style="height:34pt;width:178pt;" o:ole="t" filled="f" o:preferrelative="t" stroked="f" coordsize="21600,21600">
                  <v:path/>
                  <v:fill on="f" focussize="0,0"/>
                  <v:stroke on="f"/>
                  <v:imagedata r:id="rId15" o:title=""/>
                  <o:lock v:ext="edit" aspectratio="t"/>
                  <w10:wrap type="none"/>
                  <w10:anchorlock/>
                </v:shape>
                <o:OLEObject Type="Embed" ProgID="Equation.KSEE3" ShapeID="_x0000_i1031" DrawAspect="Content" ObjectID="_1468075731" r:id="rId14">
                  <o:LockedField>false</o:LockedField>
                </o:OLEObject>
              </w:objec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通过上式，可以计算得到R</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，作为投资无形资产的期望回报率。</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本案例对于流动资产本案例在估算中采用企业营运资金，对于固定资产本案例在估算中采用企业固定资产账面净值和长期投资账面净值。相关内容如下表：</w:t>
            </w:r>
          </w:p>
          <w:p>
            <w:pPr>
              <w:pStyle w:val="3"/>
              <w:keepNext w:val="0"/>
              <w:keepLines w:val="0"/>
              <w:pageBreakBefore w:val="0"/>
              <w:widowControl w:val="0"/>
              <w:kinsoku/>
              <w:wordWrap/>
              <w:overflowPunct/>
              <w:topLinePunct w:val="0"/>
              <w:autoSpaceDE/>
              <w:autoSpaceDN/>
              <w:bidi w:val="0"/>
              <w:adjustRightInd/>
              <w:spacing w:line="300" w:lineRule="auto"/>
              <w:jc w:val="center"/>
              <w:textAlignment w:val="auto"/>
              <w:rPr>
                <w:rFonts w:hint="default" w:ascii="宋体" w:hAnsi="宋体" w:eastAsia="宋体" w:cs="宋体"/>
                <w:color w:val="000000"/>
                <w:sz w:val="24"/>
                <w:szCs w:val="24"/>
                <w:lang w:val="en-US" w:eastAsia="zh-CN"/>
              </w:rPr>
            </w:pPr>
            <w:r>
              <w:rPr>
                <w:rFonts w:hint="eastAsia" w:ascii="宋体" w:hAnsi="宋体" w:eastAsia="宋体" w:cs="宋体"/>
                <w:color w:val="auto"/>
                <w:kern w:val="40"/>
                <w:sz w:val="24"/>
                <w:szCs w:val="24"/>
                <w:lang w:val="en-US" w:eastAsia="zh-CN" w:bidi="ar-SA"/>
              </w:rPr>
              <w:t>表21 对比公司的无形资产投资回报率平均值</w:t>
            </w:r>
          </w:p>
          <w:tbl>
            <w:tblPr>
              <w:tblStyle w:val="7"/>
              <w:tblW w:w="81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
              <w:gridCol w:w="706"/>
              <w:gridCol w:w="1019"/>
              <w:gridCol w:w="1056"/>
              <w:gridCol w:w="1006"/>
              <w:gridCol w:w="1050"/>
              <w:gridCol w:w="1006"/>
              <w:gridCol w:w="996"/>
              <w:gridCol w:w="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34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70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对比对象</w:t>
                  </w:r>
                </w:p>
              </w:tc>
              <w:tc>
                <w:tcPr>
                  <w:tcW w:w="1019" w:type="dxa"/>
                  <w:noWrap w:val="0"/>
                  <w:vAlign w:val="center"/>
                </w:tcPr>
                <w:p>
                  <w:pPr>
                    <w:jc w:val="left"/>
                    <w:rPr>
                      <w:rFonts w:hint="eastAsia" w:ascii="宋体" w:hAnsi="宋体" w:eastAsia="宋体" w:cs="宋体"/>
                      <w:sz w:val="24"/>
                      <w:szCs w:val="24"/>
                    </w:rPr>
                  </w:pPr>
                  <w:r>
                    <w:rPr>
                      <w:rFonts w:hint="eastAsia" w:ascii="宋体" w:hAnsi="宋体" w:eastAsia="宋体" w:cs="宋体"/>
                      <w:sz w:val="24"/>
                      <w:szCs w:val="24"/>
                    </w:rPr>
                    <w:t>营运资金比重%(W</w:t>
                  </w:r>
                  <w:r>
                    <w:rPr>
                      <w:rFonts w:hint="eastAsia" w:ascii="宋体" w:hAnsi="宋体" w:eastAsia="宋体" w:cs="宋体"/>
                      <w:sz w:val="24"/>
                      <w:szCs w:val="24"/>
                      <w:vertAlign w:val="subscript"/>
                    </w:rPr>
                    <w:t>c</w:t>
                  </w:r>
                  <w:r>
                    <w:rPr>
                      <w:rFonts w:hint="eastAsia" w:ascii="宋体" w:hAnsi="宋体" w:eastAsia="宋体" w:cs="宋体"/>
                      <w:sz w:val="24"/>
                      <w:szCs w:val="24"/>
                    </w:rPr>
                    <w:t>)</w:t>
                  </w:r>
                </w:p>
              </w:tc>
              <w:tc>
                <w:tcPr>
                  <w:tcW w:w="1056" w:type="dxa"/>
                  <w:noWrap w:val="0"/>
                  <w:vAlign w:val="center"/>
                </w:tcPr>
                <w:p>
                  <w:pPr>
                    <w:jc w:val="left"/>
                    <w:rPr>
                      <w:rFonts w:hint="eastAsia" w:ascii="宋体" w:hAnsi="宋体" w:eastAsia="宋体" w:cs="宋体"/>
                      <w:sz w:val="24"/>
                      <w:szCs w:val="24"/>
                    </w:rPr>
                  </w:pPr>
                  <w:r>
                    <w:rPr>
                      <w:rFonts w:hint="eastAsia" w:ascii="宋体" w:hAnsi="宋体" w:eastAsia="宋体" w:cs="宋体"/>
                      <w:sz w:val="24"/>
                      <w:szCs w:val="24"/>
                    </w:rPr>
                    <w:t>营运资金回报率%(R</w:t>
                  </w:r>
                  <w:r>
                    <w:rPr>
                      <w:rFonts w:hint="eastAsia" w:ascii="宋体" w:hAnsi="宋体" w:eastAsia="宋体" w:cs="宋体"/>
                      <w:sz w:val="24"/>
                      <w:szCs w:val="24"/>
                      <w:vertAlign w:val="subscript"/>
                    </w:rPr>
                    <w:t>c</w:t>
                  </w:r>
                  <w:r>
                    <w:rPr>
                      <w:rFonts w:hint="eastAsia" w:ascii="宋体" w:hAnsi="宋体" w:eastAsia="宋体" w:cs="宋体"/>
                      <w:sz w:val="24"/>
                      <w:szCs w:val="24"/>
                    </w:rPr>
                    <w:t>)</w:t>
                  </w:r>
                </w:p>
              </w:tc>
              <w:tc>
                <w:tcPr>
                  <w:tcW w:w="1006" w:type="dxa"/>
                  <w:noWrap w:val="0"/>
                  <w:vAlign w:val="center"/>
                </w:tcPr>
                <w:p>
                  <w:pPr>
                    <w:jc w:val="left"/>
                    <w:rPr>
                      <w:rFonts w:hint="eastAsia" w:ascii="宋体" w:hAnsi="宋体" w:eastAsia="宋体" w:cs="宋体"/>
                      <w:sz w:val="24"/>
                      <w:szCs w:val="24"/>
                    </w:rPr>
                  </w:pPr>
                  <w:r>
                    <w:rPr>
                      <w:rFonts w:hint="eastAsia" w:ascii="宋体" w:hAnsi="宋体" w:eastAsia="宋体" w:cs="宋体"/>
                      <w:sz w:val="24"/>
                      <w:szCs w:val="24"/>
                    </w:rPr>
                    <w:t>有形非流动资产比重%(W</w:t>
                  </w:r>
                  <w:r>
                    <w:rPr>
                      <w:rFonts w:hint="eastAsia" w:ascii="宋体" w:hAnsi="宋体" w:eastAsia="宋体" w:cs="宋体"/>
                      <w:sz w:val="24"/>
                      <w:szCs w:val="24"/>
                      <w:vertAlign w:val="subscript"/>
                    </w:rPr>
                    <w:t>f</w:t>
                  </w:r>
                  <w:r>
                    <w:rPr>
                      <w:rFonts w:hint="eastAsia" w:ascii="宋体" w:hAnsi="宋体" w:eastAsia="宋体" w:cs="宋体"/>
                      <w:sz w:val="24"/>
                      <w:szCs w:val="24"/>
                    </w:rPr>
                    <w:t>)</w:t>
                  </w:r>
                </w:p>
              </w:tc>
              <w:tc>
                <w:tcPr>
                  <w:tcW w:w="1050" w:type="dxa"/>
                  <w:noWrap w:val="0"/>
                  <w:vAlign w:val="center"/>
                </w:tcPr>
                <w:p>
                  <w:pPr>
                    <w:jc w:val="left"/>
                    <w:rPr>
                      <w:rFonts w:hint="eastAsia" w:ascii="宋体" w:hAnsi="宋体" w:eastAsia="宋体" w:cs="宋体"/>
                      <w:sz w:val="24"/>
                      <w:szCs w:val="24"/>
                    </w:rPr>
                  </w:pPr>
                  <w:r>
                    <w:rPr>
                      <w:rFonts w:hint="eastAsia" w:ascii="宋体" w:hAnsi="宋体" w:eastAsia="宋体" w:cs="宋体"/>
                      <w:sz w:val="24"/>
                      <w:szCs w:val="24"/>
                    </w:rPr>
                    <w:t>有形非流动资产回报率%(R</w:t>
                  </w:r>
                  <w:r>
                    <w:rPr>
                      <w:rFonts w:hint="eastAsia" w:ascii="宋体" w:hAnsi="宋体" w:eastAsia="宋体" w:cs="宋体"/>
                      <w:sz w:val="24"/>
                      <w:szCs w:val="24"/>
                      <w:vertAlign w:val="subscript"/>
                    </w:rPr>
                    <w:t>f</w:t>
                  </w:r>
                  <w:r>
                    <w:rPr>
                      <w:rFonts w:hint="eastAsia" w:ascii="宋体" w:hAnsi="宋体" w:eastAsia="宋体" w:cs="宋体"/>
                      <w:sz w:val="24"/>
                      <w:szCs w:val="24"/>
                    </w:rPr>
                    <w:t>)</w:t>
                  </w:r>
                </w:p>
              </w:tc>
              <w:tc>
                <w:tcPr>
                  <w:tcW w:w="1006" w:type="dxa"/>
                  <w:noWrap w:val="0"/>
                  <w:vAlign w:val="center"/>
                </w:tcPr>
                <w:p>
                  <w:pPr>
                    <w:jc w:val="left"/>
                    <w:rPr>
                      <w:rFonts w:hint="eastAsia" w:ascii="宋体" w:hAnsi="宋体" w:eastAsia="宋体" w:cs="宋体"/>
                      <w:sz w:val="24"/>
                      <w:szCs w:val="24"/>
                    </w:rPr>
                  </w:pPr>
                  <w:r>
                    <w:rPr>
                      <w:rFonts w:hint="eastAsia" w:ascii="宋体" w:hAnsi="宋体" w:eastAsia="宋体" w:cs="宋体"/>
                      <w:sz w:val="24"/>
                      <w:szCs w:val="24"/>
                    </w:rPr>
                    <w:t>无形非流动资产比重%(W</w:t>
                  </w:r>
                  <w:r>
                    <w:rPr>
                      <w:rFonts w:hint="eastAsia" w:ascii="宋体" w:hAnsi="宋体" w:eastAsia="宋体" w:cs="宋体"/>
                      <w:sz w:val="24"/>
                      <w:szCs w:val="24"/>
                      <w:vertAlign w:val="subscript"/>
                    </w:rPr>
                    <w:t>i</w:t>
                  </w:r>
                  <w:r>
                    <w:rPr>
                      <w:rFonts w:hint="eastAsia" w:ascii="宋体" w:hAnsi="宋体" w:eastAsia="宋体" w:cs="宋体"/>
                      <w:sz w:val="24"/>
                      <w:szCs w:val="24"/>
                    </w:rPr>
                    <w:t>)</w:t>
                  </w:r>
                </w:p>
              </w:tc>
              <w:tc>
                <w:tcPr>
                  <w:tcW w:w="996" w:type="dxa"/>
                  <w:noWrap/>
                  <w:vAlign w:val="center"/>
                </w:tcPr>
                <w:p>
                  <w:pPr>
                    <w:jc w:val="left"/>
                    <w:rPr>
                      <w:rFonts w:hint="eastAsia" w:ascii="宋体" w:hAnsi="宋体" w:eastAsia="宋体" w:cs="宋体"/>
                      <w:sz w:val="24"/>
                      <w:szCs w:val="24"/>
                    </w:rPr>
                  </w:pPr>
                  <w:r>
                    <w:rPr>
                      <w:rFonts w:hint="eastAsia" w:ascii="宋体" w:hAnsi="宋体" w:eastAsia="宋体" w:cs="宋体"/>
                      <w:sz w:val="24"/>
                      <w:szCs w:val="24"/>
                    </w:rPr>
                    <w:t>税前加权资金成本(WACCBT）</w:t>
                  </w:r>
                </w:p>
              </w:tc>
              <w:tc>
                <w:tcPr>
                  <w:tcW w:w="971" w:type="dxa"/>
                  <w:noWrap w:val="0"/>
                  <w:vAlign w:val="center"/>
                </w:tcPr>
                <w:p>
                  <w:pPr>
                    <w:jc w:val="left"/>
                    <w:rPr>
                      <w:rFonts w:hint="eastAsia" w:ascii="宋体" w:hAnsi="宋体" w:eastAsia="宋体" w:cs="宋体"/>
                      <w:sz w:val="24"/>
                      <w:szCs w:val="24"/>
                    </w:rPr>
                  </w:pPr>
                  <w:r>
                    <w:rPr>
                      <w:rFonts w:hint="eastAsia" w:ascii="宋体" w:hAnsi="宋体" w:eastAsia="宋体" w:cs="宋体"/>
                      <w:sz w:val="24"/>
                      <w:szCs w:val="24"/>
                    </w:rPr>
                    <w:t>无形非流动资产回报率%(R</w:t>
                  </w:r>
                  <w:r>
                    <w:rPr>
                      <w:rFonts w:hint="eastAsia" w:ascii="宋体" w:hAnsi="宋体" w:eastAsia="宋体" w:cs="宋体"/>
                      <w:sz w:val="24"/>
                      <w:szCs w:val="24"/>
                      <w:vertAlign w:val="subscript"/>
                    </w:rPr>
                    <w:t>i</w:t>
                  </w: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4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706"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鼎捷软件</w:t>
                  </w:r>
                </w:p>
              </w:tc>
              <w:tc>
                <w:tcPr>
                  <w:tcW w:w="1019"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7.83%</w:t>
                  </w:r>
                </w:p>
              </w:tc>
              <w:tc>
                <w:tcPr>
                  <w:tcW w:w="105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100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27.26%</w:t>
                  </w:r>
                </w:p>
              </w:tc>
              <w:tc>
                <w:tcPr>
                  <w:tcW w:w="105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4.90%</w:t>
                  </w:r>
                </w:p>
              </w:tc>
              <w:tc>
                <w:tcPr>
                  <w:tcW w:w="100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64.91%</w:t>
                  </w:r>
                </w:p>
              </w:tc>
              <w:tc>
                <w:tcPr>
                  <w:tcW w:w="996"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12.90%</w:t>
                  </w:r>
                </w:p>
              </w:tc>
              <w:tc>
                <w:tcPr>
                  <w:tcW w:w="971"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4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706"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赢时胜</w:t>
                  </w:r>
                </w:p>
              </w:tc>
              <w:tc>
                <w:tcPr>
                  <w:tcW w:w="1019"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15.20%</w:t>
                  </w:r>
                </w:p>
              </w:tc>
              <w:tc>
                <w:tcPr>
                  <w:tcW w:w="105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100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18.60%</w:t>
                  </w:r>
                </w:p>
              </w:tc>
              <w:tc>
                <w:tcPr>
                  <w:tcW w:w="105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4.90%</w:t>
                  </w:r>
                </w:p>
              </w:tc>
              <w:tc>
                <w:tcPr>
                  <w:tcW w:w="100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66.20%</w:t>
                  </w:r>
                </w:p>
              </w:tc>
              <w:tc>
                <w:tcPr>
                  <w:tcW w:w="996"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15.13%</w:t>
                  </w:r>
                </w:p>
              </w:tc>
              <w:tc>
                <w:tcPr>
                  <w:tcW w:w="971"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4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706"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四方精创</w:t>
                  </w:r>
                </w:p>
              </w:tc>
              <w:tc>
                <w:tcPr>
                  <w:tcW w:w="1019"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16.95%</w:t>
                  </w:r>
                </w:p>
              </w:tc>
              <w:tc>
                <w:tcPr>
                  <w:tcW w:w="105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100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14.04%</w:t>
                  </w:r>
                </w:p>
              </w:tc>
              <w:tc>
                <w:tcPr>
                  <w:tcW w:w="105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4.90%</w:t>
                  </w:r>
                </w:p>
              </w:tc>
              <w:tc>
                <w:tcPr>
                  <w:tcW w:w="100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69.01%</w:t>
                  </w:r>
                </w:p>
              </w:tc>
              <w:tc>
                <w:tcPr>
                  <w:tcW w:w="996"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14.94%</w:t>
                  </w:r>
                </w:p>
              </w:tc>
              <w:tc>
                <w:tcPr>
                  <w:tcW w:w="971"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4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706"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高新兴</w:t>
                  </w:r>
                </w:p>
              </w:tc>
              <w:tc>
                <w:tcPr>
                  <w:tcW w:w="1019"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12.87%</w:t>
                  </w:r>
                </w:p>
              </w:tc>
              <w:tc>
                <w:tcPr>
                  <w:tcW w:w="105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100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18.95%</w:t>
                  </w:r>
                </w:p>
              </w:tc>
              <w:tc>
                <w:tcPr>
                  <w:tcW w:w="105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4.90%</w:t>
                  </w:r>
                </w:p>
              </w:tc>
              <w:tc>
                <w:tcPr>
                  <w:tcW w:w="1006"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68.18%</w:t>
                  </w:r>
                </w:p>
              </w:tc>
              <w:tc>
                <w:tcPr>
                  <w:tcW w:w="996"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14.69%</w:t>
                  </w:r>
                </w:p>
              </w:tc>
              <w:tc>
                <w:tcPr>
                  <w:tcW w:w="971"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19.36%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2069" w:type="dxa"/>
                  <w:gridSpan w:val="3"/>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对比公司平均值</w:t>
                  </w:r>
                </w:p>
              </w:tc>
              <w:tc>
                <w:tcPr>
                  <w:tcW w:w="1056" w:type="dxa"/>
                  <w:noWrap w:val="0"/>
                  <w:vAlign w:val="center"/>
                </w:tcPr>
                <w:p>
                  <w:pPr>
                    <w:jc w:val="center"/>
                    <w:rPr>
                      <w:rFonts w:hint="eastAsia" w:ascii="宋体" w:hAnsi="宋体" w:eastAsia="宋体" w:cs="宋体"/>
                      <w:b w:val="0"/>
                      <w:bCs w:val="0"/>
                      <w:sz w:val="24"/>
                      <w:szCs w:val="24"/>
                    </w:rPr>
                  </w:pPr>
                </w:p>
              </w:tc>
              <w:tc>
                <w:tcPr>
                  <w:tcW w:w="1006" w:type="dxa"/>
                  <w:noWrap w:val="0"/>
                  <w:vAlign w:val="center"/>
                </w:tcPr>
                <w:p>
                  <w:pPr>
                    <w:jc w:val="center"/>
                    <w:rPr>
                      <w:rFonts w:hint="eastAsia" w:ascii="宋体" w:hAnsi="宋体" w:eastAsia="宋体" w:cs="宋体"/>
                      <w:b w:val="0"/>
                      <w:bCs w:val="0"/>
                      <w:sz w:val="24"/>
                      <w:szCs w:val="24"/>
                    </w:rPr>
                  </w:pPr>
                </w:p>
              </w:tc>
              <w:tc>
                <w:tcPr>
                  <w:tcW w:w="1050" w:type="dxa"/>
                  <w:noWrap w:val="0"/>
                  <w:vAlign w:val="center"/>
                </w:tcPr>
                <w:p>
                  <w:pPr>
                    <w:jc w:val="center"/>
                    <w:rPr>
                      <w:rFonts w:hint="eastAsia" w:ascii="宋体" w:hAnsi="宋体" w:eastAsia="宋体" w:cs="宋体"/>
                      <w:b w:val="0"/>
                      <w:bCs w:val="0"/>
                      <w:sz w:val="24"/>
                      <w:szCs w:val="24"/>
                    </w:rPr>
                  </w:pPr>
                </w:p>
              </w:tc>
              <w:tc>
                <w:tcPr>
                  <w:tcW w:w="1006" w:type="dxa"/>
                  <w:noWrap w:val="0"/>
                  <w:vAlign w:val="center"/>
                </w:tcPr>
                <w:p>
                  <w:pPr>
                    <w:jc w:val="center"/>
                    <w:rPr>
                      <w:rFonts w:hint="eastAsia" w:ascii="宋体" w:hAnsi="宋体" w:eastAsia="宋体" w:cs="宋体"/>
                      <w:b w:val="0"/>
                      <w:bCs w:val="0"/>
                      <w:sz w:val="24"/>
                      <w:szCs w:val="24"/>
                    </w:rPr>
                  </w:pPr>
                </w:p>
              </w:tc>
              <w:tc>
                <w:tcPr>
                  <w:tcW w:w="996" w:type="dxa"/>
                  <w:noWrap/>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14.41%</w:t>
                  </w:r>
                </w:p>
              </w:tc>
              <w:tc>
                <w:tcPr>
                  <w:tcW w:w="971"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19.18%</w:t>
                  </w:r>
                </w:p>
              </w:tc>
            </w:tr>
          </w:tbl>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根据上述计算得出无形资产投资回报率的计算公式得出对比公司的无形资产投资回报率平均值为19.18%。</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（五）评估结论</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将上述计算出的评估参数代入公式，委估计算机著作权评估计算过程见下表：</w:t>
            </w:r>
          </w:p>
          <w:p>
            <w:pPr>
              <w:pStyle w:val="3"/>
              <w:keepNext w:val="0"/>
              <w:keepLines w:val="0"/>
              <w:pageBreakBefore w:val="0"/>
              <w:widowControl w:val="0"/>
              <w:kinsoku/>
              <w:wordWrap/>
              <w:overflowPunct/>
              <w:topLinePunct w:val="0"/>
              <w:autoSpaceDE/>
              <w:autoSpaceDN/>
              <w:bidi w:val="0"/>
              <w:adjustRightInd/>
              <w:spacing w:line="300" w:lineRule="auto"/>
              <w:jc w:val="center"/>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表22计算机著作权评估价值计算表</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jc w:val="right"/>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单位：万元</w:t>
            </w:r>
          </w:p>
          <w:tbl>
            <w:tblPr>
              <w:tblStyle w:val="7"/>
              <w:tblW w:w="81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3"/>
              <w:gridCol w:w="708"/>
              <w:gridCol w:w="650"/>
              <w:gridCol w:w="675"/>
              <w:gridCol w:w="667"/>
              <w:gridCol w:w="740"/>
              <w:gridCol w:w="648"/>
              <w:gridCol w:w="622"/>
              <w:gridCol w:w="675"/>
              <w:gridCol w:w="683"/>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70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w:t>
                  </w:r>
                </w:p>
              </w:tc>
              <w:tc>
                <w:tcPr>
                  <w:tcW w:w="733"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2019</w:t>
                  </w:r>
                  <w:r>
                    <w:rPr>
                      <w:rFonts w:hint="eastAsia" w:ascii="宋体" w:hAnsi="宋体" w:eastAsia="宋体" w:cs="宋体"/>
                      <w:color w:val="000000"/>
                      <w:sz w:val="24"/>
                      <w:szCs w:val="24"/>
                    </w:rPr>
                    <w:t>年</w:t>
                  </w:r>
                  <w:r>
                    <w:rPr>
                      <w:rFonts w:hint="eastAsia" w:ascii="宋体" w:hAnsi="宋体" w:eastAsia="宋体" w:cs="宋体"/>
                      <w:sz w:val="24"/>
                      <w:szCs w:val="24"/>
                    </w:rPr>
                    <w:t>6月至12</w:t>
                  </w:r>
                  <w:r>
                    <w:rPr>
                      <w:rFonts w:hint="eastAsia" w:ascii="宋体" w:hAnsi="宋体" w:eastAsia="宋体" w:cs="宋体"/>
                      <w:color w:val="000000"/>
                      <w:sz w:val="24"/>
                      <w:szCs w:val="24"/>
                    </w:rPr>
                    <w:t>月</w:t>
                  </w:r>
                </w:p>
              </w:tc>
              <w:tc>
                <w:tcPr>
                  <w:tcW w:w="708"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2020</w:t>
                  </w:r>
                  <w:r>
                    <w:rPr>
                      <w:rFonts w:hint="eastAsia" w:ascii="宋体" w:hAnsi="宋体" w:eastAsia="宋体" w:cs="宋体"/>
                      <w:color w:val="000000"/>
                      <w:sz w:val="24"/>
                      <w:szCs w:val="24"/>
                    </w:rPr>
                    <w:t>年</w:t>
                  </w:r>
                </w:p>
              </w:tc>
              <w:tc>
                <w:tcPr>
                  <w:tcW w:w="65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2021年</w:t>
                  </w:r>
                </w:p>
              </w:tc>
              <w:tc>
                <w:tcPr>
                  <w:tcW w:w="675"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2022年</w:t>
                  </w:r>
                </w:p>
              </w:tc>
              <w:tc>
                <w:tcPr>
                  <w:tcW w:w="667"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2023年</w:t>
                  </w:r>
                </w:p>
              </w:tc>
              <w:tc>
                <w:tcPr>
                  <w:tcW w:w="740"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2024年</w:t>
                  </w:r>
                </w:p>
              </w:tc>
              <w:tc>
                <w:tcPr>
                  <w:tcW w:w="648"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2025年</w:t>
                  </w:r>
                </w:p>
              </w:tc>
              <w:tc>
                <w:tcPr>
                  <w:tcW w:w="622"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2026年</w:t>
                  </w:r>
                </w:p>
              </w:tc>
              <w:tc>
                <w:tcPr>
                  <w:tcW w:w="675"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2027年</w:t>
                  </w:r>
                </w:p>
              </w:tc>
              <w:tc>
                <w:tcPr>
                  <w:tcW w:w="683"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2028年</w:t>
                  </w:r>
                </w:p>
              </w:tc>
              <w:tc>
                <w:tcPr>
                  <w:tcW w:w="644" w:type="dxa"/>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2029年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收入</w:t>
                  </w:r>
                </w:p>
              </w:tc>
              <w:tc>
                <w:tcPr>
                  <w:tcW w:w="73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446.25</w:t>
                  </w:r>
                </w:p>
              </w:tc>
              <w:tc>
                <w:tcPr>
                  <w:tcW w:w="70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765.00</w:t>
                  </w:r>
                </w:p>
              </w:tc>
              <w:tc>
                <w:tcPr>
                  <w:tcW w:w="65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994.50</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193.40</w:t>
                  </w:r>
                </w:p>
              </w:tc>
              <w:tc>
                <w:tcPr>
                  <w:tcW w:w="66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312.74</w:t>
                  </w:r>
                </w:p>
              </w:tc>
              <w:tc>
                <w:tcPr>
                  <w:tcW w:w="74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378.38</w:t>
                  </w:r>
                </w:p>
              </w:tc>
              <w:tc>
                <w:tcPr>
                  <w:tcW w:w="64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419.73</w:t>
                  </w:r>
                </w:p>
              </w:tc>
              <w:tc>
                <w:tcPr>
                  <w:tcW w:w="62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419.73</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419.73</w:t>
                  </w:r>
                </w:p>
              </w:tc>
              <w:tc>
                <w:tcPr>
                  <w:tcW w:w="6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419.73</w:t>
                  </w:r>
                </w:p>
              </w:tc>
              <w:tc>
                <w:tcPr>
                  <w:tcW w:w="64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419.73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提成率</w:t>
                  </w:r>
                </w:p>
              </w:tc>
              <w:tc>
                <w:tcPr>
                  <w:tcW w:w="73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70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5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6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74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4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2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4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现金流</w:t>
                  </w:r>
                </w:p>
              </w:tc>
              <w:tc>
                <w:tcPr>
                  <w:tcW w:w="73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17.72</w:t>
                  </w:r>
                </w:p>
              </w:tc>
              <w:tc>
                <w:tcPr>
                  <w:tcW w:w="70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30.38</w:t>
                  </w:r>
                </w:p>
              </w:tc>
              <w:tc>
                <w:tcPr>
                  <w:tcW w:w="65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39.49</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47.39</w:t>
                  </w:r>
                </w:p>
              </w:tc>
              <w:tc>
                <w:tcPr>
                  <w:tcW w:w="66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52.12</w:t>
                  </w:r>
                </w:p>
              </w:tc>
              <w:tc>
                <w:tcPr>
                  <w:tcW w:w="74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54.73</w:t>
                  </w:r>
                </w:p>
              </w:tc>
              <w:tc>
                <w:tcPr>
                  <w:tcW w:w="64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56.37</w:t>
                  </w:r>
                </w:p>
              </w:tc>
              <w:tc>
                <w:tcPr>
                  <w:tcW w:w="62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56.37</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56.37</w:t>
                  </w:r>
                </w:p>
              </w:tc>
              <w:tc>
                <w:tcPr>
                  <w:tcW w:w="6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56.37</w:t>
                  </w:r>
                </w:p>
              </w:tc>
              <w:tc>
                <w:tcPr>
                  <w:tcW w:w="64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折现率</w:t>
                  </w:r>
                </w:p>
              </w:tc>
              <w:tc>
                <w:tcPr>
                  <w:tcW w:w="73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70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5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6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74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4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2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4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年限</w:t>
                  </w:r>
                </w:p>
              </w:tc>
              <w:tc>
                <w:tcPr>
                  <w:tcW w:w="73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0.29</w:t>
                  </w:r>
                </w:p>
              </w:tc>
              <w:tc>
                <w:tcPr>
                  <w:tcW w:w="70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1.08</w:t>
                  </w:r>
                </w:p>
              </w:tc>
              <w:tc>
                <w:tcPr>
                  <w:tcW w:w="65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2.08</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3.08</w:t>
                  </w:r>
                </w:p>
              </w:tc>
              <w:tc>
                <w:tcPr>
                  <w:tcW w:w="66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4.08</w:t>
                  </w:r>
                </w:p>
              </w:tc>
              <w:tc>
                <w:tcPr>
                  <w:tcW w:w="74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5.08</w:t>
                  </w:r>
                </w:p>
              </w:tc>
              <w:tc>
                <w:tcPr>
                  <w:tcW w:w="64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6.08</w:t>
                  </w:r>
                </w:p>
              </w:tc>
              <w:tc>
                <w:tcPr>
                  <w:tcW w:w="62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7.08</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8.08</w:t>
                  </w:r>
                </w:p>
              </w:tc>
              <w:tc>
                <w:tcPr>
                  <w:tcW w:w="6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9.08</w:t>
                  </w:r>
                </w:p>
              </w:tc>
              <w:tc>
                <w:tcPr>
                  <w:tcW w:w="64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折现系数</w:t>
                  </w:r>
                </w:p>
              </w:tc>
              <w:tc>
                <w:tcPr>
                  <w:tcW w:w="73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0.9501</w:t>
                  </w:r>
                </w:p>
              </w:tc>
              <w:tc>
                <w:tcPr>
                  <w:tcW w:w="70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0.8274</w:t>
                  </w:r>
                </w:p>
              </w:tc>
              <w:tc>
                <w:tcPr>
                  <w:tcW w:w="65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0.6942</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0.5825</w:t>
                  </w:r>
                </w:p>
              </w:tc>
              <w:tc>
                <w:tcPr>
                  <w:tcW w:w="66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0.4888</w:t>
                  </w:r>
                </w:p>
              </w:tc>
              <w:tc>
                <w:tcPr>
                  <w:tcW w:w="74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0.4101</w:t>
                  </w:r>
                </w:p>
              </w:tc>
              <w:tc>
                <w:tcPr>
                  <w:tcW w:w="64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0.3441</w:t>
                  </w:r>
                </w:p>
              </w:tc>
              <w:tc>
                <w:tcPr>
                  <w:tcW w:w="62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0.2887</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0.2423</w:t>
                  </w:r>
                </w:p>
              </w:tc>
              <w:tc>
                <w:tcPr>
                  <w:tcW w:w="6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0.2033</w:t>
                  </w:r>
                </w:p>
              </w:tc>
              <w:tc>
                <w:tcPr>
                  <w:tcW w:w="64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0.1706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现值</w:t>
                  </w:r>
                </w:p>
              </w:tc>
              <w:tc>
                <w:tcPr>
                  <w:tcW w:w="73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16.84</w:t>
                  </w:r>
                </w:p>
              </w:tc>
              <w:tc>
                <w:tcPr>
                  <w:tcW w:w="70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25.13</w:t>
                  </w:r>
                </w:p>
              </w:tc>
              <w:tc>
                <w:tcPr>
                  <w:tcW w:w="65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27.41</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27.60</w:t>
                  </w:r>
                </w:p>
              </w:tc>
              <w:tc>
                <w:tcPr>
                  <w:tcW w:w="667"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25.48</w:t>
                  </w:r>
                </w:p>
              </w:tc>
              <w:tc>
                <w:tcPr>
                  <w:tcW w:w="740"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22.45</w:t>
                  </w:r>
                </w:p>
              </w:tc>
              <w:tc>
                <w:tcPr>
                  <w:tcW w:w="648"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19.40</w:t>
                  </w:r>
                </w:p>
              </w:tc>
              <w:tc>
                <w:tcPr>
                  <w:tcW w:w="622"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16.28</w:t>
                  </w:r>
                </w:p>
              </w:tc>
              <w:tc>
                <w:tcPr>
                  <w:tcW w:w="675"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13.66</w:t>
                  </w:r>
                </w:p>
              </w:tc>
              <w:tc>
                <w:tcPr>
                  <w:tcW w:w="683"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11.46</w:t>
                  </w:r>
                </w:p>
              </w:tc>
              <w:tc>
                <w:tcPr>
                  <w:tcW w:w="644"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09" w:type="dxa"/>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现值合计</w:t>
                  </w:r>
                </w:p>
              </w:tc>
              <w:tc>
                <w:tcPr>
                  <w:tcW w:w="7445" w:type="dxa"/>
                  <w:gridSpan w:val="11"/>
                  <w:noWrap/>
                  <w:vAlign w:val="center"/>
                </w:tcPr>
                <w:p>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215.00</w:t>
                  </w:r>
                </w:p>
              </w:tc>
            </w:tr>
          </w:tbl>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经评估，其他无形资产评估值为215.00万元。</w:t>
            </w:r>
          </w:p>
          <w:p>
            <w:pPr>
              <w:pStyle w:val="3"/>
              <w:keepNext w:val="0"/>
              <w:keepLines w:val="0"/>
              <w:pageBreakBefore w:val="0"/>
              <w:widowControl w:val="0"/>
              <w:kinsoku/>
              <w:wordWrap/>
              <w:overflowPunct/>
              <w:topLinePunct w:val="0"/>
              <w:autoSpaceDE/>
              <w:autoSpaceDN/>
              <w:bidi w:val="0"/>
              <w:adjustRightInd/>
              <w:spacing w:line="300" w:lineRule="auto"/>
              <w:ind w:firstLine="482" w:firstLineChars="200"/>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4、结尾</w:t>
            </w:r>
          </w:p>
          <w:p>
            <w:pPr>
              <w:pStyle w:val="3"/>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sz w:val="20"/>
                <w:lang w:bidi="ar"/>
              </w:rPr>
            </w:pPr>
            <w:r>
              <w:rPr>
                <w:rFonts w:hint="eastAsia" w:ascii="宋体" w:hAnsi="宋体" w:eastAsia="宋体" w:cs="宋体"/>
                <w:color w:val="auto"/>
                <w:kern w:val="40"/>
                <w:sz w:val="24"/>
                <w:szCs w:val="24"/>
                <w:lang w:val="en-US" w:eastAsia="zh-CN" w:bidi="ar-SA"/>
              </w:rPr>
              <w:t>本案例中供应链金融系统计算机软件著作权，主要目的是根据核心企业付款担保，供应商根据发货信息提起融资申请，核心企业确认债权信息，平台转发融资申请给金融机构，金融机构审核放款后发送结果及服务费信息到供应链金融服务系统，完成核心企业ERP、金融机构对接。提供在线平台、移动端服务渠道支持。计算机软件评估主要涉及著作权、专利权等。本案例本质上是计算机软件著作权评估，采用了一种基于收益的无形资产提成率法。这里需要关注无形资产的经济寿命期，一般情况下市场中计算机行业更新速度非常快，对于计算机软件经济寿命估测容易出现偏差。其次是通过现金流的分成率（贡献率），确定待估范围内无形资产对产品的现金流贡献。本案例是基于4个可比公司的数据，经过AHP方法测算，无形资产的成率具有极大的确信程度。</w:t>
            </w:r>
          </w:p>
        </w:tc>
      </w:tr>
    </w:tbl>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教学实施</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before="400" w:after="78" w:afterLines="25" w:line="300" w:lineRule="auto"/>
              <w:ind w:firstLine="482"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1.课时安排</w:t>
            </w:r>
          </w:p>
          <w:p>
            <w:pPr>
              <w:keepNext w:val="0"/>
              <w:keepLines w:val="0"/>
              <w:pageBreakBefore w:val="0"/>
              <w:widowControl w:val="0"/>
              <w:kinsoku/>
              <w:wordWrap/>
              <w:overflowPunct/>
              <w:topLinePunct w:val="0"/>
              <w:bidi w:val="0"/>
              <w:snapToGrid/>
              <w:spacing w:before="78" w:beforeLines="25" w:after="78" w:afterLines="25" w:line="300" w:lineRule="auto"/>
              <w:ind w:firstLine="480" w:firstLineChars="200"/>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本案例建议总课时为4课时。第1课时案例介绍讲解，第2、3课时小组讨论，第4课时做讨论总结</w:t>
            </w:r>
            <w:bookmarkStart w:id="0" w:name="_GoBack"/>
            <w:bookmarkEnd w:id="0"/>
            <w:r>
              <w:rPr>
                <w:rFonts w:hint="eastAsia" w:ascii="宋体" w:hAnsi="宋体" w:eastAsia="宋体" w:cs="宋体"/>
                <w:color w:val="auto"/>
                <w:kern w:val="40"/>
                <w:sz w:val="24"/>
                <w:szCs w:val="24"/>
                <w:lang w:val="en-US" w:eastAsia="zh-CN" w:bidi="ar-SA"/>
              </w:rPr>
              <w:t>。</w:t>
            </w:r>
          </w:p>
          <w:p>
            <w:pPr>
              <w:keepNext w:val="0"/>
              <w:keepLines w:val="0"/>
              <w:pageBreakBefore w:val="0"/>
              <w:widowControl w:val="0"/>
              <w:kinsoku/>
              <w:wordWrap/>
              <w:overflowPunct/>
              <w:topLinePunct w:val="0"/>
              <w:bidi w:val="0"/>
              <w:snapToGrid/>
              <w:spacing w:before="78" w:beforeLines="25" w:after="78"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2.黑板板书布置</w:t>
            </w:r>
          </w:p>
          <w:p>
            <w:pPr>
              <w:keepNext w:val="0"/>
              <w:keepLines w:val="0"/>
              <w:pageBreakBefore w:val="0"/>
              <w:widowControl w:val="0"/>
              <w:kinsoku/>
              <w:wordWrap/>
              <w:overflowPunct/>
              <w:topLinePunct w:val="0"/>
              <w:bidi w:val="0"/>
              <w:snapToGrid/>
              <w:spacing w:before="78" w:beforeLines="25" w:after="78" w:afterLines="25" w:line="300" w:lineRule="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 xml:space="preserve">   黑板板书分三个版面：第一版面是案例背景介绍和启发性思考题的列示；第二版面是关键问题的列示，主要评估思路、评估方法、参数选择、评估基本事项确定等；第三版面是小组问题讨论的结果以及对讨论问题的点评，这里分小组逐项列示，以便各小组成员能够对问题有更清晰认识和更准确的理解。</w:t>
            </w:r>
          </w:p>
          <w:p>
            <w:pPr>
              <w:keepNext w:val="0"/>
              <w:keepLines w:val="0"/>
              <w:pageBreakBefore w:val="0"/>
              <w:widowControl w:val="0"/>
              <w:kinsoku/>
              <w:wordWrap/>
              <w:overflowPunct/>
              <w:topLinePunct w:val="0"/>
              <w:bidi w:val="0"/>
              <w:snapToGrid/>
              <w:spacing w:before="78" w:beforeLines="25" w:after="78" w:afterLines="25" w:line="300" w:lineRule="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 xml:space="preserve">    投影仪可以将背景和问题分别列示出来，关键知识点以提纲的形式列示。</w:t>
            </w:r>
          </w:p>
          <w:p>
            <w:pPr>
              <w:keepNext w:val="0"/>
              <w:keepLines w:val="0"/>
              <w:pageBreakBefore w:val="0"/>
              <w:widowControl w:val="0"/>
              <w:kinsoku/>
              <w:wordWrap/>
              <w:overflowPunct/>
              <w:topLinePunct w:val="0"/>
              <w:bidi w:val="0"/>
              <w:snapToGrid/>
              <w:spacing w:before="78" w:beforeLines="25" w:after="78"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3.学生背景了解</w:t>
            </w:r>
          </w:p>
          <w:p>
            <w:pPr>
              <w:keepNext w:val="0"/>
              <w:keepLines w:val="0"/>
              <w:pageBreakBefore w:val="0"/>
              <w:widowControl w:val="0"/>
              <w:kinsoku/>
              <w:wordWrap/>
              <w:overflowPunct/>
              <w:topLinePunct w:val="0"/>
              <w:bidi w:val="0"/>
              <w:snapToGrid/>
              <w:spacing w:before="78" w:beforeLines="25" w:after="78" w:afterLines="25" w:line="300" w:lineRule="auto"/>
              <w:ind w:firstLine="360" w:firstLineChars="150"/>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案例教学开始阶段就需要学生掌握有关的案例背景，有关的材料可以在1、2节课时让学生熟悉，边讲解边解答学生提出的问题，按照本案例的相关背景介绍、评估目的、评估方法、评估假设、评估测算、评估结果逐项列示主要的背景情况，在介绍过程中，有意识引导学生就上述的评估主要基本事项进行思考。</w:t>
            </w:r>
          </w:p>
          <w:p>
            <w:pPr>
              <w:keepNext w:val="0"/>
              <w:keepLines w:val="0"/>
              <w:pageBreakBefore w:val="0"/>
              <w:widowControl w:val="0"/>
              <w:kinsoku/>
              <w:wordWrap/>
              <w:overflowPunct/>
              <w:topLinePunct w:val="0"/>
              <w:bidi w:val="0"/>
              <w:snapToGrid/>
              <w:spacing w:before="78" w:beforeLines="25" w:after="78"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4.小组分组</w:t>
            </w:r>
          </w:p>
          <w:p>
            <w:pPr>
              <w:keepNext w:val="0"/>
              <w:keepLines w:val="0"/>
              <w:pageBreakBefore w:val="0"/>
              <w:widowControl w:val="0"/>
              <w:kinsoku/>
              <w:wordWrap/>
              <w:overflowPunct/>
              <w:topLinePunct w:val="0"/>
              <w:bidi w:val="0"/>
              <w:snapToGrid/>
              <w:spacing w:before="78" w:beforeLines="25" w:after="78" w:afterLines="25" w:line="300" w:lineRule="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 xml:space="preserve">    本案例以40人班级为宜，分为5个小组，每小组8人。</w:t>
            </w:r>
          </w:p>
          <w:p>
            <w:pPr>
              <w:keepNext w:val="0"/>
              <w:keepLines w:val="0"/>
              <w:pageBreakBefore w:val="0"/>
              <w:widowControl w:val="0"/>
              <w:kinsoku/>
              <w:wordWrap/>
              <w:overflowPunct/>
              <w:topLinePunct w:val="0"/>
              <w:bidi w:val="0"/>
              <w:snapToGrid/>
              <w:spacing w:before="78" w:beforeLines="25" w:after="78"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5.小组讨论内容</w:t>
            </w:r>
          </w:p>
          <w:p>
            <w:pPr>
              <w:keepNext w:val="0"/>
              <w:keepLines w:val="0"/>
              <w:pageBreakBefore w:val="0"/>
              <w:widowControl w:val="0"/>
              <w:kinsoku/>
              <w:wordWrap/>
              <w:overflowPunct/>
              <w:topLinePunct w:val="0"/>
              <w:bidi w:val="0"/>
              <w:snapToGrid/>
              <w:spacing w:before="78" w:beforeLines="25" w:after="78" w:afterLines="25" w:line="300" w:lineRule="auto"/>
              <w:ind w:firstLine="424" w:firstLineChars="177"/>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（1）市场法、成本法、收益法各自的特点，对于本案例适用的评估方法。</w:t>
            </w:r>
          </w:p>
          <w:p>
            <w:pPr>
              <w:keepNext w:val="0"/>
              <w:keepLines w:val="0"/>
              <w:pageBreakBefore w:val="0"/>
              <w:widowControl w:val="0"/>
              <w:kinsoku/>
              <w:wordWrap/>
              <w:overflowPunct/>
              <w:topLinePunct w:val="0"/>
              <w:bidi w:val="0"/>
              <w:snapToGrid/>
              <w:spacing w:before="78" w:beforeLines="25" w:after="78" w:afterLines="25" w:line="300" w:lineRule="auto"/>
              <w:ind w:firstLine="424" w:firstLineChars="177"/>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（2）本案例评估的对象、目的、价值类型、假设条件、评估基准日如何确定及理由。</w:t>
            </w:r>
          </w:p>
          <w:p>
            <w:pPr>
              <w:keepNext w:val="0"/>
              <w:keepLines w:val="0"/>
              <w:pageBreakBefore w:val="0"/>
              <w:widowControl w:val="0"/>
              <w:kinsoku/>
              <w:wordWrap/>
              <w:overflowPunct/>
              <w:topLinePunct w:val="0"/>
              <w:bidi w:val="0"/>
              <w:snapToGrid/>
              <w:spacing w:before="78" w:beforeLines="25" w:after="78" w:afterLines="25" w:line="300" w:lineRule="auto"/>
              <w:ind w:firstLine="424" w:firstLineChars="177"/>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（3）计算机软件著作权及影响其价值的关键因素。</w:t>
            </w:r>
          </w:p>
          <w:p>
            <w:pPr>
              <w:keepNext w:val="0"/>
              <w:keepLines w:val="0"/>
              <w:pageBreakBefore w:val="0"/>
              <w:widowControl w:val="0"/>
              <w:kinsoku/>
              <w:wordWrap/>
              <w:overflowPunct/>
              <w:topLinePunct w:val="0"/>
              <w:bidi w:val="0"/>
              <w:snapToGrid/>
              <w:spacing w:before="78" w:beforeLines="25" w:after="78" w:afterLines="25" w:line="300" w:lineRule="auto"/>
              <w:ind w:firstLine="424" w:firstLineChars="177"/>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（4）无形资产经济寿命期限的确定及理由，对应销售收入的预测及理由。</w:t>
            </w:r>
          </w:p>
          <w:p>
            <w:pPr>
              <w:keepNext w:val="0"/>
              <w:keepLines w:val="0"/>
              <w:pageBreakBefore w:val="0"/>
              <w:widowControl w:val="0"/>
              <w:kinsoku/>
              <w:wordWrap/>
              <w:overflowPunct/>
              <w:topLinePunct w:val="0"/>
              <w:bidi w:val="0"/>
              <w:snapToGrid/>
              <w:spacing w:before="78" w:beforeLines="25" w:after="78" w:afterLines="25" w:line="300" w:lineRule="auto"/>
              <w:ind w:firstLine="424" w:firstLineChars="177"/>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（5）可比案例的选择及其理由。</w:t>
            </w:r>
          </w:p>
          <w:p>
            <w:pPr>
              <w:keepNext w:val="0"/>
              <w:keepLines w:val="0"/>
              <w:pageBreakBefore w:val="0"/>
              <w:widowControl w:val="0"/>
              <w:kinsoku/>
              <w:wordWrap/>
              <w:overflowPunct/>
              <w:topLinePunct w:val="0"/>
              <w:bidi w:val="0"/>
              <w:snapToGrid/>
              <w:spacing w:before="78" w:beforeLines="25" w:after="78" w:afterLines="25" w:line="300" w:lineRule="auto"/>
              <w:ind w:firstLine="424" w:firstLineChars="177"/>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（6）层次分析法的理解及在本案例中的具体应用。</w:t>
            </w:r>
          </w:p>
          <w:p>
            <w:pPr>
              <w:keepNext w:val="0"/>
              <w:keepLines w:val="0"/>
              <w:pageBreakBefore w:val="0"/>
              <w:widowControl w:val="0"/>
              <w:kinsoku/>
              <w:wordWrap/>
              <w:overflowPunct/>
              <w:topLinePunct w:val="0"/>
              <w:bidi w:val="0"/>
              <w:snapToGrid/>
              <w:spacing w:before="78" w:beforeLines="25" w:after="78" w:afterLines="25" w:line="300" w:lineRule="auto"/>
              <w:ind w:firstLine="424" w:firstLineChars="177"/>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（7）产权持有单位无形资产提成率的确定及理由。</w:t>
            </w:r>
          </w:p>
          <w:p>
            <w:pPr>
              <w:keepNext w:val="0"/>
              <w:keepLines w:val="0"/>
              <w:pageBreakBefore w:val="0"/>
              <w:widowControl w:val="0"/>
              <w:kinsoku/>
              <w:wordWrap/>
              <w:overflowPunct/>
              <w:topLinePunct w:val="0"/>
              <w:bidi w:val="0"/>
              <w:snapToGrid/>
              <w:spacing w:before="78" w:beforeLines="25" w:after="78" w:afterLines="25" w:line="300" w:lineRule="auto"/>
              <w:ind w:firstLine="424" w:firstLineChars="177"/>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（8）本案例的评估受到哪些假设条件的限制。</w:t>
            </w:r>
          </w:p>
          <w:p>
            <w:pPr>
              <w:keepNext w:val="0"/>
              <w:keepLines w:val="0"/>
              <w:pageBreakBefore w:val="0"/>
              <w:widowControl w:val="0"/>
              <w:kinsoku/>
              <w:wordWrap/>
              <w:overflowPunct/>
              <w:topLinePunct w:val="0"/>
              <w:bidi w:val="0"/>
              <w:snapToGrid/>
              <w:spacing w:before="78" w:beforeLines="25" w:after="78" w:afterLines="25" w:line="300" w:lineRule="auto"/>
              <w:ind w:firstLine="424" w:firstLineChars="177"/>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（9）无形资产贡献率的确定还有哪些方法，阐述具体思路。</w:t>
            </w:r>
          </w:p>
          <w:p>
            <w:pPr>
              <w:keepNext w:val="0"/>
              <w:keepLines w:val="0"/>
              <w:pageBreakBefore w:val="0"/>
              <w:widowControl w:val="0"/>
              <w:kinsoku/>
              <w:wordWrap/>
              <w:overflowPunct/>
              <w:topLinePunct w:val="0"/>
              <w:bidi w:val="0"/>
              <w:snapToGrid/>
              <w:spacing w:before="78" w:beforeLines="25" w:after="78"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6.案例开场白和结束总结</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开场白：本案例是评估实务中的真实案例，是关于A供应链金融系统计算机软件著作权评估。原持有A供应链金融系统计算机软件著作权评估北京首信科技有限公司主要从事AAA认证计费产品和物联网、大数据、信息安全及5G等领域的软件产品的研发、销售及相关技术服务。根据被评估单位提供资料，无形资产-计算机软件著作权共计1项，计算机著作权由被评估单位无偿取得，故原始入账价值为0元，账面价值为0元。</w:t>
            </w:r>
          </w:p>
          <w:p>
            <w:pPr>
              <w:keepNext w:val="0"/>
              <w:keepLines w:val="0"/>
              <w:pageBreakBefore w:val="0"/>
              <w:widowControl w:val="0"/>
              <w:kinsoku/>
              <w:wordWrap/>
              <w:overflowPunct/>
              <w:topLinePunct w:val="0"/>
              <w:autoSpaceDE/>
              <w:autoSpaceDN/>
              <w:bidi w:val="0"/>
              <w:adjustRightInd/>
              <w:snapToGrid/>
              <w:spacing w:before="78" w:beforeLines="25" w:after="78" w:afterLines="25"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对资产进行评估，首先需要对评估对象有一个清晰的认识，在了解了相关的背景资料后，依据资产评估准则的相关要求，逐项确定评估目的、评估基准日及评估方法和假设条件等事项。然后确定评估的技术路线，采用基于收益的无形资产提成率法测算被评估资产的价值，需要关注的问题是收益法的使用条件、无形资产贡献率的测算、层次分析法的具体应用、折现率的测算等。。最后是评估报告书的撰写，这里要求每小组的评估报告按照完整的评估报告书的规范撰写，基本事项的先后排列顺序、确定依据要清晰、完整、有据可查，在此基础上提交评估报告。</w:t>
            </w:r>
          </w:p>
          <w:p>
            <w:pPr>
              <w:keepNext w:val="0"/>
              <w:keepLines w:val="0"/>
              <w:pageBreakBefore w:val="0"/>
              <w:widowControl w:val="0"/>
              <w:kinsoku/>
              <w:wordWrap/>
              <w:overflowPunct/>
              <w:topLinePunct w:val="0"/>
              <w:autoSpaceDE/>
              <w:autoSpaceDN/>
              <w:bidi w:val="0"/>
              <w:adjustRightInd/>
              <w:snapToGrid/>
              <w:spacing w:before="78" w:beforeLines="25" w:after="78" w:afterLines="25" w:line="300" w:lineRule="auto"/>
              <w:ind w:firstLine="48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结束总结：本案例主要介绍了采用基于收益的无形资产提成率法测算计算机软件著作权价值。即通过预测收入，计算机软件著作权的贡献率，在此基础上，测算出折现率，得出最后结论。根据各小组案例撰写的情况，就其主要思路和测算过程进行评价，内容包括评估目的、评估对象、价值类型、评估假设、评估基准日、评估方法和参数选择确定依据，以及整个报告的撰写规范、文字表述、用词规范、逻辑结构等方面，并指出其合理的地方以及存在的不足，以后在实务当中应该关注的问题等。</w:t>
            </w:r>
          </w:p>
          <w:p>
            <w:pPr>
              <w:keepNext w:val="0"/>
              <w:keepLines w:val="0"/>
              <w:pageBreakBefore w:val="0"/>
              <w:widowControl w:val="0"/>
              <w:kinsoku/>
              <w:wordWrap/>
              <w:overflowPunct/>
              <w:topLinePunct w:val="0"/>
              <w:bidi w:val="0"/>
              <w:snapToGrid/>
              <w:spacing w:before="78" w:beforeLines="25" w:after="78" w:afterLines="25" w:line="300" w:lineRule="auto"/>
              <w:ind w:firstLine="482" w:firstLineChars="20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7.案例的组织引导</w:t>
            </w:r>
          </w:p>
          <w:p>
            <w:pPr>
              <w:keepNext w:val="0"/>
              <w:keepLines w:val="0"/>
              <w:pageBreakBefore w:val="0"/>
              <w:widowControl w:val="0"/>
              <w:kinsoku/>
              <w:wordWrap/>
              <w:overflowPunct/>
              <w:topLinePunct w:val="0"/>
              <w:autoSpaceDE/>
              <w:autoSpaceDN/>
              <w:bidi w:val="0"/>
              <w:adjustRightInd/>
              <w:snapToGrid/>
              <w:spacing w:before="78" w:beforeLines="25" w:after="78" w:afterLines="25" w:line="300" w:lineRule="auto"/>
              <w:ind w:firstLine="48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在开场白和相关资料介绍之后，可以组织每小组对案例的背景进行讨论，明确评估需要关注的问题，并提出各个小组的评估技术路线，这是案例评估把握正确方向的关键。然后对案例的具体材料进行分析，确定可采用的评估方法以及如何选择评估方法，通过小组讨论的形式确定评估方法，并要求比较各种方法的适用条件。再就评估的有关事项进行小组讨论，如评估步骤、评估基准日、评估对象和范围、假设和限制条件、评估参数确定等，对于像评估参数确定这样的关键点可以让学生充分讨论，提出自己的观点，在综合比较点评。接下来通过可比案例公司预测无形资产的贡献率的预测、折现率的预测等，根据时间和学生水平的高低，可以让学生分组，既可以让每小组讨论一到两个方面问题，也可以让每个小组讨论整个案例的问题。最后是按照标准评估报告要求，要求每小组撰写一份完整的评估报告。</w:t>
            </w:r>
          </w:p>
          <w:p>
            <w:pPr>
              <w:keepNext w:val="0"/>
              <w:keepLines w:val="0"/>
              <w:pageBreakBefore w:val="0"/>
              <w:widowControl w:val="0"/>
              <w:kinsoku/>
              <w:wordWrap/>
              <w:overflowPunct/>
              <w:topLinePunct w:val="0"/>
              <w:autoSpaceDE/>
              <w:autoSpaceDN/>
              <w:bidi w:val="0"/>
              <w:adjustRightInd/>
              <w:snapToGrid/>
              <w:spacing w:before="78" w:beforeLines="25" w:after="78" w:afterLines="25" w:line="300" w:lineRule="auto"/>
              <w:ind w:firstLine="48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小组讨论可以将讨论内容分给不同的小组，各小组内容可互不相同，也可以每个小组完成整个报告的内容，具体视人数和学生水平高低来确定。</w:t>
            </w:r>
          </w:p>
          <w:p>
            <w:pPr>
              <w:keepNext w:val="0"/>
              <w:keepLines w:val="0"/>
              <w:pageBreakBefore w:val="0"/>
              <w:widowControl w:val="0"/>
              <w:kinsoku/>
              <w:wordWrap/>
              <w:overflowPunct/>
              <w:topLinePunct w:val="0"/>
              <w:bidi w:val="0"/>
              <w:snapToGrid/>
              <w:spacing w:before="78" w:beforeLines="25" w:after="78" w:afterLines="25" w:line="300" w:lineRule="auto"/>
              <w:ind w:firstLine="480"/>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8.分析思路</w:t>
            </w:r>
          </w:p>
          <w:p>
            <w:pPr>
              <w:keepNext w:val="0"/>
              <w:keepLines w:val="0"/>
              <w:pageBreakBefore w:val="0"/>
              <w:widowControl w:val="0"/>
              <w:kinsoku/>
              <w:wordWrap/>
              <w:overflowPunct/>
              <w:topLinePunct w:val="0"/>
              <w:autoSpaceDE w:val="0"/>
              <w:autoSpaceDN w:val="0"/>
              <w:bidi w:val="0"/>
              <w:adjustRightInd w:val="0"/>
              <w:snapToGrid/>
              <w:spacing w:line="300" w:lineRule="auto"/>
              <w:ind w:firstLine="480" w:firstLineChars="200"/>
              <w:textAlignment w:val="baseline"/>
              <w:rPr>
                <w:rFonts w:hint="eastAsia" w:ascii="宋体" w:hAnsi="宋体" w:eastAsia="宋体" w:cs="宋体"/>
                <w:sz w:val="24"/>
                <w:szCs w:val="24"/>
              </w:rPr>
            </w:pPr>
            <w:r>
              <w:rPr>
                <w:rFonts w:hint="eastAsia" w:ascii="宋体" w:hAnsi="宋体" w:eastAsia="宋体" w:cs="宋体"/>
                <w:b w:val="0"/>
                <w:bCs w:val="0"/>
                <w:color w:val="000000"/>
                <w:sz w:val="24"/>
                <w:szCs w:val="24"/>
                <w:lang w:val="en-US" w:eastAsia="zh-CN"/>
              </w:rPr>
              <w:t>本案例为</w:t>
            </w:r>
            <w:r>
              <w:rPr>
                <w:rFonts w:hint="eastAsia" w:ascii="宋体" w:hAnsi="宋体" w:eastAsia="宋体" w:cs="宋体"/>
                <w:b w:val="0"/>
                <w:bCs w:val="0"/>
                <w:sz w:val="24"/>
                <w:szCs w:val="24"/>
              </w:rPr>
              <w:t>供应链金融系统计算机软件著作权</w:t>
            </w:r>
            <w:r>
              <w:rPr>
                <w:rFonts w:hint="eastAsia" w:ascii="宋体" w:hAnsi="宋体" w:eastAsia="宋体" w:cs="宋体"/>
                <w:b w:val="0"/>
                <w:bCs w:val="0"/>
                <w:sz w:val="24"/>
                <w:szCs w:val="24"/>
                <w:lang w:val="en-US" w:eastAsia="zh-CN"/>
              </w:rPr>
              <w:t>评估</w:t>
            </w:r>
            <w:r>
              <w:rPr>
                <w:rFonts w:hint="eastAsia" w:ascii="宋体" w:hAnsi="宋体" w:eastAsia="宋体" w:cs="宋体"/>
                <w:sz w:val="24"/>
                <w:szCs w:val="24"/>
              </w:rPr>
              <w:t>。</w:t>
            </w:r>
            <w:r>
              <w:rPr>
                <w:rFonts w:hint="eastAsia" w:ascii="宋体" w:hAnsi="宋体" w:eastAsia="宋体" w:cs="宋体"/>
                <w:sz w:val="24"/>
                <w:szCs w:val="24"/>
                <w:lang w:val="en-US" w:eastAsia="zh-CN"/>
              </w:rPr>
              <w:t>计算机软件评估主要涉及著作权、专利权等。本案例本质上是计算机软件著作权评估，使用基于收益的无形资产提成率法。认为在企业的</w:t>
            </w:r>
            <w:r>
              <w:rPr>
                <w:rFonts w:hint="eastAsia" w:ascii="宋体" w:hAnsi="宋体" w:eastAsia="宋体" w:cs="宋体"/>
                <w:sz w:val="24"/>
                <w:szCs w:val="24"/>
              </w:rPr>
              <w:t>生产、销售（提供的服务）过程中</w:t>
            </w:r>
            <w:r>
              <w:rPr>
                <w:rFonts w:hint="eastAsia" w:ascii="宋体" w:hAnsi="宋体" w:eastAsia="宋体" w:cs="宋体"/>
                <w:b w:val="0"/>
                <w:bCs w:val="0"/>
                <w:sz w:val="24"/>
                <w:szCs w:val="24"/>
              </w:rPr>
              <w:t>供应链金融系统计算机软件</w:t>
            </w:r>
            <w:r>
              <w:rPr>
                <w:rFonts w:hint="eastAsia" w:ascii="宋体" w:hAnsi="宋体" w:eastAsia="宋体" w:cs="宋体"/>
                <w:sz w:val="24"/>
                <w:szCs w:val="24"/>
              </w:rPr>
              <w:t>对产品（服务）创造的利润或者说现金流是有贡献的</w:t>
            </w:r>
            <w:r>
              <w:rPr>
                <w:rFonts w:hint="eastAsia" w:ascii="宋体" w:hAnsi="宋体" w:eastAsia="宋体" w:cs="宋体"/>
                <w:sz w:val="24"/>
                <w:szCs w:val="24"/>
                <w:lang w:eastAsia="zh-CN"/>
              </w:rPr>
              <w:t>。</w:t>
            </w:r>
            <w:r>
              <w:rPr>
                <w:rFonts w:hint="eastAsia" w:ascii="宋体" w:hAnsi="宋体" w:eastAsia="宋体" w:cs="宋体"/>
                <w:sz w:val="24"/>
                <w:szCs w:val="24"/>
              </w:rPr>
              <w:t>采用适当方法估算确定</w:t>
            </w:r>
            <w:r>
              <w:rPr>
                <w:rFonts w:hint="eastAsia" w:ascii="宋体" w:hAnsi="宋体" w:eastAsia="宋体" w:cs="宋体"/>
                <w:sz w:val="24"/>
                <w:szCs w:val="24"/>
                <w:lang w:val="en-US" w:eastAsia="zh-CN"/>
              </w:rPr>
              <w:t>该计算机软件著作权</w:t>
            </w:r>
            <w:r>
              <w:rPr>
                <w:rFonts w:hint="eastAsia" w:ascii="宋体" w:hAnsi="宋体" w:eastAsia="宋体" w:cs="宋体"/>
                <w:sz w:val="24"/>
                <w:szCs w:val="24"/>
              </w:rPr>
              <w:t>对产品所创造的现金流贡献率，并进而确定对产品现金流的贡献，再选取恰当的折现率，</w:t>
            </w:r>
            <w:r>
              <w:rPr>
                <w:rFonts w:hint="eastAsia" w:ascii="宋体" w:hAnsi="宋体" w:eastAsia="宋体" w:cs="宋体"/>
                <w:sz w:val="24"/>
                <w:szCs w:val="24"/>
                <w:lang w:val="en-US" w:eastAsia="zh-CN"/>
              </w:rPr>
              <w:t>进行折现</w:t>
            </w:r>
            <w:r>
              <w:rPr>
                <w:rFonts w:hint="eastAsia" w:ascii="宋体" w:hAnsi="宋体" w:eastAsia="宋体" w:cs="宋体"/>
                <w:sz w:val="24"/>
                <w:szCs w:val="24"/>
              </w:rPr>
              <w:t>，以此作为无形资产的评估价值。</w:t>
            </w:r>
          </w:p>
          <w:p>
            <w:pPr>
              <w:keepNext w:val="0"/>
              <w:keepLines w:val="0"/>
              <w:pageBreakBefore w:val="0"/>
              <w:widowControl w:val="0"/>
              <w:kinsoku/>
              <w:wordWrap/>
              <w:overflowPunct/>
              <w:topLinePunct w:val="0"/>
              <w:autoSpaceDE w:val="0"/>
              <w:autoSpaceDN w:val="0"/>
              <w:bidi w:val="0"/>
              <w:adjustRightInd w:val="0"/>
              <w:snapToGrid/>
              <w:spacing w:line="300" w:lineRule="auto"/>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本案例采用无形资产提成率法。具体方法为分析行业状况及企业状况，</w:t>
            </w:r>
            <w:r>
              <w:rPr>
                <w:rFonts w:hint="eastAsia" w:ascii="宋体" w:hAnsi="宋体" w:eastAsia="宋体" w:cs="宋体"/>
                <w:sz w:val="24"/>
                <w:szCs w:val="24"/>
              </w:rPr>
              <w:t>确定待估范围内</w:t>
            </w:r>
            <w:r>
              <w:rPr>
                <w:rFonts w:hint="eastAsia" w:ascii="宋体" w:hAnsi="宋体" w:eastAsia="宋体" w:cs="宋体"/>
                <w:sz w:val="24"/>
                <w:szCs w:val="24"/>
                <w:lang w:val="en-US" w:eastAsia="zh-CN"/>
              </w:rPr>
              <w:t>计算机软件著作权</w:t>
            </w:r>
            <w:r>
              <w:rPr>
                <w:rFonts w:hint="eastAsia" w:ascii="宋体" w:hAnsi="宋体" w:eastAsia="宋体" w:cs="宋体"/>
                <w:sz w:val="24"/>
                <w:szCs w:val="24"/>
              </w:rPr>
              <w:t>的经济寿命期，</w:t>
            </w:r>
            <w:r>
              <w:rPr>
                <w:rFonts w:hint="eastAsia" w:ascii="宋体" w:hAnsi="宋体" w:eastAsia="宋体" w:cs="宋体"/>
                <w:sz w:val="24"/>
                <w:szCs w:val="24"/>
                <w:lang w:val="en-US" w:eastAsia="zh-CN"/>
              </w:rPr>
              <w:t>并</w:t>
            </w:r>
            <w:r>
              <w:rPr>
                <w:rFonts w:hint="eastAsia" w:ascii="宋体" w:hAnsi="宋体" w:eastAsia="宋体" w:cs="宋体"/>
                <w:sz w:val="24"/>
                <w:szCs w:val="24"/>
              </w:rPr>
              <w:t>预测在经济寿命期内运用的产品的销售收入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分析确定出计算机软件著作权对现金流的分成率，得出现金流贡献，最后通过折现，确定计算机软件著作权的最终评估价值。如图1所示。</w:t>
            </w:r>
          </w:p>
          <w:p>
            <w:pPr>
              <w:spacing w:before="78" w:beforeLines="25" w:after="78" w:afterLines="25" w:line="300" w:lineRule="auto"/>
              <w:ind w:firstLine="480" w:firstLineChars="200"/>
              <w:jc w:val="center"/>
              <w:rPr>
                <w:rFonts w:hint="eastAsia" w:ascii="宋体" w:hAnsi="宋体" w:eastAsiaTheme="minorEastAsia"/>
                <w:sz w:val="24"/>
                <w:szCs w:val="24"/>
                <w:lang w:eastAsia="zh-CN"/>
              </w:rPr>
            </w:pPr>
            <w:r>
              <w:rPr>
                <w:rFonts w:hint="eastAsia" w:ascii="宋体" w:hAnsi="宋体" w:eastAsiaTheme="minorEastAsia"/>
                <w:sz w:val="24"/>
                <w:szCs w:val="24"/>
                <w:lang w:eastAsia="zh-CN"/>
              </w:rPr>
              <w:drawing>
                <wp:inline distT="0" distB="0" distL="114300" distR="114300">
                  <wp:extent cx="5053330" cy="3348355"/>
                  <wp:effectExtent l="0" t="0" r="4445" b="4445"/>
                  <wp:docPr id="43" name="图片 43" descr="1708331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1708331117(1)"/>
                          <pic:cNvPicPr>
                            <a:picLocks noChangeAspect="1"/>
                          </pic:cNvPicPr>
                        </pic:nvPicPr>
                        <pic:blipFill>
                          <a:blip r:embed="rId16"/>
                          <a:stretch>
                            <a:fillRect/>
                          </a:stretch>
                        </pic:blipFill>
                        <pic:spPr>
                          <a:xfrm>
                            <a:off x="0" y="0"/>
                            <a:ext cx="5053330" cy="334835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78" w:beforeLines="25" w:after="78" w:afterLines="25" w:line="480" w:lineRule="exact"/>
              <w:jc w:val="center"/>
              <w:textAlignment w:val="auto"/>
              <w:rPr>
                <w:rFonts w:hint="default" w:ascii="宋体" w:hAnsi="宋体" w:eastAsia="宋体" w:cs="宋体"/>
                <w:b/>
                <w:bCs/>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图1 分析思路图</w:t>
            </w:r>
          </w:p>
          <w:p>
            <w:pPr>
              <w:keepNext w:val="0"/>
              <w:keepLines w:val="0"/>
              <w:pageBreakBefore w:val="0"/>
              <w:widowControl w:val="0"/>
              <w:kinsoku/>
              <w:wordWrap/>
              <w:overflowPunct/>
              <w:topLinePunct w:val="0"/>
              <w:autoSpaceDE/>
              <w:autoSpaceDN/>
              <w:bidi w:val="0"/>
              <w:adjustRightInd/>
              <w:snapToGrid/>
              <w:spacing w:before="78" w:beforeLines="25" w:after="78" w:afterLines="25" w:line="300" w:lineRule="auto"/>
              <w:ind w:firstLine="480"/>
              <w:textAlignment w:val="auto"/>
              <w:rPr>
                <w:rFonts w:hint="default"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9.课后作业</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案例在课堂进行讨论后，各小组可以单独完成评估报告内容，也可以每个小组完成评估报告的一部分，规定在一定时期内上交，并课后点评，并在下一届学生上案例课程时进行改进。</w:t>
            </w:r>
          </w:p>
          <w:p>
            <w:pPr>
              <w:keepNext w:val="0"/>
              <w:keepLines w:val="0"/>
              <w:pageBreakBefore w:val="0"/>
              <w:widowControl w:val="0"/>
              <w:kinsoku/>
              <w:wordWrap/>
              <w:overflowPunct/>
              <w:topLinePunct w:val="0"/>
              <w:autoSpaceDE/>
              <w:autoSpaceDN/>
              <w:bidi w:val="0"/>
              <w:adjustRightInd/>
              <w:snapToGrid/>
              <w:spacing w:after="400" w:line="300" w:lineRule="auto"/>
              <w:ind w:firstLine="480" w:firstLineChars="200"/>
              <w:jc w:val="both"/>
              <w:textAlignment w:val="auto"/>
              <w:rPr>
                <w:sz w:val="20"/>
                <w:lang w:bidi="ar"/>
              </w:rPr>
            </w:pPr>
            <w:r>
              <w:rPr>
                <w:rFonts w:hint="eastAsia" w:ascii="宋体" w:hAnsi="宋体" w:eastAsia="宋体" w:cs="宋体"/>
                <w:color w:val="auto"/>
                <w:kern w:val="40"/>
                <w:sz w:val="24"/>
                <w:szCs w:val="24"/>
                <w:lang w:val="en-US" w:eastAsia="zh-CN" w:bidi="ar-SA"/>
              </w:rPr>
              <w:t>本案例虽然是真实的评估案例，但案例也并非是完美的，如重要技术参数如权益资本成本、加权平均资本成本、无形资产贡献率等的确定，存在不同程度的或依据不充分、或选取有误；评估假设和说明中没有针对投资价值特定目的的相关假设和说明条款；缺乏对A供应链金融系统计算机软件自身的阐述说明，特别是该计算机软件著作权通过何种方式带来经济利益的较为完整和系统的说明等问题。我们将在后面的教学过程中，针对案例的不足之处进一步的完善。</w:t>
            </w:r>
          </w:p>
        </w:tc>
      </w:tr>
    </w:tbl>
    <w:p>
      <w:pPr>
        <w:widowControl/>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4.学习评价</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1、课堂表现</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课堂表现考核形式以参与讨论程度、对案例观点发表、上课回答问题、案例总结发言等方面为主。考核内容为：第一，是否熟练掌握和运用无形资产评估理论的基本原理、基本概念、基本知识；第二，是否拥有一定的无形资产评估思维逻辑，相关参数的测算要点是否掌握，能否对无形资产评估对象建立基本评估模型；第三，对无形资产评估的是否拥有一个基本框架，能否独立完整对无形资产进行评估。评分标准以优、良、中、及格、不及格五档进行评价。</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2、课后作业</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课后作业考核形式以提交所编制的无形资产评估报告以及无形资产评估说明为主。考核内容为：第一，编制的无形资产评估报告以及无形资产评估说明是否完整，逻辑是否正确；第二，编制的无形资产评估报告以及无形资产评估说明参数选取是否正确，依据是否正确，评估结果是否处于合理范围之内；第三，编制的无形资产评估报告以及无形资产评估说明要点是否突出，注意事项是否明晰。评分标准以优、良、中、及格、不及格五档进行评价。</w:t>
            </w:r>
          </w:p>
          <w:p>
            <w:pPr>
              <w:rPr>
                <w:kern w:val="0"/>
                <w:sz w:val="20"/>
                <w:szCs w:val="20"/>
                <w:lang w:bidi="ar"/>
              </w:rPr>
            </w:pPr>
          </w:p>
        </w:tc>
      </w:tr>
    </w:tbl>
    <w:p>
      <w:pPr>
        <w:spacing w:before="156" w:beforeLines="50" w:after="156" w:afterLines="50"/>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5．编写负责人所在院意见</w:t>
      </w:r>
    </w:p>
    <w:tbl>
      <w:tblPr>
        <w:tblStyle w:val="7"/>
        <w:tblW w:w="8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5" w:hRule="atLeast"/>
          <w:jc w:val="center"/>
        </w:trPr>
        <w:tc>
          <w:tcPr>
            <w:tcW w:w="8200" w:type="dxa"/>
          </w:tcPr>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tabs>
                <w:tab w:val="left" w:pos="2591"/>
              </w:tabs>
              <w:rPr>
                <w:rFonts w:ascii="宋体" w:hAnsi="宋体" w:eastAsia="宋体"/>
                <w:color w:val="000000"/>
                <w:sz w:val="24"/>
              </w:rPr>
            </w:pPr>
            <w:r>
              <w:rPr>
                <w:rFonts w:hint="eastAsia" w:ascii="宋体" w:hAnsi="宋体"/>
                <w:color w:val="000000"/>
                <w:sz w:val="24"/>
              </w:rPr>
              <w:t xml:space="preserve">                     </w:t>
            </w:r>
            <w:r>
              <w:rPr>
                <w:rFonts w:hint="eastAsia" w:ascii="宋体" w:hAnsi="宋体" w:eastAsia="宋体"/>
                <w:color w:val="000000"/>
                <w:sz w:val="24"/>
              </w:rPr>
              <w:t xml:space="preserve">单位负责人（签字）：              单位（盖章）：                     </w:t>
            </w:r>
          </w:p>
          <w:p>
            <w:pPr>
              <w:rPr>
                <w:rFonts w:ascii="宋体" w:hAnsi="宋体" w:eastAsia="宋体"/>
                <w:color w:val="000000"/>
                <w:sz w:val="24"/>
              </w:rPr>
            </w:pPr>
          </w:p>
          <w:p>
            <w:pPr>
              <w:rPr>
                <w:rFonts w:ascii="宋体" w:hAnsi="宋体"/>
                <w:color w:val="000000"/>
                <w:sz w:val="24"/>
              </w:rPr>
            </w:pPr>
            <w:r>
              <w:rPr>
                <w:rFonts w:hint="eastAsia" w:ascii="宋体" w:hAnsi="宋体" w:eastAsia="宋体"/>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楷体_GB2312">
    <w:altName w:val="楷体"/>
    <w:panose1 w:val="02010609030101010101"/>
    <w:charset w:val="86"/>
    <w:family w:val="modern"/>
    <w:pitch w:val="default"/>
    <w:sig w:usb0="00000000" w:usb1="00000000" w:usb2="00000010" w:usb3="00000000" w:csb0="00040000" w:csb1="00000000"/>
  </w:font>
  <w:font w:name="昆仑楷体">
    <w:altName w:val="黑体"/>
    <w:panose1 w:val="020B0604020202020204"/>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MS PGothic">
    <w:panose1 w:val="020B0600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0AEB7C"/>
    <w:multiLevelType w:val="singleLevel"/>
    <w:tmpl w:val="4D0AEB7C"/>
    <w:lvl w:ilvl="0" w:tentative="0">
      <w:start w:val="1"/>
      <w:numFmt w:val="decimal"/>
      <w:lvlText w:val="%1."/>
      <w:lvlJc w:val="left"/>
      <w:pPr>
        <w:tabs>
          <w:tab w:val="left" w:pos="312"/>
        </w:tabs>
      </w:pPr>
    </w:lvl>
  </w:abstractNum>
  <w:abstractNum w:abstractNumId="1">
    <w:nsid w:val="58A5880F"/>
    <w:multiLevelType w:val="singleLevel"/>
    <w:tmpl w:val="58A5880F"/>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mOTc2ZjQzOGQzNjA4YzkyYjZkNmVjMzdlMGI0YjMifQ=="/>
  </w:docVars>
  <w:rsids>
    <w:rsidRoot w:val="00750B6B"/>
    <w:rsid w:val="000D311C"/>
    <w:rsid w:val="002179A0"/>
    <w:rsid w:val="0038748C"/>
    <w:rsid w:val="006240BC"/>
    <w:rsid w:val="00750B6B"/>
    <w:rsid w:val="00846033"/>
    <w:rsid w:val="008E68AA"/>
    <w:rsid w:val="009D4F87"/>
    <w:rsid w:val="00B56FE4"/>
    <w:rsid w:val="00CB789A"/>
    <w:rsid w:val="00DF7241"/>
    <w:rsid w:val="00ED23A0"/>
    <w:rsid w:val="01080A12"/>
    <w:rsid w:val="0112363F"/>
    <w:rsid w:val="05F652DD"/>
    <w:rsid w:val="0A73514E"/>
    <w:rsid w:val="0AD12487"/>
    <w:rsid w:val="0C972DEA"/>
    <w:rsid w:val="0D201175"/>
    <w:rsid w:val="0E107158"/>
    <w:rsid w:val="0F317386"/>
    <w:rsid w:val="0F3A26DF"/>
    <w:rsid w:val="0F3F74D7"/>
    <w:rsid w:val="104B26C9"/>
    <w:rsid w:val="11F973E5"/>
    <w:rsid w:val="139B5716"/>
    <w:rsid w:val="144B7D94"/>
    <w:rsid w:val="158C3C38"/>
    <w:rsid w:val="16E96798"/>
    <w:rsid w:val="1B23471C"/>
    <w:rsid w:val="1BF63E31"/>
    <w:rsid w:val="1C6F64B6"/>
    <w:rsid w:val="1E9B2A6E"/>
    <w:rsid w:val="215B7758"/>
    <w:rsid w:val="223C00C4"/>
    <w:rsid w:val="23757D31"/>
    <w:rsid w:val="25E371D4"/>
    <w:rsid w:val="289C18BC"/>
    <w:rsid w:val="2BA80578"/>
    <w:rsid w:val="2C8A7F1A"/>
    <w:rsid w:val="2CEA52EC"/>
    <w:rsid w:val="2F754C15"/>
    <w:rsid w:val="3150726E"/>
    <w:rsid w:val="33226E62"/>
    <w:rsid w:val="364F6CE6"/>
    <w:rsid w:val="36D656E9"/>
    <w:rsid w:val="38B92017"/>
    <w:rsid w:val="38BA2AFC"/>
    <w:rsid w:val="39286960"/>
    <w:rsid w:val="39DA2245"/>
    <w:rsid w:val="3A6208BF"/>
    <w:rsid w:val="3AD2116E"/>
    <w:rsid w:val="3C4619D9"/>
    <w:rsid w:val="3F9F5101"/>
    <w:rsid w:val="405C39B3"/>
    <w:rsid w:val="40827192"/>
    <w:rsid w:val="43617533"/>
    <w:rsid w:val="43B34D06"/>
    <w:rsid w:val="46B67B95"/>
    <w:rsid w:val="477A6E15"/>
    <w:rsid w:val="478D6B48"/>
    <w:rsid w:val="4AFF1B0B"/>
    <w:rsid w:val="4C520360"/>
    <w:rsid w:val="4C714C8A"/>
    <w:rsid w:val="4C8D3D6E"/>
    <w:rsid w:val="4C9559E6"/>
    <w:rsid w:val="4F080965"/>
    <w:rsid w:val="4F723BC3"/>
    <w:rsid w:val="50083210"/>
    <w:rsid w:val="53C259F6"/>
    <w:rsid w:val="58207565"/>
    <w:rsid w:val="5CBD0F0C"/>
    <w:rsid w:val="5E7238E3"/>
    <w:rsid w:val="5EFF7ED4"/>
    <w:rsid w:val="60F35816"/>
    <w:rsid w:val="62F53AC8"/>
    <w:rsid w:val="633839B4"/>
    <w:rsid w:val="65750EF0"/>
    <w:rsid w:val="6731453A"/>
    <w:rsid w:val="695E1C9B"/>
    <w:rsid w:val="6A4610AD"/>
    <w:rsid w:val="6DFD7CD4"/>
    <w:rsid w:val="6FDE3B35"/>
    <w:rsid w:val="721E646B"/>
    <w:rsid w:val="72E61307"/>
    <w:rsid w:val="76275E5A"/>
    <w:rsid w:val="7662726E"/>
    <w:rsid w:val="77672662"/>
    <w:rsid w:val="7879264D"/>
    <w:rsid w:val="79713B8A"/>
    <w:rsid w:val="79D7587D"/>
    <w:rsid w:val="7EB87481"/>
    <w:rsid w:val="7F5D1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rPr>
      <w:rFonts w:ascii="Times New Roman" w:hAnsi="Times New Roman"/>
      <w:color w:val="000000"/>
      <w:kern w:val="0"/>
      <w:szCs w:val="21"/>
    </w:rPr>
  </w:style>
  <w:style w:type="paragraph" w:styleId="3">
    <w:name w:val="Body Text"/>
    <w:basedOn w:val="1"/>
    <w:autoRedefine/>
    <w:qFormat/>
    <w:uiPriority w:val="0"/>
    <w:rPr>
      <w:rFonts w:ascii="幼圆" w:eastAsia="幼圆"/>
      <w:sz w:val="15"/>
      <w:szCs w:val="20"/>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autoRedefine/>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autoRedefine/>
    <w:qFormat/>
    <w:uiPriority w:val="34"/>
    <w:pPr>
      <w:ind w:firstLine="420" w:firstLineChars="200"/>
    </w:pPr>
  </w:style>
  <w:style w:type="character" w:customStyle="1" w:styleId="11">
    <w:name w:val="页眉 Char"/>
    <w:basedOn w:val="9"/>
    <w:link w:val="5"/>
    <w:autoRedefine/>
    <w:qFormat/>
    <w:uiPriority w:val="99"/>
    <w:rPr>
      <w:sz w:val="18"/>
      <w:szCs w:val="18"/>
    </w:rPr>
  </w:style>
  <w:style w:type="character" w:customStyle="1" w:styleId="12">
    <w:name w:val="页脚 Char"/>
    <w:basedOn w:val="9"/>
    <w:link w:val="4"/>
    <w:autoRedefine/>
    <w:qFormat/>
    <w:uiPriority w:val="99"/>
    <w:rPr>
      <w:sz w:val="18"/>
      <w:szCs w:val="18"/>
    </w:rPr>
  </w:style>
  <w:style w:type="paragraph" w:customStyle="1" w:styleId="13">
    <w:name w:val="zw"/>
    <w:basedOn w:val="14"/>
    <w:autoRedefine/>
    <w:qFormat/>
    <w:uiPriority w:val="0"/>
    <w:pPr>
      <w:spacing w:line="360" w:lineRule="auto"/>
      <w:ind w:firstLine="482"/>
    </w:pPr>
    <w:rPr>
      <w:rFonts w:hAnsi="Arial Narrow" w:eastAsia="楷体_GB2312"/>
      <w:sz w:val="24"/>
    </w:rPr>
  </w:style>
  <w:style w:type="paragraph" w:customStyle="1" w:styleId="14">
    <w:name w:val="ZW"/>
    <w:basedOn w:val="1"/>
    <w:autoRedefine/>
    <w:qFormat/>
    <w:uiPriority w:val="0"/>
    <w:pPr>
      <w:adjustRightInd w:val="0"/>
      <w:spacing w:line="440" w:lineRule="atLeast"/>
      <w:ind w:firstLine="601"/>
      <w:textAlignment w:val="baseline"/>
    </w:pPr>
    <w:rPr>
      <w:rFonts w:ascii="Arial Narrow" w:eastAsia="昆仑楷体"/>
      <w:kern w:val="0"/>
      <w:sz w:val="28"/>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5.bin"/><Relationship Id="rId8" Type="http://schemas.openxmlformats.org/officeDocument/2006/relationships/oleObject" Target="embeddings/oleObject4.bin"/><Relationship Id="rId7" Type="http://schemas.openxmlformats.org/officeDocument/2006/relationships/oleObject" Target="embeddings/oleObject3.bin"/><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6.png"/><Relationship Id="rId15" Type="http://schemas.openxmlformats.org/officeDocument/2006/relationships/image" Target="media/image5.wmf"/><Relationship Id="rId14" Type="http://schemas.openxmlformats.org/officeDocument/2006/relationships/oleObject" Target="embeddings/oleObject7.bin"/><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oleObject" Target="embeddings/oleObject6.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74</Words>
  <Characters>637</Characters>
  <Lines>27</Lines>
  <Paragraphs>29</Paragraphs>
  <TotalTime>38</TotalTime>
  <ScaleCrop>false</ScaleCrop>
  <LinksUpToDate>false</LinksUpToDate>
  <CharactersWithSpaces>682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2022-10-20T09:32:00Z</dcterms:created>
  <dc:creator>Zhou</dc:creator>
  <cp:lastModifiedBy>小明</cp:lastModifiedBy>
  <dcterms:modified xsi:type="dcterms:W3CDTF">2024-02-29T08:18:18Z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0056B006D33C49B7900BF49B07DC31F0_13</vt:lpwstr>
  </property>
</Properties>
</file>