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b/>
          <w:bCs/>
          <w:sz w:val="32"/>
          <w:szCs w:val="32"/>
        </w:rPr>
      </w:pPr>
      <w:r>
        <w:rPr>
          <w:rFonts w:hint="eastAsia"/>
          <w:b/>
          <w:bCs/>
          <w:sz w:val="32"/>
          <w:szCs w:val="32"/>
        </w:rPr>
        <w:t>计算机软件著作权评估及案例分析</w:t>
      </w:r>
    </w:p>
    <w:p>
      <w:pPr>
        <w:pStyle w:val="4"/>
        <w:rPr>
          <w:rFonts w:hint="eastAsia"/>
        </w:rPr>
      </w:pPr>
    </w:p>
    <w:p>
      <w:pPr>
        <w:pStyle w:val="4"/>
        <w:rPr>
          <w:rFonts w:hint="eastAsia"/>
        </w:rPr>
      </w:pPr>
      <w:r>
        <w:rPr>
          <w:rFonts w:hint="eastAsia"/>
          <w:lang w:val="en-US" w:eastAsia="zh-CN"/>
        </w:rPr>
        <w:t>1、</w:t>
      </w:r>
      <w:r>
        <w:rPr>
          <w:rFonts w:hint="eastAsia"/>
        </w:rPr>
        <w:t>软件著作权涵义</w:t>
      </w:r>
    </w:p>
    <w:p>
      <w:pPr>
        <w:pStyle w:val="4"/>
        <w:rPr>
          <w:rFonts w:hint="eastAsia"/>
          <w:lang w:val="en-US" w:eastAsia="zh-CN"/>
        </w:rPr>
      </w:pPr>
      <w:r>
        <w:rPr>
          <w:rFonts w:hint="eastAsia"/>
          <w:lang w:val="en-US" w:eastAsia="zh-CN"/>
        </w:rPr>
        <w:t>2、价值影响因素</w:t>
      </w:r>
    </w:p>
    <w:p>
      <w:pPr>
        <w:pStyle w:val="4"/>
        <w:rPr>
          <w:rFonts w:hint="default" w:eastAsia="宋体"/>
          <w:lang w:val="en-US" w:eastAsia="zh-CN"/>
        </w:rPr>
      </w:pPr>
      <w:r>
        <w:rPr>
          <w:rFonts w:hint="eastAsia"/>
          <w:lang w:val="en-US" w:eastAsia="zh-CN"/>
        </w:rPr>
        <w:t>3、</w:t>
      </w:r>
      <w:r>
        <w:rPr>
          <w:rFonts w:hint="eastAsia"/>
        </w:rPr>
        <w:t>软件著作权</w:t>
      </w:r>
      <w:r>
        <w:rPr>
          <w:rFonts w:hint="eastAsia"/>
          <w:lang w:val="en-US" w:eastAsia="zh-CN"/>
        </w:rPr>
        <w:t>评估概述</w:t>
      </w:r>
    </w:p>
    <w:p>
      <w:pPr>
        <w:pStyle w:val="4"/>
        <w:rPr>
          <w:rFonts w:hint="default"/>
          <w:lang w:val="en-US" w:eastAsia="zh-CN"/>
        </w:rPr>
      </w:pPr>
      <w:r>
        <w:rPr>
          <w:rFonts w:hint="eastAsia"/>
          <w:lang w:val="en-US" w:eastAsia="zh-CN"/>
        </w:rPr>
        <w:t>4、评估方法</w:t>
      </w:r>
    </w:p>
    <w:p>
      <w:pPr>
        <w:pStyle w:val="4"/>
        <w:rPr>
          <w:rFonts w:hint="eastAsia" w:eastAsia="宋体"/>
          <w:lang w:val="en-US" w:eastAsia="zh-CN"/>
        </w:rPr>
      </w:pPr>
      <w:r>
        <w:rPr>
          <w:rFonts w:hint="eastAsia"/>
          <w:lang w:val="en-US" w:eastAsia="zh-CN"/>
        </w:rPr>
        <w:t>5、案例分析</w:t>
      </w:r>
    </w:p>
    <w:p>
      <w:pPr>
        <w:pStyle w:val="4"/>
        <w:rPr>
          <w:rFonts w:hint="default" w:eastAsia="宋体"/>
          <w:lang w:val="en-US" w:eastAsia="zh-CN"/>
        </w:rPr>
      </w:pPr>
      <w:r>
        <w:rPr>
          <w:rFonts w:hint="eastAsia"/>
          <w:lang w:val="en-US" w:eastAsia="zh-CN"/>
        </w:rPr>
        <w:t>6、评估报告书</w:t>
      </w:r>
    </w:p>
    <w:p>
      <w:pPr>
        <w:pStyle w:val="4"/>
        <w:rPr>
          <w:rFonts w:hint="eastAsia"/>
        </w:rPr>
      </w:pPr>
    </w:p>
    <w:p>
      <w:pPr>
        <w:pStyle w:val="4"/>
        <w:rPr>
          <w:rFonts w:hint="eastAsia"/>
        </w:rPr>
      </w:pPr>
      <w:r>
        <w:rPr>
          <w:rFonts w:hint="eastAsia"/>
          <w:lang w:val="en-US" w:eastAsia="zh-CN"/>
        </w:rPr>
        <w:t>一、</w:t>
      </w:r>
      <w:r>
        <w:rPr>
          <w:rFonts w:hint="eastAsia"/>
        </w:rPr>
        <w:t>软件著作权涵义</w:t>
      </w:r>
    </w:p>
    <w:p>
      <w:pPr>
        <w:pStyle w:val="4"/>
        <w:rPr>
          <w:rFonts w:hint="eastAsia"/>
        </w:rPr>
      </w:pPr>
      <w:r>
        <w:rPr>
          <w:rFonts w:hint="eastAsia"/>
        </w:rPr>
        <w:t>软件著作权是指软件的开发者或者权利人依据相关法律法规的规定所拥有或者控制的软件著作权的财产权益，其相关财产权益能够持续有效并发挥经济利益。软件著作权具备民事权利的特征和原则，在法律上具有资产的时效性和地域性等。</w:t>
      </w:r>
    </w:p>
    <w:p>
      <w:pPr>
        <w:pStyle w:val="4"/>
        <w:rPr>
          <w:rFonts w:hint="eastAsia"/>
        </w:rPr>
      </w:pPr>
    </w:p>
    <w:p>
      <w:pPr>
        <w:pStyle w:val="4"/>
        <w:rPr>
          <w:rFonts w:hint="eastAsia"/>
          <w:lang w:val="en-US" w:eastAsia="zh-CN"/>
        </w:rPr>
      </w:pPr>
      <w:r>
        <w:rPr>
          <w:rFonts w:hint="eastAsia"/>
          <w:lang w:val="en-US" w:eastAsia="zh-CN"/>
        </w:rPr>
        <w:t xml:space="preserve">二、软件著作权价值影响因素 </w:t>
      </w:r>
    </w:p>
    <w:p>
      <w:pPr>
        <w:pStyle w:val="4"/>
        <w:rPr>
          <w:rFonts w:hint="eastAsia"/>
          <w:lang w:val="en-US" w:eastAsia="zh-CN"/>
        </w:rPr>
      </w:pPr>
      <w:r>
        <w:rPr>
          <w:rFonts w:hint="eastAsia"/>
          <w:lang w:val="en-US" w:eastAsia="zh-CN"/>
        </w:rPr>
        <w:t xml:space="preserve">（1）软件著作权的成本 </w:t>
      </w:r>
    </w:p>
    <w:p>
      <w:pPr>
        <w:pStyle w:val="4"/>
        <w:rPr>
          <w:rFonts w:hint="eastAsia"/>
          <w:lang w:val="en-US" w:eastAsia="zh-CN"/>
        </w:rPr>
      </w:pPr>
      <w:r>
        <w:rPr>
          <w:rFonts w:hint="eastAsia"/>
          <w:lang w:val="en-US" w:eastAsia="zh-CN"/>
        </w:rPr>
        <w:t>软件著作权与其他无形资产、有形资产一样，也具有成本，其成本不明确且不易计量，同时，软件著作权在创造中的投入资本、沉没成本等很难确定。</w:t>
      </w:r>
    </w:p>
    <w:p>
      <w:pPr>
        <w:pStyle w:val="4"/>
        <w:rPr>
          <w:rFonts w:hint="eastAsia"/>
          <w:lang w:val="en-US" w:eastAsia="zh-CN"/>
        </w:rPr>
      </w:pPr>
      <w:r>
        <w:rPr>
          <w:rFonts w:hint="eastAsia"/>
          <w:lang w:val="en-US" w:eastAsia="zh-CN"/>
        </w:rPr>
        <w:t>软件著作权评估值至少应超过其在开发过程中的技术创造成本、宣传效应成本和相关政策保护成本等。</w:t>
      </w:r>
    </w:p>
    <w:p>
      <w:pPr>
        <w:pStyle w:val="4"/>
        <w:rPr>
          <w:rFonts w:hint="eastAsia"/>
          <w:lang w:val="en-US" w:eastAsia="zh-CN"/>
        </w:rPr>
      </w:pPr>
      <w:r>
        <w:rPr>
          <w:rFonts w:hint="eastAsia"/>
          <w:lang w:val="en-US" w:eastAsia="zh-CN"/>
        </w:rPr>
        <w:t xml:space="preserve">（2）效益因素 </w:t>
      </w:r>
    </w:p>
    <w:p>
      <w:pPr>
        <w:pStyle w:val="4"/>
        <w:rPr>
          <w:rFonts w:hint="eastAsia"/>
          <w:lang w:val="en-US" w:eastAsia="zh-CN"/>
        </w:rPr>
      </w:pPr>
      <w:r>
        <w:rPr>
          <w:rFonts w:hint="eastAsia"/>
          <w:lang w:val="en-US" w:eastAsia="zh-CN"/>
        </w:rPr>
        <w:t xml:space="preserve">成本是对软件著作权补偿角度分析的，但软件著作权关注的是它所能创造的超额收益能力，在政治经济制度、评估准则允许的条件下软件著作权的超额获利能力对其估值具有决定作用，软件著作权的评估价值与获利能力越成正比。 </w:t>
      </w:r>
    </w:p>
    <w:p>
      <w:pPr>
        <w:pStyle w:val="4"/>
        <w:rPr>
          <w:rFonts w:hint="eastAsia"/>
          <w:lang w:val="en-US" w:eastAsia="zh-CN"/>
        </w:rPr>
      </w:pPr>
      <w:r>
        <w:rPr>
          <w:rFonts w:hint="eastAsia"/>
          <w:lang w:val="en-US" w:eastAsia="zh-CN"/>
        </w:rPr>
        <w:t xml:space="preserve">（3）机会成本 </w:t>
      </w:r>
    </w:p>
    <w:p>
      <w:pPr>
        <w:pStyle w:val="4"/>
        <w:rPr>
          <w:rFonts w:hint="eastAsia"/>
          <w:lang w:val="en-US" w:eastAsia="zh-CN"/>
        </w:rPr>
      </w:pPr>
      <w:r>
        <w:rPr>
          <w:rFonts w:hint="eastAsia"/>
          <w:lang w:val="en-US" w:eastAsia="zh-CN"/>
        </w:rPr>
        <w:t xml:space="preserve">机会成本是指该项软件著作权经过转让、资产重组后失去市场的规模和创造收益的机会，或者投资、出售等导致所有权和使用权发生交易后，可能会给原软件拥有者失去市场和交易的机会，在实务中，机会成本的确定包括转出的净减收益和再开发净增费用。 </w:t>
      </w:r>
    </w:p>
    <w:p>
      <w:pPr>
        <w:pStyle w:val="4"/>
        <w:rPr>
          <w:rFonts w:hint="eastAsia"/>
          <w:lang w:val="en-US" w:eastAsia="zh-CN"/>
        </w:rPr>
      </w:pPr>
      <w:r>
        <w:rPr>
          <w:rFonts w:hint="eastAsia"/>
          <w:lang w:val="en-US" w:eastAsia="zh-CN"/>
        </w:rPr>
        <w:t xml:space="preserve">（4）技术成熟程度 </w:t>
      </w:r>
    </w:p>
    <w:p>
      <w:pPr>
        <w:pStyle w:val="4"/>
        <w:rPr>
          <w:rFonts w:hint="eastAsia"/>
          <w:lang w:val="en-US" w:eastAsia="zh-CN"/>
        </w:rPr>
      </w:pPr>
      <w:r>
        <w:rPr>
          <w:rFonts w:hint="eastAsia"/>
          <w:lang w:val="en-US" w:eastAsia="zh-CN"/>
        </w:rPr>
        <w:t>软件著作权技术成熟程度会直接影响评估值的高低。软件著作权在开发程度过程中应用了新技术、新工艺，在软件著作权技术成熟的前提下，其开发程度越高，运用该技术成果的风险性也会相应降低，评估值相应提高。</w:t>
      </w:r>
    </w:p>
    <w:p>
      <w:pPr>
        <w:pStyle w:val="4"/>
        <w:rPr>
          <w:rFonts w:hint="eastAsia"/>
          <w:lang w:val="en-US" w:eastAsia="zh-CN"/>
        </w:rPr>
      </w:pPr>
      <w:r>
        <w:rPr>
          <w:rFonts w:hint="eastAsia"/>
          <w:lang w:val="en-US" w:eastAsia="zh-CN"/>
        </w:rPr>
        <w:t xml:space="preserve">如果软件著作权的技术程度不成熟，运用该技术成果的风险性也会相应提高，在评估时应考虑软件著作权技术成果的成熟程度，正确估算其不成熟的技术成果所带来的风险，从而科学的确定其评估值。 </w:t>
      </w:r>
    </w:p>
    <w:p>
      <w:pPr>
        <w:pStyle w:val="4"/>
        <w:rPr>
          <w:rFonts w:hint="eastAsia"/>
          <w:lang w:val="en-US" w:eastAsia="zh-CN"/>
        </w:rPr>
      </w:pPr>
      <w:r>
        <w:rPr>
          <w:rFonts w:hint="eastAsia"/>
          <w:lang w:val="en-US" w:eastAsia="zh-CN"/>
        </w:rPr>
        <w:t xml:space="preserve">（5）使用期限 </w:t>
      </w:r>
    </w:p>
    <w:p>
      <w:pPr>
        <w:pStyle w:val="4"/>
        <w:rPr>
          <w:rFonts w:hint="eastAsia"/>
          <w:lang w:val="en-US" w:eastAsia="zh-CN"/>
        </w:rPr>
      </w:pPr>
      <w:r>
        <w:rPr>
          <w:rFonts w:hint="eastAsia"/>
          <w:lang w:val="en-US" w:eastAsia="zh-CN"/>
        </w:rPr>
        <w:t>软件著作权的使用期限会受其先进程度和无形损耗的大小影响。软件著作权的使用期限与其先进程度成正比，与无形损耗成反比。</w:t>
      </w:r>
    </w:p>
    <w:p>
      <w:pPr>
        <w:pStyle w:val="4"/>
        <w:rPr>
          <w:rFonts w:hint="eastAsia"/>
          <w:lang w:val="en-US" w:eastAsia="zh-CN"/>
        </w:rPr>
      </w:pPr>
      <w:r>
        <w:rPr>
          <w:rFonts w:hint="eastAsia"/>
          <w:lang w:val="en-US" w:eastAsia="zh-CN"/>
        </w:rPr>
        <w:t>软件著作权的使用期限包括法律保护期限和实际可以使用的保护期限，然而，首先应当考虑法律保护期限，在法律保护期限的基础之上，关注软件著作权的未来实际可使用期限，实际使用年限是指软件著作权在受技术成熟度和市场需求等因素影响下未来可以产生超额收益的年限。</w:t>
      </w:r>
    </w:p>
    <w:p>
      <w:pPr>
        <w:pStyle w:val="4"/>
        <w:rPr>
          <w:rFonts w:hint="eastAsia"/>
          <w:lang w:val="en-US" w:eastAsia="zh-CN"/>
        </w:rPr>
      </w:pPr>
      <w:r>
        <w:rPr>
          <w:rFonts w:hint="eastAsia"/>
          <w:lang w:val="en-US" w:eastAsia="zh-CN"/>
        </w:rPr>
        <w:t xml:space="preserve">在具体应用中，根据法律保护年限和实际可使用年限孰短原则确定软件著作权的使用期限，比如某项计算机软件著作权，法律保护期为 20 年，但由于无形损耗因素影响较大，该项软件著作权实际超额收益的期限只有 10 年，该项软件著作权的使用年限最终确定为 10 年。 </w:t>
      </w:r>
    </w:p>
    <w:p>
      <w:pPr>
        <w:pStyle w:val="4"/>
        <w:rPr>
          <w:rFonts w:hint="eastAsia"/>
          <w:lang w:val="en-US" w:eastAsia="zh-CN"/>
        </w:rPr>
      </w:pPr>
      <w:r>
        <w:rPr>
          <w:rFonts w:hint="eastAsia"/>
          <w:lang w:val="en-US" w:eastAsia="zh-CN"/>
        </w:rPr>
        <w:t xml:space="preserve">（6）转让内容因素 </w:t>
      </w:r>
    </w:p>
    <w:p>
      <w:pPr>
        <w:pStyle w:val="4"/>
        <w:rPr>
          <w:rFonts w:hint="eastAsia"/>
          <w:lang w:val="en-US" w:eastAsia="zh-CN"/>
        </w:rPr>
      </w:pPr>
      <w:r>
        <w:rPr>
          <w:rFonts w:hint="eastAsia"/>
          <w:lang w:val="en-US" w:eastAsia="zh-CN"/>
        </w:rPr>
        <w:t>软件著作权在转让过程中的所有权转让和使用权转让都会影响其评估值。 软件著作权在所有权转让的时候其超额收益全是购买方获得，在使用权转让的时候其超额收益部分是购买方获得，通过超额收益为购买方获得的多少可以看出，软件著作权所有权转让的价值高于软件著作权使用权转让的价值。</w:t>
      </w:r>
    </w:p>
    <w:p>
      <w:pPr>
        <w:pStyle w:val="4"/>
        <w:rPr>
          <w:rFonts w:hint="eastAsia"/>
          <w:lang w:val="en-US" w:eastAsia="zh-CN"/>
        </w:rPr>
      </w:pPr>
      <w:r>
        <w:rPr>
          <w:rFonts w:hint="eastAsia"/>
          <w:lang w:val="en-US" w:eastAsia="zh-CN"/>
        </w:rPr>
        <w:t>（7）宏观因素和行业因素</w:t>
      </w:r>
    </w:p>
    <w:p>
      <w:pPr>
        <w:pStyle w:val="4"/>
        <w:rPr>
          <w:rFonts w:hint="eastAsia"/>
          <w:lang w:val="en-US" w:eastAsia="zh-CN"/>
        </w:rPr>
      </w:pPr>
      <w:r>
        <w:rPr>
          <w:rFonts w:hint="eastAsia"/>
          <w:lang w:val="en-US" w:eastAsia="zh-CN"/>
        </w:rPr>
        <w:t>当国民经济增长速度、ＧＤＰ、ＰＩ指数等这些经济数据发生变化时，软件的估价也会随之发生变化。</w:t>
      </w:r>
    </w:p>
    <w:p>
      <w:pPr>
        <w:pStyle w:val="4"/>
        <w:rPr>
          <w:rFonts w:hint="eastAsia"/>
          <w:lang w:val="en-US" w:eastAsia="zh-CN"/>
        </w:rPr>
      </w:pPr>
      <w:r>
        <w:rPr>
          <w:rFonts w:hint="eastAsia"/>
          <w:lang w:val="en-US" w:eastAsia="zh-CN"/>
        </w:rPr>
        <w:t>比如在国民经济増长速度比较快、ＧＤＰ比较大的地区，就会增加资金中用于投资和消费的部分，这样就会增加在技术和软件方面的需求，间接地提高软件的价格。</w:t>
      </w:r>
    </w:p>
    <w:p>
      <w:pPr>
        <w:pStyle w:val="4"/>
        <w:rPr>
          <w:rFonts w:hint="eastAsia"/>
          <w:lang w:val="en-US" w:eastAsia="zh-CN"/>
        </w:rPr>
      </w:pPr>
      <w:r>
        <w:rPr>
          <w:rFonts w:hint="eastAsia"/>
          <w:lang w:val="en-US" w:eastAsia="zh-CN"/>
        </w:rPr>
        <w:t>当国家宏观政策和法律政策发生变化时，也会导致软件的估价发生变化。</w:t>
      </w:r>
    </w:p>
    <w:p>
      <w:pPr>
        <w:pStyle w:val="4"/>
        <w:rPr>
          <w:rFonts w:hint="eastAsia"/>
          <w:lang w:val="en-US" w:eastAsia="zh-CN"/>
        </w:rPr>
      </w:pPr>
      <w:r>
        <w:rPr>
          <w:rFonts w:hint="eastAsia"/>
          <w:lang w:val="en-US" w:eastAsia="zh-CN"/>
        </w:rPr>
        <w:t>比如国家制定的宏观政策能够对某一行业的进步起到促进作用，则会对该行业所涉及到的软件，它的需求上升，从而提高软件价格；</w:t>
      </w:r>
    </w:p>
    <w:p>
      <w:pPr>
        <w:pStyle w:val="4"/>
        <w:rPr>
          <w:rFonts w:hint="eastAsia"/>
          <w:lang w:val="en-US" w:eastAsia="zh-CN"/>
        </w:rPr>
      </w:pPr>
      <w:r>
        <w:rPr>
          <w:rFonts w:hint="eastAsia"/>
          <w:lang w:val="en-US" w:eastAsia="zh-CN"/>
        </w:rPr>
        <w:t>比如国家制定的宏观政策对某一行业的进步起到抑制作用，减少资金对该行业的投入，则会对该行业所涉及的软件，它的需求下降，从而降低软件价格。</w:t>
      </w:r>
    </w:p>
    <w:p>
      <w:pPr>
        <w:pStyle w:val="4"/>
        <w:rPr>
          <w:rFonts w:hint="default"/>
          <w:lang w:val="en-US" w:eastAsia="zh-CN"/>
        </w:rPr>
      </w:pPr>
      <w:r>
        <w:rPr>
          <w:rFonts w:hint="eastAsia"/>
          <w:lang w:val="en-US" w:eastAsia="zh-CN"/>
        </w:rPr>
        <w:t>【多选题】计算机软件著作权价值影响因素有（  ）</w:t>
      </w:r>
    </w:p>
    <w:p>
      <w:pPr>
        <w:pStyle w:val="4"/>
        <w:rPr>
          <w:rFonts w:hint="eastAsia"/>
          <w:lang w:val="en-US" w:eastAsia="zh-CN"/>
        </w:rPr>
      </w:pPr>
      <w:r>
        <w:rPr>
          <w:rFonts w:hint="eastAsia"/>
          <w:lang w:val="en-US" w:eastAsia="zh-CN"/>
        </w:rPr>
        <w:t>A、软件著作权技术成熟程度</w:t>
      </w:r>
    </w:p>
    <w:p>
      <w:pPr>
        <w:pStyle w:val="4"/>
        <w:rPr>
          <w:rFonts w:hint="default"/>
          <w:lang w:val="en-US" w:eastAsia="zh-CN"/>
        </w:rPr>
      </w:pPr>
      <w:r>
        <w:rPr>
          <w:rFonts w:hint="eastAsia"/>
          <w:lang w:val="en-US" w:eastAsia="zh-CN"/>
        </w:rPr>
        <w:t>B、软件著作权研发人员工资</w:t>
      </w:r>
    </w:p>
    <w:p>
      <w:pPr>
        <w:pStyle w:val="4"/>
        <w:rPr>
          <w:rFonts w:hint="eastAsia"/>
          <w:lang w:val="en-US" w:eastAsia="zh-CN"/>
        </w:rPr>
      </w:pPr>
      <w:r>
        <w:rPr>
          <w:rFonts w:hint="eastAsia"/>
          <w:lang w:val="en-US" w:eastAsia="zh-CN"/>
        </w:rPr>
        <w:t>C、国家宏观政策</w:t>
      </w:r>
    </w:p>
    <w:p>
      <w:pPr>
        <w:pStyle w:val="4"/>
        <w:rPr>
          <w:rFonts w:hint="eastAsia"/>
          <w:lang w:val="en-US" w:eastAsia="zh-CN"/>
        </w:rPr>
      </w:pPr>
      <w:r>
        <w:rPr>
          <w:rFonts w:hint="eastAsia"/>
          <w:lang w:val="en-US" w:eastAsia="zh-CN"/>
        </w:rPr>
        <w:t>D、软件著作权的使用期限</w:t>
      </w:r>
    </w:p>
    <w:p>
      <w:pPr>
        <w:pStyle w:val="4"/>
        <w:rPr>
          <w:rFonts w:hint="eastAsia"/>
          <w:lang w:val="en-US" w:eastAsia="zh-CN"/>
        </w:rPr>
      </w:pPr>
      <w:r>
        <w:rPr>
          <w:rFonts w:hint="eastAsia"/>
          <w:lang w:val="en-US" w:eastAsia="zh-CN"/>
        </w:rPr>
        <w:t>答案：ABCD</w:t>
      </w:r>
    </w:p>
    <w:p>
      <w:pPr>
        <w:pStyle w:val="4"/>
        <w:rPr>
          <w:rFonts w:hint="default"/>
          <w:lang w:val="en-US" w:eastAsia="zh-CN"/>
        </w:rPr>
      </w:pPr>
      <w:r>
        <w:rPr>
          <w:rFonts w:hint="eastAsia"/>
          <w:lang w:val="en-US" w:eastAsia="zh-CN"/>
        </w:rPr>
        <w:t>解析：计算机软件著作权价值影响因素有（1）软件著作权的成本 （2）效益因素（3）机会成本 （4）技术成熟程度 （5）使用期限 （6）转让内容因素 （7）宏观因素和行业因素等</w:t>
      </w:r>
    </w:p>
    <w:p>
      <w:pPr>
        <w:pStyle w:val="4"/>
        <w:rPr>
          <w:rFonts w:hint="default"/>
          <w:lang w:val="en-US" w:eastAsia="zh-CN"/>
        </w:rPr>
      </w:pPr>
    </w:p>
    <w:p>
      <w:pPr>
        <w:pStyle w:val="4"/>
        <w:rPr>
          <w:rFonts w:hint="eastAsia"/>
          <w:lang w:val="en-US" w:eastAsia="zh-CN"/>
        </w:rPr>
      </w:pPr>
      <w:r>
        <w:rPr>
          <w:rFonts w:hint="eastAsia"/>
          <w:lang w:val="en-US" w:eastAsia="zh-CN"/>
        </w:rPr>
        <w:t xml:space="preserve">三、软件著作权价值评估概述 </w:t>
      </w:r>
    </w:p>
    <w:p>
      <w:pPr>
        <w:pStyle w:val="4"/>
        <w:rPr>
          <w:rFonts w:hint="default"/>
          <w:lang w:val="en-US" w:eastAsia="zh-CN"/>
        </w:rPr>
      </w:pPr>
      <w:r>
        <w:rPr>
          <w:rFonts w:hint="eastAsia"/>
          <w:lang w:val="en-US" w:eastAsia="zh-CN"/>
        </w:rPr>
        <w:t>1、</w:t>
      </w:r>
      <w:r>
        <w:rPr>
          <w:rFonts w:hint="default"/>
          <w:lang w:val="en-US" w:eastAsia="zh-CN"/>
        </w:rPr>
        <w:t>软件著作权价值评估的涵义</w:t>
      </w:r>
    </w:p>
    <w:p>
      <w:pPr>
        <w:pStyle w:val="4"/>
        <w:rPr>
          <w:rFonts w:hint="default"/>
          <w:lang w:val="en-US" w:eastAsia="zh-CN"/>
        </w:rPr>
      </w:pPr>
      <w:r>
        <w:rPr>
          <w:rFonts w:hint="default"/>
          <w:lang w:val="en-US" w:eastAsia="zh-CN"/>
        </w:rPr>
        <w:t xml:space="preserve">软件著作权价值评估是指具有专业评估资格的主体，依据国家法律法规、行业准则和有关资料，按照软件著作权的评估目的，遵循评估原则，选择适用的价值类型，确定评估方法，依据评估程序对软件著作权在某一评估基准日进行确认、评价、估算和报告，为软件著作权业务当事人提供价值尺度的一种社会经济活动。软件著作权价值评估应该结合软件著作权评估的影响因素和企业的经营特点及资本流动性，综合评估软件著作权的价值。 </w:t>
      </w:r>
    </w:p>
    <w:p>
      <w:pPr>
        <w:pStyle w:val="4"/>
        <w:rPr>
          <w:rFonts w:hint="eastAsia"/>
          <w:lang w:val="en-US" w:eastAsia="zh-CN"/>
        </w:rPr>
      </w:pPr>
      <w:r>
        <w:rPr>
          <w:rFonts w:hint="eastAsia"/>
          <w:lang w:val="en-US" w:eastAsia="zh-CN"/>
        </w:rPr>
        <w:t>2、软件著作权价值评估的主要基本要素</w:t>
      </w:r>
    </w:p>
    <w:p>
      <w:pPr>
        <w:pStyle w:val="4"/>
        <w:rPr>
          <w:rFonts w:hint="eastAsia"/>
          <w:lang w:val="en-US" w:eastAsia="zh-CN"/>
        </w:rPr>
      </w:pPr>
      <w:r>
        <w:rPr>
          <w:rFonts w:hint="eastAsia"/>
          <w:lang w:val="en-US" w:eastAsia="zh-CN"/>
        </w:rPr>
        <w:t xml:space="preserve">（1）价值评估的目的 </w:t>
      </w:r>
    </w:p>
    <w:p>
      <w:pPr>
        <w:pStyle w:val="4"/>
        <w:rPr>
          <w:rFonts w:hint="eastAsia"/>
          <w:lang w:val="en-US" w:eastAsia="zh-CN"/>
        </w:rPr>
      </w:pPr>
      <w:r>
        <w:rPr>
          <w:rFonts w:hint="eastAsia"/>
          <w:lang w:val="en-US" w:eastAsia="zh-CN"/>
        </w:rPr>
        <w:t xml:space="preserve">①价值评估可以用于投资分析 </w:t>
      </w:r>
    </w:p>
    <w:p>
      <w:pPr>
        <w:pStyle w:val="4"/>
        <w:rPr>
          <w:rFonts w:hint="eastAsia"/>
          <w:lang w:val="en-US" w:eastAsia="zh-CN"/>
        </w:rPr>
      </w:pPr>
      <w:r>
        <w:rPr>
          <w:rFonts w:hint="eastAsia"/>
          <w:lang w:val="en-US" w:eastAsia="zh-CN"/>
        </w:rPr>
        <w:t xml:space="preserve">在经济市场上，风险投资尤其高新技术的投资日趋增多，风险投资在稳定性上存在波动性，形式上存在多变性，导致投资存在着一系列的风险，所以，做好价值评估的投资分析有助于项目相关者理性投资，规避风险，追求利益最大化。       </w:t>
      </w:r>
    </w:p>
    <w:p>
      <w:pPr>
        <w:pStyle w:val="4"/>
        <w:rPr>
          <w:rFonts w:hint="eastAsia"/>
          <w:lang w:val="en-US" w:eastAsia="zh-CN"/>
        </w:rPr>
      </w:pPr>
      <w:r>
        <w:rPr>
          <w:rFonts w:hint="eastAsia"/>
          <w:lang w:val="en-US" w:eastAsia="zh-CN"/>
        </w:rPr>
        <w:t xml:space="preserve">企业投资者在对项目的投融资方案进行分析以及未来收益预测过程中，也就是合理的软件著作权评估价值会对投融资方案的优化起到一定的作用，具有参考意义的项目投资评估报告能够实现企业价值最大化的目的。 </w:t>
      </w:r>
    </w:p>
    <w:p>
      <w:pPr>
        <w:pStyle w:val="4"/>
        <w:rPr>
          <w:rFonts w:hint="eastAsia"/>
          <w:lang w:val="en-US" w:eastAsia="zh-CN"/>
        </w:rPr>
      </w:pPr>
      <w:r>
        <w:rPr>
          <w:rFonts w:hint="eastAsia"/>
          <w:lang w:val="en-US" w:eastAsia="zh-CN"/>
        </w:rPr>
        <w:t xml:space="preserve">②价值评估可以用于企业战略分析和决策 </w:t>
      </w:r>
    </w:p>
    <w:p>
      <w:pPr>
        <w:pStyle w:val="4"/>
        <w:rPr>
          <w:rFonts w:hint="eastAsia"/>
          <w:lang w:val="en-US" w:eastAsia="zh-CN"/>
        </w:rPr>
      </w:pPr>
      <w:r>
        <w:rPr>
          <w:rFonts w:hint="eastAsia"/>
          <w:lang w:val="en-US" w:eastAsia="zh-CN"/>
        </w:rPr>
        <w:t>软件著作权价值评估，分析并发现企业战略决策的机遇。</w:t>
      </w:r>
    </w:p>
    <w:p>
      <w:pPr>
        <w:pStyle w:val="4"/>
        <w:rPr>
          <w:rFonts w:hint="eastAsia"/>
          <w:lang w:val="en-US" w:eastAsia="zh-CN"/>
        </w:rPr>
      </w:pPr>
      <w:r>
        <w:rPr>
          <w:rFonts w:hint="eastAsia"/>
          <w:lang w:val="en-US" w:eastAsia="zh-CN"/>
        </w:rPr>
        <w:t xml:space="preserve">它一方面检查战略的可行性研究，另一方面通过勘察外部环境，判定软件著作权的新机遇。软件著作权价值修正评估以后，企业根据现行战略和绩效的分析，比较不同战略方案，改进资本结构，提高软件著作权领域的经营管理水平和获利能力。 </w:t>
      </w:r>
    </w:p>
    <w:p>
      <w:pPr>
        <w:pStyle w:val="4"/>
        <w:rPr>
          <w:rFonts w:hint="eastAsia"/>
          <w:lang w:val="en-US" w:eastAsia="zh-CN"/>
        </w:rPr>
      </w:pPr>
      <w:r>
        <w:rPr>
          <w:rFonts w:hint="eastAsia"/>
          <w:lang w:val="en-US" w:eastAsia="zh-CN"/>
        </w:rPr>
        <w:t xml:space="preserve">③价值评估可以促进财务状况动态化 </w:t>
      </w:r>
    </w:p>
    <w:p>
      <w:pPr>
        <w:pStyle w:val="4"/>
        <w:rPr>
          <w:rFonts w:hint="eastAsia"/>
          <w:lang w:val="en-US" w:eastAsia="zh-CN"/>
        </w:rPr>
      </w:pPr>
      <w:r>
        <w:rPr>
          <w:rFonts w:hint="eastAsia"/>
          <w:lang w:val="en-US" w:eastAsia="zh-CN"/>
        </w:rPr>
        <w:t xml:space="preserve">价值评估过程中的财务分析，主要是在分析软件著作权所在企业现有经营规模和财务状况的基础上，预测经营企业未来的获利能力，同时，依据评估价值理论和企业财务报表提供的数据，能够充分掌握软件著作权对企业未来财务状况的贡献度并做出实质判断的动态过程。 </w:t>
      </w:r>
    </w:p>
    <w:p>
      <w:pPr>
        <w:pStyle w:val="4"/>
        <w:rPr>
          <w:rFonts w:hint="eastAsia"/>
          <w:lang w:val="en-US" w:eastAsia="zh-CN"/>
        </w:rPr>
      </w:pPr>
      <w:r>
        <w:rPr>
          <w:rFonts w:hint="eastAsia"/>
          <w:lang w:val="en-US" w:eastAsia="zh-CN"/>
        </w:rPr>
        <w:t xml:space="preserve">（2）价值评估的假设 </w:t>
      </w:r>
    </w:p>
    <w:p>
      <w:pPr>
        <w:pStyle w:val="4"/>
        <w:rPr>
          <w:rFonts w:hint="eastAsia"/>
          <w:lang w:val="en-US" w:eastAsia="zh-CN"/>
        </w:rPr>
      </w:pPr>
      <w:r>
        <w:rPr>
          <w:rFonts w:hint="eastAsia"/>
          <w:lang w:val="en-US" w:eastAsia="zh-CN"/>
        </w:rPr>
        <w:t xml:space="preserve">资产评估假设是指资产评估的过程中存在着一部分需要假定说明进一步确认的事物，按照客观条件或科学预测进行事物的说明判断，软件著作权的评估假设分别从以下四点阐述： </w:t>
      </w:r>
    </w:p>
    <w:p>
      <w:pPr>
        <w:pStyle w:val="4"/>
        <w:rPr>
          <w:rFonts w:hint="eastAsia"/>
          <w:lang w:val="en-US" w:eastAsia="zh-CN"/>
        </w:rPr>
      </w:pPr>
      <w:r>
        <w:rPr>
          <w:rFonts w:hint="eastAsia"/>
          <w:lang w:val="en-US" w:eastAsia="zh-CN"/>
        </w:rPr>
        <w:t xml:space="preserve">①交易假设 </w:t>
      </w:r>
    </w:p>
    <w:p>
      <w:pPr>
        <w:pStyle w:val="4"/>
        <w:rPr>
          <w:rFonts w:hint="eastAsia"/>
          <w:lang w:val="en-US" w:eastAsia="zh-CN"/>
        </w:rPr>
      </w:pPr>
      <w:r>
        <w:rPr>
          <w:rFonts w:hint="eastAsia"/>
          <w:lang w:val="en-US" w:eastAsia="zh-CN"/>
        </w:rPr>
        <w:t xml:space="preserve">交易假设是指软件著作权评估是在市场交易的过程中进行，交易假设为软件著作权评估创造条件，同时也说明了价值评估是在市场交易之中进行，而不能孤立的存在，交易假设不仅使资产评估经济活动得以运行，也明确了软件著作权是被置于市场环境，评估专业人员根据待评估软件著作权的交易条件等进行模拟市场的估价，为委托人提供价值参考。 </w:t>
      </w:r>
    </w:p>
    <w:p>
      <w:pPr>
        <w:pStyle w:val="4"/>
        <w:rPr>
          <w:rFonts w:hint="eastAsia"/>
          <w:lang w:val="en-US" w:eastAsia="zh-CN"/>
        </w:rPr>
      </w:pPr>
      <w:r>
        <w:rPr>
          <w:rFonts w:hint="eastAsia"/>
          <w:lang w:val="en-US" w:eastAsia="zh-CN"/>
        </w:rPr>
        <w:t xml:space="preserve">②公开市场假设 </w:t>
      </w:r>
    </w:p>
    <w:p>
      <w:pPr>
        <w:pStyle w:val="4"/>
        <w:rPr>
          <w:rFonts w:hint="eastAsia"/>
          <w:lang w:val="en-US" w:eastAsia="zh-CN"/>
        </w:rPr>
      </w:pPr>
      <w:r>
        <w:rPr>
          <w:rFonts w:hint="eastAsia"/>
          <w:lang w:val="en-US" w:eastAsia="zh-CN"/>
        </w:rPr>
        <w:t xml:space="preserve">公开市场假设，是软件著作权的交易双方在充分竞争的经济市场上进行交易买卖，彼此地位平等，不受任何强制，买者和卖者能够平等的获取市场行情和经济参数的权利，也就是在公开市场环境下资产的交易价值会受到市场体制、行情的影响，而不是个别交易案例所能决定。 </w:t>
      </w:r>
    </w:p>
    <w:p>
      <w:pPr>
        <w:pStyle w:val="4"/>
        <w:rPr>
          <w:rFonts w:hint="eastAsia"/>
          <w:lang w:val="en-US" w:eastAsia="zh-CN"/>
        </w:rPr>
      </w:pPr>
      <w:r>
        <w:rPr>
          <w:rFonts w:hint="eastAsia"/>
          <w:lang w:val="en-US" w:eastAsia="zh-CN"/>
        </w:rPr>
        <w:t xml:space="preserve">③持续使用假设 </w:t>
      </w:r>
    </w:p>
    <w:p>
      <w:pPr>
        <w:pStyle w:val="4"/>
        <w:rPr>
          <w:rFonts w:hint="eastAsia"/>
          <w:lang w:val="en-US" w:eastAsia="zh-CN"/>
        </w:rPr>
      </w:pPr>
      <w:r>
        <w:rPr>
          <w:rFonts w:hint="eastAsia"/>
          <w:lang w:val="en-US" w:eastAsia="zh-CN"/>
        </w:rPr>
        <w:t>持续使用假设主要包括在用续用假设、转用续用假设和移地续用。</w:t>
      </w:r>
    </w:p>
    <w:p>
      <w:pPr>
        <w:pStyle w:val="4"/>
        <w:rPr>
          <w:rFonts w:hint="eastAsia"/>
          <w:lang w:val="en-US" w:eastAsia="zh-CN"/>
        </w:rPr>
      </w:pPr>
      <w:r>
        <w:rPr>
          <w:rFonts w:hint="eastAsia"/>
          <w:lang w:val="en-US" w:eastAsia="zh-CN"/>
        </w:rPr>
        <w:t>在用续用指的是被评估资产在权利所属或者评估业务行为发生变动后，按照目前的用途和使用方式继续使用，相应的确定评估参数和依据，不改变它的规模、环境等。</w:t>
      </w:r>
    </w:p>
    <w:p>
      <w:pPr>
        <w:pStyle w:val="4"/>
        <w:rPr>
          <w:rFonts w:hint="eastAsia"/>
          <w:lang w:val="en-US" w:eastAsia="zh-CN"/>
        </w:rPr>
      </w:pPr>
      <w:r>
        <w:rPr>
          <w:rFonts w:hint="eastAsia"/>
          <w:lang w:val="en-US" w:eastAsia="zh-CN"/>
        </w:rPr>
        <w:t>转用续用指的是被评估资产在权利所属或者评估业务行为发生变动后，转换资产当时的使用方式和用途继续使用。</w:t>
      </w:r>
    </w:p>
    <w:p>
      <w:pPr>
        <w:pStyle w:val="4"/>
        <w:rPr>
          <w:rFonts w:hint="eastAsia"/>
          <w:lang w:val="en-US" w:eastAsia="zh-CN"/>
        </w:rPr>
      </w:pPr>
      <w:r>
        <w:rPr>
          <w:rFonts w:hint="eastAsia"/>
          <w:lang w:val="en-US" w:eastAsia="zh-CN"/>
        </w:rPr>
        <w:t xml:space="preserve">移地续用则是说被评估资产在权利所属或者评估业务行为发生变动后，转移资产现时的空间位置并继续使用。 </w:t>
      </w:r>
    </w:p>
    <w:p>
      <w:pPr>
        <w:pStyle w:val="4"/>
        <w:rPr>
          <w:rFonts w:hint="eastAsia"/>
          <w:lang w:val="en-US" w:eastAsia="zh-CN"/>
        </w:rPr>
      </w:pPr>
      <w:r>
        <w:rPr>
          <w:rFonts w:hint="eastAsia"/>
          <w:lang w:val="en-US" w:eastAsia="zh-CN"/>
        </w:rPr>
        <w:t xml:space="preserve">④其他资产评估假设 </w:t>
      </w:r>
    </w:p>
    <w:p>
      <w:pPr>
        <w:pStyle w:val="4"/>
        <w:rPr>
          <w:rFonts w:hint="eastAsia"/>
          <w:lang w:val="en-US" w:eastAsia="zh-CN"/>
        </w:rPr>
      </w:pPr>
      <w:r>
        <w:rPr>
          <w:rFonts w:hint="eastAsia"/>
          <w:lang w:val="en-US" w:eastAsia="zh-CN"/>
        </w:rPr>
        <w:t xml:space="preserve">委估的软件著作权评估应当遵循相关法律、法规，不违反国家法律及社会公共利益，也不会侵犯他人依法保护的权利，能够促进资产评估行业有序发展，国家和地方现行的法律、法规、宏观经济政策无重大变化以及软件著作权在评估基准日后用途不发生变化，被评估的软件著作权取得及利用方式与评估基准日保持一致而不发生变化。 </w:t>
      </w:r>
    </w:p>
    <w:p>
      <w:pPr>
        <w:pStyle w:val="4"/>
        <w:rPr>
          <w:rFonts w:hint="default"/>
          <w:lang w:val="en-US" w:eastAsia="zh-CN"/>
        </w:rPr>
      </w:pPr>
      <w:r>
        <w:rPr>
          <w:rFonts w:hint="eastAsia"/>
          <w:lang w:val="en-US" w:eastAsia="zh-CN"/>
        </w:rPr>
        <w:t>【多选题】可以成为计算机软件著作权评估假设有（  ）</w:t>
      </w:r>
    </w:p>
    <w:p>
      <w:pPr>
        <w:pStyle w:val="4"/>
        <w:rPr>
          <w:rFonts w:hint="eastAsia"/>
          <w:lang w:val="en-US" w:eastAsia="zh-CN"/>
        </w:rPr>
      </w:pPr>
      <w:r>
        <w:rPr>
          <w:rFonts w:hint="eastAsia"/>
          <w:lang w:val="en-US" w:eastAsia="zh-CN"/>
        </w:rPr>
        <w:t>A、交易假设</w:t>
      </w:r>
    </w:p>
    <w:p>
      <w:pPr>
        <w:pStyle w:val="4"/>
        <w:rPr>
          <w:rFonts w:hint="default"/>
          <w:lang w:val="en-US" w:eastAsia="zh-CN"/>
        </w:rPr>
      </w:pPr>
      <w:r>
        <w:rPr>
          <w:rFonts w:hint="eastAsia"/>
          <w:lang w:val="en-US" w:eastAsia="zh-CN"/>
        </w:rPr>
        <w:t>B、在用续用假设</w:t>
      </w:r>
    </w:p>
    <w:p>
      <w:pPr>
        <w:pStyle w:val="4"/>
        <w:rPr>
          <w:rFonts w:hint="eastAsia"/>
          <w:lang w:val="en-US" w:eastAsia="zh-CN"/>
        </w:rPr>
      </w:pPr>
      <w:r>
        <w:rPr>
          <w:rFonts w:hint="eastAsia"/>
          <w:lang w:val="en-US" w:eastAsia="zh-CN"/>
        </w:rPr>
        <w:t>C、公开市场假设</w:t>
      </w:r>
    </w:p>
    <w:p>
      <w:pPr>
        <w:pStyle w:val="4"/>
        <w:rPr>
          <w:rFonts w:hint="eastAsia"/>
          <w:lang w:val="en-US" w:eastAsia="zh-CN"/>
        </w:rPr>
      </w:pPr>
      <w:r>
        <w:rPr>
          <w:rFonts w:hint="eastAsia"/>
          <w:lang w:val="en-US" w:eastAsia="zh-CN"/>
        </w:rPr>
        <w:t>D、转用续用假设</w:t>
      </w:r>
    </w:p>
    <w:p>
      <w:pPr>
        <w:pStyle w:val="4"/>
        <w:rPr>
          <w:rFonts w:hint="eastAsia"/>
          <w:lang w:val="en-US" w:eastAsia="zh-CN"/>
        </w:rPr>
      </w:pPr>
      <w:r>
        <w:rPr>
          <w:rFonts w:hint="eastAsia"/>
          <w:lang w:val="en-US" w:eastAsia="zh-CN"/>
        </w:rPr>
        <w:t>答案：ABCD</w:t>
      </w:r>
    </w:p>
    <w:p>
      <w:pPr>
        <w:pStyle w:val="4"/>
        <w:rPr>
          <w:rFonts w:hint="eastAsia"/>
          <w:lang w:val="en-US" w:eastAsia="zh-CN"/>
        </w:rPr>
      </w:pPr>
      <w:r>
        <w:rPr>
          <w:rFonts w:hint="eastAsia"/>
          <w:lang w:val="en-US" w:eastAsia="zh-CN"/>
        </w:rPr>
        <w:t xml:space="preserve">解析：①交易假设  ②公开市场假设 ③持续使用假设，主要包括在用续用假设、转用续用假设和移地续用。④其他资产评估假设 </w:t>
      </w:r>
    </w:p>
    <w:p>
      <w:pPr>
        <w:pStyle w:val="4"/>
        <w:rPr>
          <w:rFonts w:hint="eastAsia"/>
          <w:lang w:val="en-US" w:eastAsia="zh-CN"/>
        </w:rPr>
      </w:pPr>
    </w:p>
    <w:p>
      <w:pPr>
        <w:pStyle w:val="4"/>
        <w:rPr>
          <w:rFonts w:hint="eastAsia"/>
          <w:lang w:val="en-US" w:eastAsia="zh-CN"/>
        </w:rPr>
      </w:pPr>
      <w:r>
        <w:rPr>
          <w:rFonts w:hint="eastAsia"/>
          <w:lang w:val="en-US" w:eastAsia="zh-CN"/>
        </w:rPr>
        <w:t xml:space="preserve">（3）评估价值类型 </w:t>
      </w:r>
    </w:p>
    <w:p>
      <w:pPr>
        <w:pStyle w:val="4"/>
        <w:rPr>
          <w:rFonts w:hint="eastAsia"/>
          <w:lang w:val="en-US" w:eastAsia="zh-CN"/>
        </w:rPr>
      </w:pPr>
      <w:r>
        <w:rPr>
          <w:rFonts w:hint="eastAsia"/>
          <w:lang w:val="en-US" w:eastAsia="zh-CN"/>
        </w:rPr>
        <w:t xml:space="preserve">资产评估价值类型影响着软件著作权价值，制约着具体评估方法的应用，同时价值类型也影响着评估结果的表达，资产评估结果应该强调价值类型和评估价值量，也就是质和量在评估结果中的统一。市场价值反映市场买卖双方在评估基准日自愿进行市场交的价值估计数额，其中，当事人应各自理性行事，不受任何强迫压制。价值类型包括市场价值和市场价值以外的价值类型，市场价值以外的价值类型主要是在用价值、投资价值、持续经营价值和清算价值等。 </w:t>
      </w:r>
    </w:p>
    <w:p>
      <w:pPr>
        <w:pStyle w:val="4"/>
        <w:rPr>
          <w:rFonts w:hint="eastAsia"/>
          <w:lang w:val="en-US" w:eastAsia="zh-CN"/>
        </w:rPr>
      </w:pPr>
      <w:r>
        <w:rPr>
          <w:rFonts w:hint="eastAsia"/>
          <w:lang w:val="en-US" w:eastAsia="zh-CN"/>
        </w:rPr>
        <w:t xml:space="preserve">（4）评估原则 </w:t>
      </w:r>
    </w:p>
    <w:p>
      <w:pPr>
        <w:pStyle w:val="4"/>
        <w:rPr>
          <w:rFonts w:hint="eastAsia"/>
          <w:lang w:val="en-US" w:eastAsia="zh-CN"/>
        </w:rPr>
      </w:pPr>
      <w:r>
        <w:rPr>
          <w:rFonts w:hint="eastAsia"/>
          <w:lang w:val="en-US" w:eastAsia="zh-CN"/>
        </w:rPr>
        <w:t>价值评估的原则指资产评估机构和人员在评估活动中应当遵循的准则和规范体系，主要有工作原则和经济技术原则。</w:t>
      </w:r>
    </w:p>
    <w:p>
      <w:pPr>
        <w:pStyle w:val="4"/>
        <w:rPr>
          <w:rFonts w:hint="eastAsia"/>
          <w:lang w:val="en-US" w:eastAsia="zh-CN"/>
        </w:rPr>
      </w:pPr>
      <w:r>
        <w:rPr>
          <w:rFonts w:hint="eastAsia"/>
          <w:lang w:val="en-US" w:eastAsia="zh-CN"/>
        </w:rPr>
        <w:t>资产评估的工作原则包括独立性原则、科学性原则、客观性原则和专业性原则。</w:t>
      </w:r>
    </w:p>
    <w:p>
      <w:pPr>
        <w:pStyle w:val="4"/>
        <w:rPr>
          <w:rFonts w:hint="eastAsia"/>
          <w:lang w:val="en-US" w:eastAsia="zh-CN"/>
        </w:rPr>
      </w:pPr>
      <w:r>
        <w:rPr>
          <w:rFonts w:hint="eastAsia"/>
          <w:lang w:val="en-US" w:eastAsia="zh-CN"/>
        </w:rPr>
        <w:t>经济技术原则包括贡献原则、预期原则、最佳使用原则、供求原则和替代原则。软件著作权的评估与一般的资产评估存在着一定程度上的差异性，</w:t>
      </w:r>
    </w:p>
    <w:p>
      <w:pPr>
        <w:pStyle w:val="4"/>
        <w:rPr>
          <w:rFonts w:hint="eastAsia"/>
          <w:lang w:val="en-US" w:eastAsia="zh-CN"/>
        </w:rPr>
      </w:pPr>
      <w:r>
        <w:rPr>
          <w:rFonts w:hint="eastAsia"/>
          <w:lang w:val="en-US" w:eastAsia="zh-CN"/>
        </w:rPr>
        <w:t xml:space="preserve">因此在软件著作权价值评估过程中除了要遵循一般评估原则外,还需遵循以下评估原则： </w:t>
      </w:r>
    </w:p>
    <w:p>
      <w:pPr>
        <w:pStyle w:val="4"/>
        <w:rPr>
          <w:rFonts w:hint="eastAsia"/>
          <w:lang w:val="en-US" w:eastAsia="zh-CN"/>
        </w:rPr>
      </w:pPr>
      <w:r>
        <w:rPr>
          <w:rFonts w:hint="eastAsia"/>
          <w:lang w:val="en-US" w:eastAsia="zh-CN"/>
        </w:rPr>
        <w:t xml:space="preserve">①尊重所有者权益的原则 </w:t>
      </w:r>
    </w:p>
    <w:p>
      <w:pPr>
        <w:pStyle w:val="4"/>
        <w:rPr>
          <w:rFonts w:hint="eastAsia"/>
          <w:lang w:val="en-US" w:eastAsia="zh-CN"/>
        </w:rPr>
      </w:pPr>
      <w:r>
        <w:rPr>
          <w:rFonts w:hint="eastAsia"/>
          <w:lang w:val="en-US" w:eastAsia="zh-CN"/>
        </w:rPr>
        <w:t xml:space="preserve">软件著作权的研发成果在国内具有创造性，任何人不能随意转让其所有权，在评估准则统一，行业条件规范的前提下，依法尊重软件著作权的所有者权益，实现软件著作权的价值评估。 </w:t>
      </w:r>
    </w:p>
    <w:p>
      <w:pPr>
        <w:pStyle w:val="4"/>
        <w:rPr>
          <w:rFonts w:hint="eastAsia"/>
          <w:lang w:val="en-US" w:eastAsia="zh-CN"/>
        </w:rPr>
      </w:pPr>
      <w:r>
        <w:rPr>
          <w:rFonts w:hint="eastAsia"/>
          <w:lang w:val="en-US" w:eastAsia="zh-CN"/>
        </w:rPr>
        <w:t xml:space="preserve">②遵循经济发展规律的原则 </w:t>
      </w:r>
    </w:p>
    <w:p>
      <w:pPr>
        <w:pStyle w:val="4"/>
        <w:rPr>
          <w:rFonts w:hint="eastAsia"/>
          <w:lang w:val="en-US" w:eastAsia="zh-CN"/>
        </w:rPr>
      </w:pPr>
      <w:r>
        <w:rPr>
          <w:rFonts w:hint="eastAsia"/>
          <w:lang w:val="en-US" w:eastAsia="zh-CN"/>
        </w:rPr>
        <w:t xml:space="preserve">软件著作权作为一种收益性的无形资产，软件著作权并不是单一生产要素发挥作用，而是多方要素共同作用参与着市场经济活动的运转，在软件著作权价值评估的过程中，评估各方必须遵循国家发展政策，尊重市场经济发展规律，处理好成本与收益的关系，实现低成本高效益的结果。 </w:t>
      </w: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default"/>
          <w:lang w:val="en-US" w:eastAsia="zh-CN"/>
        </w:rPr>
      </w:pPr>
      <w:r>
        <w:rPr>
          <w:rFonts w:hint="eastAsia"/>
          <w:lang w:val="en-US" w:eastAsia="zh-CN"/>
        </w:rPr>
        <w:t>四、评估方法</w:t>
      </w:r>
    </w:p>
    <w:p>
      <w:pPr>
        <w:pStyle w:val="4"/>
        <w:rPr>
          <w:rFonts w:hint="eastAsia"/>
          <w:lang w:val="en-US" w:eastAsia="zh-CN"/>
        </w:rPr>
      </w:pPr>
      <w:r>
        <w:rPr>
          <w:rFonts w:hint="eastAsia"/>
          <w:lang w:val="en-US" w:eastAsia="zh-CN"/>
        </w:rPr>
        <w:t>1、收益法</w:t>
      </w:r>
    </w:p>
    <w:p>
      <w:pPr>
        <w:pStyle w:val="4"/>
        <w:rPr>
          <w:rFonts w:hint="eastAsia"/>
          <w:lang w:val="en-US" w:eastAsia="zh-CN"/>
        </w:rPr>
      </w:pPr>
      <w:r>
        <w:rPr>
          <w:rFonts w:hint="eastAsia"/>
          <w:lang w:val="en-US" w:eastAsia="zh-CN"/>
        </w:rPr>
        <w:t>收益法是指通过未来收益，选择合理的折现率折算到评估基准日，将现值加总在一起得到被评估资产评估值的方法。</w:t>
      </w:r>
    </w:p>
    <w:p>
      <w:pPr>
        <w:pStyle w:val="4"/>
        <w:rPr>
          <w:rFonts w:hint="eastAsia"/>
          <w:lang w:val="en-US" w:eastAsia="zh-CN"/>
        </w:rPr>
      </w:pPr>
      <w:r>
        <w:rPr>
          <w:rFonts w:hint="eastAsia"/>
          <w:lang w:val="en-US" w:eastAsia="zh-CN"/>
        </w:rPr>
        <w:t>收益法的计算公式及基本参数：</w:t>
      </w:r>
    </w:p>
    <w:p>
      <w:pPr>
        <w:pStyle w:val="4"/>
        <w:rPr>
          <w:rFonts w:hint="eastAsia"/>
          <w:lang w:val="en-US" w:eastAsia="zh-CN"/>
        </w:rPr>
      </w:pPr>
      <w:r>
        <w:drawing>
          <wp:inline distT="0" distB="0" distL="114300" distR="114300">
            <wp:extent cx="1100455" cy="48577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1100455" cy="485775"/>
                    </a:xfrm>
                    <a:prstGeom prst="rect">
                      <a:avLst/>
                    </a:prstGeom>
                    <a:noFill/>
                    <a:ln>
                      <a:noFill/>
                    </a:ln>
                  </pic:spPr>
                </pic:pic>
              </a:graphicData>
            </a:graphic>
          </wp:inline>
        </w:drawing>
      </w:r>
    </w:p>
    <w:p>
      <w:pPr>
        <w:pStyle w:val="4"/>
        <w:rPr>
          <w:rFonts w:hint="eastAsia"/>
          <w:lang w:val="en-US" w:eastAsia="zh-CN"/>
        </w:rPr>
      </w:pPr>
      <w:r>
        <w:rPr>
          <w:rFonts w:hint="eastAsia"/>
          <w:lang w:val="en-US" w:eastAsia="zh-CN"/>
        </w:rPr>
        <w:t>P:资产价值（即评估值）</w:t>
      </w:r>
    </w:p>
    <w:p>
      <w:pPr>
        <w:pStyle w:val="4"/>
        <w:rPr>
          <w:rFonts w:hint="eastAsia"/>
          <w:lang w:val="en-US" w:eastAsia="zh-CN"/>
        </w:rPr>
      </w:pPr>
      <w:r>
        <w:rPr>
          <w:rFonts w:hint="eastAsia"/>
          <w:position w:val="-12"/>
          <w:lang w:val="en-US" w:eastAsia="zh-CN"/>
        </w:rPr>
        <w:object>
          <v:shape id="_x0000_i1025" o:spt="75" type="#_x0000_t75" style="height:18pt;width:12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r>
        <w:rPr>
          <w:rFonts w:hint="eastAsia"/>
          <w:lang w:val="en-US" w:eastAsia="zh-CN"/>
        </w:rPr>
        <w:t>—第t年的净收益；</w:t>
      </w:r>
    </w:p>
    <w:p>
      <w:pPr>
        <w:pStyle w:val="4"/>
        <w:rPr>
          <w:rFonts w:hint="eastAsia"/>
          <w:lang w:val="en-US" w:eastAsia="zh-CN"/>
        </w:rPr>
      </w:pPr>
      <w:r>
        <w:rPr>
          <w:rFonts w:hint="eastAsia"/>
          <w:lang w:val="en-US" w:eastAsia="zh-CN"/>
        </w:rPr>
        <w:t>Ｉ:适用的折现率；</w:t>
      </w:r>
    </w:p>
    <w:p>
      <w:pPr>
        <w:pStyle w:val="4"/>
        <w:rPr>
          <w:rFonts w:hint="eastAsia"/>
          <w:lang w:val="en-US" w:eastAsia="zh-CN"/>
        </w:rPr>
      </w:pPr>
      <w:r>
        <w:rPr>
          <w:rFonts w:hint="eastAsia"/>
          <w:lang w:val="en-US" w:eastAsia="zh-CN"/>
        </w:rPr>
        <w:t>Ｎ:净收益可以持续的年限。</w:t>
      </w:r>
    </w:p>
    <w:p>
      <w:pPr>
        <w:pStyle w:val="4"/>
        <w:rPr>
          <w:rFonts w:hint="eastAsia"/>
          <w:lang w:val="en-US" w:eastAsia="zh-CN"/>
        </w:rPr>
      </w:pPr>
    </w:p>
    <w:p>
      <w:pPr>
        <w:pStyle w:val="4"/>
        <w:rPr>
          <w:rFonts w:hint="default"/>
          <w:lang w:val="en-US" w:eastAsia="zh-CN"/>
        </w:rPr>
      </w:pPr>
      <w:r>
        <w:rPr>
          <w:rFonts w:hint="default"/>
          <w:lang w:val="en-US" w:eastAsia="zh-CN"/>
        </w:rPr>
        <w:t xml:space="preserve">运用收益法进行价值评估涉及主要的技术参数有三个，它们分别为预期收益额、折现率和收益期限。 </w:t>
      </w:r>
    </w:p>
    <w:p>
      <w:pPr>
        <w:pStyle w:val="4"/>
        <w:rPr>
          <w:rFonts w:hint="default"/>
          <w:lang w:val="en-US" w:eastAsia="zh-CN"/>
        </w:rPr>
      </w:pPr>
      <w:r>
        <w:rPr>
          <w:rFonts w:hint="default"/>
          <w:lang w:val="en-US" w:eastAsia="zh-CN"/>
        </w:rPr>
        <w:t xml:space="preserve">预期收益额是依据投资回报的原理，资产在正常情况下所得到的归属产权主体的未来的预期收益所得额。软件著作权预期收益额主要的确定方法有：直接估算法、差额法和利润分成率法，由于直接估算法和差额法是同类产品和同行业收益水平的比较，计算出来的收益通常为资产组合产生的收益，仍需要进一步分解为软件著作权的价值。所以，常用的预期收益额确定方法是利润分成率法。 </w:t>
      </w:r>
    </w:p>
    <w:p>
      <w:pPr>
        <w:pStyle w:val="4"/>
        <w:rPr>
          <w:rFonts w:hint="default"/>
          <w:lang w:val="en-US" w:eastAsia="zh-CN"/>
        </w:rPr>
      </w:pPr>
      <w:r>
        <w:rPr>
          <w:rFonts w:hint="default"/>
          <w:lang w:val="en-US" w:eastAsia="zh-CN"/>
        </w:rPr>
        <w:t>折现率是投资者期望的投资报酬率，是根据软件著作权在应用过程中涉及的货币时间价值、相关风险来确定的。折现率包括无风险报酬率和风险报酬率，应用软件著作权过程中的相关风险越高，投资者要求的风险报酬率也越高，同时，根据主体企业业务收入特点和资产流动性来确定是否考虑企业特有风险系数。关于折现率和资本化率在质上没有区别，在量上的差异主要取决于同一资产在未来时间里所面临的风险是否相同。</w:t>
      </w:r>
    </w:p>
    <w:p>
      <w:pPr>
        <w:pStyle w:val="4"/>
        <w:rPr>
          <w:rFonts w:hint="default"/>
          <w:lang w:val="en-US" w:eastAsia="zh-CN"/>
        </w:rPr>
      </w:pPr>
      <w:r>
        <w:rPr>
          <w:rFonts w:hint="default"/>
          <w:lang w:val="en-US" w:eastAsia="zh-CN"/>
        </w:rPr>
        <w:t xml:space="preserve">另外，需要强调的是，折现率的口径与软件著作权评估中预期收益额的口径应当保持一致。 </w:t>
      </w:r>
    </w:p>
    <w:p>
      <w:pPr>
        <w:pStyle w:val="4"/>
        <w:rPr>
          <w:rFonts w:hint="default"/>
          <w:lang w:val="en-US" w:eastAsia="zh-CN"/>
        </w:rPr>
      </w:pPr>
      <w:r>
        <w:rPr>
          <w:rFonts w:hint="default"/>
          <w:lang w:val="en-US" w:eastAsia="zh-CN"/>
        </w:rPr>
        <w:t xml:space="preserve">收益期限或称有效期限，是指软件著作权资产发挥作用，具有持续获利能力的时间。如果软件著作权出现了更先进的技术或者市场需求，使得原软件著作权资产不能产生超额收益时，原软件著作权的资产价值就会相应减少直至消失。此外，软件著作权的收益期限会受诸多因素的影响，比如宏观经济政策、技术更新发展、个人爱好的改变等，评估人员根据被评估软件著作权资产的自身功能条件，以及有关法律、法规、合同等加以测定，也可以聘请专家给予专业指导意见，通过综合考虑以上因素，合理的确定软件著作权的收益期限。 </w:t>
      </w:r>
    </w:p>
    <w:p>
      <w:pPr>
        <w:pStyle w:val="4"/>
        <w:rPr>
          <w:rFonts w:hint="default"/>
          <w:lang w:val="en-US" w:eastAsia="zh-CN"/>
        </w:rPr>
      </w:pPr>
    </w:p>
    <w:p>
      <w:pPr>
        <w:pStyle w:val="4"/>
        <w:rPr>
          <w:rFonts w:hint="eastAsia"/>
          <w:lang w:val="en-US" w:eastAsia="zh-CN"/>
        </w:rPr>
      </w:pPr>
      <w:r>
        <w:rPr>
          <w:rFonts w:hint="eastAsia"/>
          <w:lang w:val="en-US" w:eastAsia="zh-CN"/>
        </w:rPr>
        <w:t>2、成本法</w:t>
      </w:r>
    </w:p>
    <w:p>
      <w:pPr>
        <w:pStyle w:val="4"/>
        <w:rPr>
          <w:rFonts w:hint="eastAsia"/>
          <w:lang w:val="en-US" w:eastAsia="zh-CN"/>
        </w:rPr>
      </w:pPr>
      <w:r>
        <w:rPr>
          <w:rFonts w:hint="eastAsia"/>
          <w:lang w:val="en-US" w:eastAsia="zh-CN"/>
        </w:rPr>
        <w:t>成本法也称重置成本法，是从待评估资产在评估基准日的复原重置成本或更新重置成本中扣减其各项价值损耗，来确定资产价值的方法。</w:t>
      </w:r>
    </w:p>
    <w:p>
      <w:pPr>
        <w:pStyle w:val="4"/>
        <w:rPr>
          <w:rFonts w:hint="eastAsia"/>
          <w:lang w:val="en-US" w:eastAsia="zh-CN"/>
        </w:rPr>
      </w:pPr>
    </w:p>
    <w:p>
      <w:pPr>
        <w:pStyle w:val="4"/>
        <w:rPr>
          <w:rFonts w:hint="eastAsia"/>
          <w:lang w:val="en-US" w:eastAsia="zh-CN"/>
        </w:rPr>
      </w:pPr>
      <w:r>
        <w:rPr>
          <w:rFonts w:hint="eastAsia"/>
          <w:lang w:val="en-US" w:eastAsia="zh-CN"/>
        </w:rPr>
        <w:t>计算公式</w:t>
      </w:r>
    </w:p>
    <w:p>
      <w:pPr>
        <w:pStyle w:val="4"/>
        <w:rPr>
          <w:rFonts w:hint="eastAsia"/>
          <w:lang w:val="en-US" w:eastAsia="zh-CN"/>
        </w:rPr>
      </w:pPr>
      <w:r>
        <w:rPr>
          <w:rFonts w:hint="eastAsia"/>
          <w:lang w:val="en-US" w:eastAsia="zh-CN"/>
        </w:rPr>
        <w:t>P=C</w:t>
      </w:r>
      <w:r>
        <w:rPr>
          <w:rFonts w:hint="eastAsia"/>
          <w:vertAlign w:val="subscript"/>
          <w:lang w:val="en-US" w:eastAsia="zh-CN"/>
        </w:rPr>
        <w:t>1</w:t>
      </w:r>
      <w:r>
        <w:rPr>
          <w:rFonts w:hint="eastAsia"/>
          <w:lang w:val="en-US" w:eastAsia="zh-CN"/>
        </w:rPr>
        <w:t>+C</w:t>
      </w:r>
      <w:r>
        <w:rPr>
          <w:rFonts w:hint="eastAsia"/>
          <w:vertAlign w:val="subscript"/>
          <w:lang w:val="en-US" w:eastAsia="zh-CN"/>
        </w:rPr>
        <w:t>2</w:t>
      </w:r>
    </w:p>
    <w:p>
      <w:pPr>
        <w:pStyle w:val="4"/>
        <w:rPr>
          <w:rFonts w:hint="eastAsia"/>
          <w:lang w:val="en-US" w:eastAsia="zh-CN"/>
        </w:rPr>
      </w:pPr>
      <w:r>
        <w:rPr>
          <w:rFonts w:hint="eastAsia"/>
          <w:lang w:val="en-US" w:eastAsia="zh-CN"/>
        </w:rPr>
        <w:t>P:软件成本评估值；</w:t>
      </w:r>
    </w:p>
    <w:p>
      <w:pPr>
        <w:pStyle w:val="4"/>
        <w:rPr>
          <w:rFonts w:hint="eastAsia"/>
          <w:lang w:val="en-US" w:eastAsia="zh-CN"/>
        </w:rPr>
      </w:pPr>
      <w:r>
        <w:rPr>
          <w:rFonts w:hint="eastAsia"/>
          <w:lang w:val="en-US" w:eastAsia="zh-CN"/>
        </w:rPr>
        <w:t>C</w:t>
      </w:r>
      <w:r>
        <w:rPr>
          <w:rFonts w:hint="eastAsia"/>
          <w:vertAlign w:val="subscript"/>
          <w:lang w:val="en-US" w:eastAsia="zh-CN"/>
        </w:rPr>
        <w:t>1：</w:t>
      </w:r>
      <w:r>
        <w:rPr>
          <w:rFonts w:hint="eastAsia"/>
          <w:lang w:val="en-US" w:eastAsia="zh-CN"/>
        </w:rPr>
        <w:t>软件开发成本；</w:t>
      </w:r>
    </w:p>
    <w:p>
      <w:pPr>
        <w:pStyle w:val="4"/>
        <w:rPr>
          <w:rFonts w:hint="eastAsia"/>
          <w:lang w:val="en-US" w:eastAsia="zh-CN"/>
        </w:rPr>
      </w:pPr>
      <w:r>
        <w:rPr>
          <w:rFonts w:hint="eastAsia"/>
          <w:lang w:val="en-US" w:eastAsia="zh-CN"/>
        </w:rPr>
        <w:t>C</w:t>
      </w:r>
      <w:r>
        <w:rPr>
          <w:rFonts w:hint="eastAsia"/>
          <w:vertAlign w:val="subscript"/>
          <w:lang w:val="en-US" w:eastAsia="zh-CN"/>
        </w:rPr>
        <w:t>2：</w:t>
      </w:r>
      <w:r>
        <w:rPr>
          <w:rFonts w:hint="eastAsia"/>
          <w:lang w:val="en-US" w:eastAsia="zh-CN"/>
        </w:rPr>
        <w:t>软件维护成本。</w:t>
      </w:r>
    </w:p>
    <w:p>
      <w:pPr>
        <w:pStyle w:val="4"/>
        <w:rPr>
          <w:rFonts w:hint="eastAsia"/>
          <w:lang w:val="en-US" w:eastAsia="zh-CN"/>
        </w:rPr>
      </w:pPr>
      <w:r>
        <w:rPr>
          <w:rFonts w:hint="eastAsia"/>
          <w:lang w:val="en-US" w:eastAsia="zh-CN"/>
        </w:rPr>
        <w:t>软件开发成本ｑ由软件的工作量Ｍ和单位工作量成本Ｗ所确定：</w:t>
      </w:r>
    </w:p>
    <w:p>
      <w:pPr>
        <w:pStyle w:val="4"/>
        <w:rPr>
          <w:rFonts w:hint="eastAsia"/>
          <w:lang w:val="en-US" w:eastAsia="zh-CN"/>
        </w:rPr>
      </w:pPr>
      <w:r>
        <w:rPr>
          <w:rFonts w:hint="eastAsia"/>
          <w:lang w:val="en-US" w:eastAsia="zh-CN"/>
        </w:rPr>
        <w:t>C</w:t>
      </w:r>
      <w:r>
        <w:rPr>
          <w:rFonts w:hint="eastAsia"/>
          <w:vertAlign w:val="subscript"/>
          <w:lang w:val="en-US" w:eastAsia="zh-CN"/>
        </w:rPr>
        <w:t>1</w:t>
      </w:r>
      <w:r>
        <w:rPr>
          <w:rFonts w:hint="eastAsia"/>
          <w:lang w:val="en-US" w:eastAsia="zh-CN"/>
        </w:rPr>
        <w:t>＝Ｍ×Ｗ</w:t>
      </w:r>
    </w:p>
    <w:p>
      <w:pPr>
        <w:pStyle w:val="4"/>
        <w:rPr>
          <w:rFonts w:hint="eastAsia"/>
          <w:lang w:val="en-US" w:eastAsia="zh-CN"/>
        </w:rPr>
      </w:pPr>
      <w:r>
        <w:rPr>
          <w:rFonts w:hint="eastAsia"/>
          <w:lang w:val="en-US" w:eastAsia="zh-CN"/>
        </w:rPr>
        <w:t>Ｍ：软件的工作量；</w:t>
      </w:r>
    </w:p>
    <w:p>
      <w:pPr>
        <w:pStyle w:val="4"/>
        <w:rPr>
          <w:rFonts w:hint="eastAsia"/>
          <w:lang w:val="en-US" w:eastAsia="zh-CN"/>
        </w:rPr>
      </w:pPr>
      <w:r>
        <w:rPr>
          <w:rFonts w:hint="eastAsia"/>
          <w:lang w:val="en-US" w:eastAsia="zh-CN"/>
        </w:rPr>
        <w:t>W：单位工作量的成本。</w:t>
      </w:r>
    </w:p>
    <w:p>
      <w:pPr>
        <w:pStyle w:val="4"/>
        <w:rPr>
          <w:rFonts w:hint="eastAsia"/>
          <w:lang w:val="en-US" w:eastAsia="zh-CN"/>
        </w:rPr>
      </w:pPr>
      <w:r>
        <w:rPr>
          <w:rFonts w:hint="eastAsia"/>
          <w:lang w:val="en-US" w:eastAsia="zh-CN"/>
        </w:rPr>
        <w:t>维护软件是一个过程，是对当下可以使用的软件进行修正，并且维持它的重要性能能够不变。维护软件工作包含三个类别，分别是出于改正的维护、出于适应的维护和出于完美的维护。</w:t>
      </w:r>
    </w:p>
    <w:p>
      <w:pPr>
        <w:pStyle w:val="4"/>
        <w:rPr>
          <w:rFonts w:hint="eastAsia"/>
          <w:lang w:val="en-US" w:eastAsia="zh-CN"/>
        </w:rPr>
      </w:pPr>
      <w:r>
        <w:rPr>
          <w:rFonts w:hint="eastAsia"/>
          <w:lang w:val="en-US" w:eastAsia="zh-CN"/>
        </w:rPr>
        <w:t>软件的维护成本主要包括技术人员的薪资多少和软硬件花费的资本。在维护比较大的软件的时候，使其工作量发生变化的要素与开发时候的大概一致。所以，软件自身具有越强的可靠性，具有越大的规模，就越难发现这当中的隐患，相应的也就越难做改错工作。如果令它能够适应软硬件条件的改变，软件具有越高的繁杂程度，那么所要做的出于适应的维护工作也就越艰巨。</w:t>
      </w:r>
    </w:p>
    <w:p>
      <w:pPr>
        <w:pStyle w:val="4"/>
        <w:rPr>
          <w:rFonts w:hint="eastAsia"/>
          <w:lang w:val="en-US" w:eastAsia="zh-CN"/>
        </w:rPr>
      </w:pPr>
      <w:r>
        <w:drawing>
          <wp:inline distT="0" distB="0" distL="114300" distR="114300">
            <wp:extent cx="5181600" cy="151447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1"/>
                    <a:stretch>
                      <a:fillRect/>
                    </a:stretch>
                  </pic:blipFill>
                  <pic:spPr>
                    <a:xfrm>
                      <a:off x="0" y="0"/>
                      <a:ext cx="5181600" cy="1514475"/>
                    </a:xfrm>
                    <a:prstGeom prst="rect">
                      <a:avLst/>
                    </a:prstGeom>
                    <a:noFill/>
                    <a:ln>
                      <a:noFill/>
                    </a:ln>
                  </pic:spPr>
                </pic:pic>
              </a:graphicData>
            </a:graphic>
          </wp:inline>
        </w:drawing>
      </w:r>
    </w:p>
    <w:p>
      <w:pPr>
        <w:pStyle w:val="4"/>
        <w:rPr>
          <w:rFonts w:hint="eastAsia"/>
          <w:lang w:val="en-US" w:eastAsia="zh-CN"/>
        </w:rPr>
      </w:pPr>
    </w:p>
    <w:p>
      <w:pPr>
        <w:pStyle w:val="4"/>
        <w:rPr>
          <w:rFonts w:hint="eastAsia"/>
          <w:lang w:val="en-US" w:eastAsia="zh-CN"/>
        </w:rPr>
      </w:pPr>
      <w:r>
        <w:rPr>
          <w:rFonts w:hint="eastAsia"/>
          <w:lang w:val="en-US" w:eastAsia="zh-CN"/>
        </w:rPr>
        <w:t>其中软件的规模，可根据软件的开发人数、开发周期和源程序行数来划分。</w:t>
      </w:r>
    </w:p>
    <w:p>
      <w:pPr>
        <w:pStyle w:val="4"/>
        <w:rPr>
          <w:rFonts w:hint="eastAsia"/>
          <w:lang w:val="en-US" w:eastAsia="zh-CN"/>
        </w:rPr>
      </w:pPr>
    </w:p>
    <w:p>
      <w:pPr>
        <w:pStyle w:val="4"/>
        <w:rPr>
          <w:rFonts w:hint="eastAsia"/>
          <w:lang w:val="en-US" w:eastAsia="zh-CN"/>
        </w:rPr>
      </w:pPr>
      <w:r>
        <w:drawing>
          <wp:inline distT="0" distB="0" distL="114300" distR="114300">
            <wp:extent cx="5238750" cy="1510030"/>
            <wp:effectExtent l="0" t="0" r="0" b="444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2"/>
                    <a:stretch>
                      <a:fillRect/>
                    </a:stretch>
                  </pic:blipFill>
                  <pic:spPr>
                    <a:xfrm>
                      <a:off x="0" y="0"/>
                      <a:ext cx="5238750" cy="1510030"/>
                    </a:xfrm>
                    <a:prstGeom prst="rect">
                      <a:avLst/>
                    </a:prstGeom>
                    <a:noFill/>
                    <a:ln>
                      <a:noFill/>
                    </a:ln>
                  </pic:spPr>
                </pic:pic>
              </a:graphicData>
            </a:graphic>
          </wp:inline>
        </w:drawing>
      </w:r>
    </w:p>
    <w:p>
      <w:pPr>
        <w:pStyle w:val="4"/>
        <w:rPr>
          <w:rFonts w:hint="eastAsia"/>
          <w:lang w:val="en-US" w:eastAsia="zh-CN"/>
        </w:rPr>
      </w:pPr>
      <w:r>
        <w:rPr>
          <w:rFonts w:hint="eastAsia"/>
          <w:lang w:val="en-US" w:eastAsia="zh-CN"/>
        </w:rPr>
        <w:t>3、市场法</w:t>
      </w:r>
    </w:p>
    <w:p>
      <w:pPr>
        <w:pStyle w:val="4"/>
        <w:rPr>
          <w:rFonts w:hint="eastAsia"/>
          <w:lang w:val="en-US" w:eastAsia="zh-CN"/>
        </w:rPr>
      </w:pPr>
      <w:r>
        <w:rPr>
          <w:rFonts w:hint="eastAsia"/>
          <w:lang w:val="en-US" w:eastAsia="zh-CN"/>
        </w:rPr>
        <w:t>市场法，即现行市价法，是以市场价格作为资产评估的价格标准，据以确定资产价格的一种资产评估方法。它是通过比较被评估资产与最近售出类似资产的异同，并将类似资产的市场价格进行调整，从而确定被评估资产价值的一种资产评估方法。</w:t>
      </w:r>
    </w:p>
    <w:p>
      <w:pPr>
        <w:pStyle w:val="4"/>
        <w:rPr>
          <w:rFonts w:hint="eastAsia"/>
          <w:lang w:val="en-US" w:eastAsia="zh-CN"/>
        </w:rPr>
      </w:pPr>
    </w:p>
    <w:p>
      <w:pPr>
        <w:pStyle w:val="4"/>
        <w:rPr>
          <w:rFonts w:hint="eastAsia"/>
          <w:lang w:val="en-US" w:eastAsia="zh-CN"/>
        </w:rPr>
      </w:pPr>
      <w:r>
        <w:rPr>
          <w:rFonts w:hint="eastAsia"/>
          <w:lang w:val="en-US" w:eastAsia="zh-CN"/>
        </w:rPr>
        <w:t>计算公式</w:t>
      </w:r>
    </w:p>
    <w:p>
      <w:pPr>
        <w:pStyle w:val="4"/>
        <w:rPr>
          <w:rFonts w:hint="default"/>
          <w:lang w:val="en-US" w:eastAsia="zh-CN"/>
        </w:rPr>
      </w:pPr>
      <w:r>
        <w:rPr>
          <w:rFonts w:hint="eastAsia"/>
          <w:lang w:val="en-US" w:eastAsia="zh-CN"/>
        </w:rPr>
        <w:t>Ｖ＝a b Ｖ*</w:t>
      </w:r>
    </w:p>
    <w:p>
      <w:pPr>
        <w:pStyle w:val="4"/>
        <w:rPr>
          <w:rFonts w:hint="eastAsia"/>
          <w:lang w:val="en-US" w:eastAsia="zh-CN"/>
        </w:rPr>
      </w:pPr>
      <w:r>
        <w:rPr>
          <w:rFonts w:hint="eastAsia"/>
          <w:lang w:val="en-US" w:eastAsia="zh-CN"/>
        </w:rPr>
        <w:t>Ｖ:待评估软件的价值；</w:t>
      </w:r>
    </w:p>
    <w:p>
      <w:pPr>
        <w:pStyle w:val="4"/>
        <w:rPr>
          <w:rFonts w:hint="eastAsia"/>
          <w:lang w:val="en-US" w:eastAsia="zh-CN"/>
        </w:rPr>
      </w:pPr>
      <w:r>
        <w:rPr>
          <w:rFonts w:hint="eastAsia"/>
          <w:lang w:val="en-US" w:eastAsia="zh-CN"/>
        </w:rPr>
        <w:t>a:参照物软件的价值；</w:t>
      </w:r>
    </w:p>
    <w:p>
      <w:pPr>
        <w:pStyle w:val="4"/>
        <w:rPr>
          <w:rFonts w:hint="eastAsia"/>
          <w:lang w:val="en-US" w:eastAsia="zh-CN"/>
        </w:rPr>
      </w:pPr>
      <w:r>
        <w:rPr>
          <w:rFonts w:hint="eastAsia"/>
          <w:lang w:val="en-US" w:eastAsia="zh-CN"/>
        </w:rPr>
        <w:t>b:生产率调整系数；</w:t>
      </w:r>
    </w:p>
    <w:p>
      <w:pPr>
        <w:pStyle w:val="4"/>
        <w:rPr>
          <w:rFonts w:hint="eastAsia"/>
          <w:lang w:val="en-US" w:eastAsia="zh-CN"/>
        </w:rPr>
      </w:pPr>
      <w:r>
        <w:rPr>
          <w:rFonts w:hint="eastAsia"/>
          <w:lang w:val="en-US" w:eastAsia="zh-CN"/>
        </w:rPr>
        <w:t>Ｖ*:价值调整系数</w:t>
      </w:r>
    </w:p>
    <w:p>
      <w:pPr>
        <w:pStyle w:val="4"/>
        <w:rPr>
          <w:rFonts w:hint="eastAsia"/>
          <w:lang w:val="en-US" w:eastAsia="zh-CN"/>
        </w:rPr>
      </w:pPr>
      <w:r>
        <w:rPr>
          <w:rFonts w:hint="eastAsia"/>
          <w:lang w:val="en-US" w:eastAsia="zh-CN"/>
        </w:rPr>
        <w:t>运用市场法时一定要存在可比的参照物，但在我国由于软件交易并不普遍，交易信息并不公开，所以就现阶段来说，操作起来较为困难。</w:t>
      </w:r>
    </w:p>
    <w:p>
      <w:pPr>
        <w:pStyle w:val="4"/>
        <w:rPr>
          <w:rFonts w:hint="default"/>
          <w:lang w:val="en-US" w:eastAsia="zh-CN"/>
        </w:rPr>
      </w:pPr>
      <w:r>
        <w:rPr>
          <w:rFonts w:hint="eastAsia"/>
          <w:lang w:val="en-US" w:eastAsia="zh-CN"/>
        </w:rPr>
        <w:t>【多选题】关于计算机软件著作权评估方法，下列说法正确的有（  ）</w:t>
      </w:r>
    </w:p>
    <w:p>
      <w:pPr>
        <w:pStyle w:val="4"/>
        <w:rPr>
          <w:rFonts w:hint="default"/>
          <w:lang w:val="en-US" w:eastAsia="zh-CN"/>
        </w:rPr>
      </w:pPr>
      <w:r>
        <w:rPr>
          <w:rFonts w:hint="eastAsia"/>
          <w:lang w:val="en-US" w:eastAsia="zh-CN"/>
        </w:rPr>
        <w:t>A、采用收益法评估时，收益期限确定为10年</w:t>
      </w:r>
    </w:p>
    <w:p>
      <w:pPr>
        <w:pStyle w:val="4"/>
        <w:rPr>
          <w:rFonts w:hint="default"/>
          <w:lang w:val="en-US" w:eastAsia="zh-CN"/>
        </w:rPr>
      </w:pPr>
      <w:r>
        <w:rPr>
          <w:rFonts w:hint="eastAsia"/>
          <w:lang w:val="en-US" w:eastAsia="zh-CN"/>
        </w:rPr>
        <w:t>B、采用市场法评估时，可比的参照物一定可以在我国市场上找到</w:t>
      </w:r>
    </w:p>
    <w:p>
      <w:pPr>
        <w:pStyle w:val="4"/>
        <w:rPr>
          <w:rFonts w:hint="default"/>
          <w:lang w:val="en-US" w:eastAsia="zh-CN"/>
        </w:rPr>
      </w:pPr>
      <w:r>
        <w:rPr>
          <w:rFonts w:hint="eastAsia"/>
          <w:lang w:val="en-US" w:eastAsia="zh-CN"/>
        </w:rPr>
        <w:t>C、采用成本法评估时，需要确定维护成本</w:t>
      </w:r>
    </w:p>
    <w:p>
      <w:pPr>
        <w:pStyle w:val="4"/>
        <w:rPr>
          <w:rFonts w:hint="eastAsia"/>
          <w:lang w:val="en-US" w:eastAsia="zh-CN"/>
        </w:rPr>
      </w:pPr>
      <w:r>
        <w:rPr>
          <w:rFonts w:hint="eastAsia"/>
          <w:lang w:val="en-US" w:eastAsia="zh-CN"/>
        </w:rPr>
        <w:t>D、采用收益法进行评估涉及主要的技术参数有预期收益额、折现率和收益期限。</w:t>
      </w:r>
    </w:p>
    <w:p>
      <w:pPr>
        <w:pStyle w:val="4"/>
        <w:rPr>
          <w:rFonts w:hint="eastAsia"/>
          <w:lang w:val="en-US" w:eastAsia="zh-CN"/>
        </w:rPr>
      </w:pPr>
      <w:r>
        <w:rPr>
          <w:rFonts w:hint="eastAsia"/>
          <w:lang w:val="en-US" w:eastAsia="zh-CN"/>
        </w:rPr>
        <w:t>答案：CD</w:t>
      </w:r>
    </w:p>
    <w:p>
      <w:pPr>
        <w:pStyle w:val="4"/>
        <w:rPr>
          <w:rFonts w:hint="default"/>
          <w:lang w:val="en-US" w:eastAsia="zh-CN"/>
        </w:rPr>
      </w:pPr>
      <w:r>
        <w:rPr>
          <w:rFonts w:hint="eastAsia"/>
          <w:lang w:val="en-US" w:eastAsia="zh-CN"/>
        </w:rPr>
        <w:t>解析：A、采用收益法评估时，收益期限应该根据实际情况确定；</w:t>
      </w:r>
    </w:p>
    <w:p>
      <w:pPr>
        <w:pStyle w:val="4"/>
        <w:rPr>
          <w:rFonts w:hint="default"/>
          <w:lang w:val="en-US" w:eastAsia="zh-CN"/>
        </w:rPr>
      </w:pPr>
      <w:r>
        <w:rPr>
          <w:rFonts w:hint="eastAsia"/>
          <w:lang w:val="en-US" w:eastAsia="zh-CN"/>
        </w:rPr>
        <w:t>B、运用市场法时一定要存在可比的参照物，但在我国由于软件交易并不普遍，交易信息并不公开，所以就现阶段来说，操作起来较为困难。CD正确。</w:t>
      </w: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r>
        <w:rPr>
          <w:rFonts w:hint="eastAsia"/>
          <w:lang w:val="en-US" w:eastAsia="zh-CN"/>
        </w:rPr>
        <w:t>五、案例分析</w:t>
      </w:r>
    </w:p>
    <w:p>
      <w:pPr>
        <w:pStyle w:val="4"/>
        <w:rPr>
          <w:rFonts w:hint="eastAsia"/>
          <w:lang w:val="en-US" w:eastAsia="zh-CN"/>
        </w:rPr>
      </w:pPr>
    </w:p>
    <w:p>
      <w:pPr>
        <w:pStyle w:val="4"/>
        <w:rPr>
          <w:rFonts w:hint="default"/>
          <w:lang w:val="en-US" w:eastAsia="zh-CN"/>
        </w:rPr>
      </w:pPr>
      <w:r>
        <w:rPr>
          <w:rFonts w:hint="eastAsia"/>
          <w:lang w:val="en-US" w:eastAsia="zh-CN"/>
        </w:rPr>
        <w:t>案例一：</w:t>
      </w:r>
    </w:p>
    <w:p>
      <w:pPr>
        <w:pStyle w:val="4"/>
        <w:rPr>
          <w:rFonts w:hint="eastAsia"/>
          <w:lang w:val="en-US" w:eastAsia="zh-CN"/>
        </w:rPr>
      </w:pPr>
      <w:r>
        <w:rPr>
          <w:rFonts w:hint="eastAsia"/>
          <w:lang w:val="en-US" w:eastAsia="zh-CN"/>
        </w:rPr>
        <w:t>本次评估范围为13 项软件著作权。具体明细如下表：</w:t>
      </w:r>
    </w:p>
    <w:p>
      <w:pPr>
        <w:pStyle w:val="4"/>
        <w:rPr>
          <w:rFonts w:hint="default"/>
          <w:lang w:val="en-US" w:eastAsia="zh-CN"/>
        </w:rPr>
      </w:pPr>
    </w:p>
    <w:tbl>
      <w:tblPr>
        <w:tblStyle w:val="10"/>
        <w:tblW w:w="8410"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77"/>
        <w:gridCol w:w="2141"/>
        <w:gridCol w:w="1542"/>
        <w:gridCol w:w="1358"/>
        <w:gridCol w:w="1309"/>
        <w:gridCol w:w="11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3"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序号</w:t>
            </w:r>
          </w:p>
        </w:tc>
        <w:tc>
          <w:tcPr>
            <w:tcW w:w="2141" w:type="dxa"/>
            <w:vAlign w:val="top"/>
          </w:tcPr>
          <w:p>
            <w:pPr>
              <w:pStyle w:val="9"/>
              <w:spacing w:before="139" w:line="220"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证书名称</w:t>
            </w:r>
          </w:p>
        </w:tc>
        <w:tc>
          <w:tcPr>
            <w:tcW w:w="1542" w:type="dxa"/>
            <w:vAlign w:val="top"/>
          </w:tcPr>
          <w:p>
            <w:pPr>
              <w:pStyle w:val="9"/>
              <w:spacing w:before="139" w:line="220"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证书号</w:t>
            </w:r>
          </w:p>
        </w:tc>
        <w:tc>
          <w:tcPr>
            <w:tcW w:w="1358" w:type="dxa"/>
            <w:vAlign w:val="top"/>
          </w:tcPr>
          <w:p>
            <w:pPr>
              <w:pStyle w:val="9"/>
              <w:spacing w:before="140" w:line="220"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著作权人</w:t>
            </w:r>
          </w:p>
        </w:tc>
        <w:tc>
          <w:tcPr>
            <w:tcW w:w="1309" w:type="dxa"/>
            <w:vAlign w:val="top"/>
          </w:tcPr>
          <w:p>
            <w:pPr>
              <w:pStyle w:val="9"/>
              <w:spacing w:before="139" w:line="221"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授予单位</w:t>
            </w:r>
          </w:p>
        </w:tc>
        <w:tc>
          <w:tcPr>
            <w:tcW w:w="1183" w:type="dxa"/>
            <w:vAlign w:val="top"/>
          </w:tcPr>
          <w:p>
            <w:pPr>
              <w:pStyle w:val="9"/>
              <w:spacing w:before="139" w:line="221"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颁发时间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3"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手机出版系统 V1.0[简 称：出版通]</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BJ15016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2009 年 7 月 22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3"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数字版权管理平台 V1.0</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0421526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2012 年 6 月 20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3"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3</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视频版权管理及内容分发云平台[简称：视频分发平台]V1.0</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0692502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2014 年 2 月 26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8"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音乐版权管理及内容分发/交易云平台</w:t>
            </w:r>
          </w:p>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[简称：音乐分发/交易平台]V1.0</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0697640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2014 年 3 月 10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9"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暗黑征途手机游戏软件 [简称：暗黑征途]V1.0</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0956057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2015 年 4 月 27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1"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6</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游戏内容分发平台[简 称：游戏分发]V1.22</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1080308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2015 年 10 月 9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1"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7</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版权家版权管理系统软 件[简称：版权家]V1.0</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1175977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2015 年 12 月 30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8</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短信计费系统软件[简  称：短信计费系统]V1.0</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12115881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2016 年 2 月 24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1"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9</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数字阅读平台软件[简  称：数字阅读平台]V1.4</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1215884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2016 年 2 月 24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10</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游戏内容分发平台软件[简称：游戏分发平台]V2.1</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1215886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2016 年 2 月 24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3"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11</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游戏支付结算系统软件[简称：游戏支付结算系统]V1.0</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1218165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2016 年 2 月 29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4"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12</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DCI 数字版权管理平台软件[简称：DCI 版权平台]V1.0</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1218156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2016 年 2 月 29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6" w:hRule="atLeast"/>
        </w:trPr>
        <w:tc>
          <w:tcPr>
            <w:tcW w:w="87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13</w:t>
            </w:r>
          </w:p>
        </w:tc>
        <w:tc>
          <w:tcPr>
            <w:tcW w:w="214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华云音乐版权服务系统软件[简称：华云音乐]V1.0</w:t>
            </w:r>
          </w:p>
        </w:tc>
        <w:tc>
          <w:tcPr>
            <w:tcW w:w="154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软著登字第 1225995 号</w:t>
            </w:r>
          </w:p>
        </w:tc>
        <w:tc>
          <w:tcPr>
            <w:tcW w:w="13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畅元国讯</w:t>
            </w:r>
          </w:p>
        </w:tc>
        <w:tc>
          <w:tcPr>
            <w:tcW w:w="13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国家版权局</w:t>
            </w:r>
          </w:p>
        </w:tc>
        <w:tc>
          <w:tcPr>
            <w:tcW w:w="118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2016 年 3 月 8 日</w:t>
            </w:r>
          </w:p>
        </w:tc>
      </w:tr>
    </w:tbl>
    <w:p>
      <w:pPr>
        <w:pStyle w:val="4"/>
        <w:rPr>
          <w:rFonts w:hint="default"/>
          <w:lang w:val="en-US" w:eastAsia="zh-CN"/>
        </w:rPr>
      </w:pPr>
    </w:p>
    <w:p>
      <w:pPr>
        <w:pStyle w:val="4"/>
        <w:rPr>
          <w:rFonts w:hint="eastAsia"/>
          <w:lang w:val="en-US" w:eastAsia="zh-CN"/>
        </w:rPr>
      </w:pPr>
      <w:r>
        <w:rPr>
          <w:rFonts w:hint="eastAsia"/>
          <w:lang w:val="en-US" w:eastAsia="zh-CN"/>
        </w:rPr>
        <w:t>1、评估概述</w:t>
      </w:r>
    </w:p>
    <w:p>
      <w:pPr>
        <w:pStyle w:val="4"/>
        <w:rPr>
          <w:rFonts w:hint="default"/>
          <w:lang w:val="en-US" w:eastAsia="zh-CN"/>
        </w:rPr>
      </w:pPr>
      <w:r>
        <w:rPr>
          <w:rFonts w:hint="default"/>
          <w:lang w:val="en-US" w:eastAsia="zh-CN"/>
        </w:rPr>
        <w:t>评估人员核对权属证明文件， 了解这些软件著作权取得方式、资产法律状态、应用状况以及经济贡献等情况。</w:t>
      </w:r>
    </w:p>
    <w:p>
      <w:pPr>
        <w:pStyle w:val="4"/>
        <w:rPr>
          <w:rFonts w:hint="default"/>
          <w:lang w:val="en-US" w:eastAsia="zh-CN"/>
        </w:rPr>
      </w:pPr>
      <w:r>
        <w:rPr>
          <w:rFonts w:hint="default"/>
          <w:lang w:val="en-US" w:eastAsia="zh-CN"/>
        </w:rPr>
        <w:t>软件著作权等技术类无形资产的常用评估方法包括市场法、收益法和成本法。</w:t>
      </w:r>
    </w:p>
    <w:p>
      <w:pPr>
        <w:pStyle w:val="4"/>
        <w:rPr>
          <w:rFonts w:hint="default"/>
          <w:lang w:val="en-US" w:eastAsia="zh-CN"/>
        </w:rPr>
      </w:pPr>
      <w:r>
        <w:rPr>
          <w:rFonts w:hint="default"/>
          <w:lang w:val="en-US" w:eastAsia="zh-CN"/>
        </w:rPr>
        <w:t>由于我国软件著作权市场交易尚处于初级阶段，相关公平交易数据 的采集相对困难，故市场法在本次评估中不具备可操作性。同时， 由于 被评估企业的经营收益与其所拥有的技术力量紧密相连，因而应用成本法对技术类无形资产进行评估的适用性较差。</w:t>
      </w:r>
    </w:p>
    <w:p>
      <w:pPr>
        <w:pStyle w:val="4"/>
        <w:rPr>
          <w:rFonts w:hint="default"/>
          <w:lang w:val="en-US" w:eastAsia="zh-CN"/>
        </w:rPr>
      </w:pPr>
      <w:r>
        <w:rPr>
          <w:rFonts w:hint="default"/>
          <w:lang w:val="en-US" w:eastAsia="zh-CN"/>
        </w:rPr>
        <w:t>本次评估，考虑到被评估企业所处行业特性，纳入本次评估范围的 软件著作权与被评估企业收益之间的对应关系相对清晰可量化，且该等无形资产的价值贡献能够保持一定的延续性，故采用收益法对该等无形资产进行评估。鉴于纳入本次评估范围的各项软件著作权在被评估企业 版权内容分发、版权保护、版权增值和版权技术服务的业务流程中发挥整体作用，其带来的超额收益不可分割，本次评估综合考虑与被评估企业相关的软件著作权价值。</w:t>
      </w:r>
    </w:p>
    <w:p>
      <w:pPr>
        <w:pStyle w:val="4"/>
        <w:rPr>
          <w:rFonts w:hint="default"/>
          <w:lang w:val="en-US" w:eastAsia="zh-CN"/>
        </w:rPr>
      </w:pPr>
      <w:r>
        <w:rPr>
          <w:rFonts w:hint="default"/>
          <w:lang w:val="en-US" w:eastAsia="zh-CN"/>
        </w:rPr>
        <w:t>2. 评估模型</w:t>
      </w:r>
    </w:p>
    <w:p>
      <w:pPr>
        <w:pStyle w:val="4"/>
        <w:rPr>
          <w:rFonts w:hint="default"/>
          <w:lang w:val="en-US" w:eastAsia="zh-CN"/>
        </w:rPr>
      </w:pPr>
      <w:r>
        <w:rPr>
          <w:rFonts w:hint="default"/>
          <w:lang w:val="en-US" w:eastAsia="zh-CN"/>
        </w:rPr>
        <w:t>本次评估采用利润分成法较能合理测算被评估企业软件著作权的价值，其基本公式为：</w:t>
      </w:r>
    </w:p>
    <w:p>
      <w:pPr>
        <w:spacing w:before="258"/>
        <w:ind w:left="1018"/>
        <w:rPr>
          <w:rFonts w:ascii="Times New Roman" w:hAnsi="Times New Roman" w:eastAsia="Times New Roman" w:cs="Times New Roman"/>
          <w:sz w:val="14"/>
          <w:szCs w:val="14"/>
        </w:rPr>
      </w:pPr>
      <w:r>
        <mc:AlternateContent>
          <mc:Choice Requires="wps">
            <w:drawing>
              <wp:anchor distT="0" distB="0" distL="114300" distR="114300" simplePos="0" relativeHeight="251659264" behindDoc="0" locked="0" layoutInCell="1" allowOverlap="1">
                <wp:simplePos x="0" y="0"/>
                <wp:positionH relativeFrom="column">
                  <wp:posOffset>3874135</wp:posOffset>
                </wp:positionH>
                <wp:positionV relativeFrom="paragraph">
                  <wp:posOffset>389890</wp:posOffset>
                </wp:positionV>
                <wp:extent cx="469900" cy="248920"/>
                <wp:effectExtent l="0" t="0" r="0" b="0"/>
                <wp:wrapNone/>
                <wp:docPr id="7" name="文本框 7"/>
                <wp:cNvGraphicFramePr/>
                <a:graphic xmlns:a="http://schemas.openxmlformats.org/drawingml/2006/main">
                  <a:graphicData uri="http://schemas.microsoft.com/office/word/2010/wordprocessingShape">
                    <wps:wsp>
                      <wps:cNvSpPr txBox="1"/>
                      <wps:spPr>
                        <a:xfrm>
                          <a:off x="0" y="0"/>
                          <a:ext cx="469900" cy="248920"/>
                        </a:xfrm>
                        <a:prstGeom prst="rect">
                          <a:avLst/>
                        </a:prstGeom>
                        <a:noFill/>
                        <a:ln>
                          <a:noFill/>
                        </a:ln>
                      </wps:spPr>
                      <wps:txbx>
                        <w:txbxContent>
                          <w:p>
                            <w:pPr>
                              <w:spacing w:before="19" w:line="232" w:lineRule="auto"/>
                              <w:ind w:left="20"/>
                              <w:rPr>
                                <w:rFonts w:ascii="仿宋" w:hAnsi="仿宋" w:eastAsia="仿宋" w:cs="仿宋"/>
                                <w:sz w:val="28"/>
                                <w:szCs w:val="28"/>
                              </w:rPr>
                            </w:pPr>
                            <w:r>
                              <w:rPr>
                                <w:rFonts w:ascii="仿宋" w:hAnsi="仿宋" w:eastAsia="仿宋" w:cs="仿宋"/>
                                <w:sz w:val="28"/>
                                <w:szCs w:val="28"/>
                              </w:rPr>
                              <w:t>（</w:t>
                            </w:r>
                            <w:r>
                              <w:rPr>
                                <w:rFonts w:ascii="Times New Roman" w:hAnsi="Times New Roman" w:eastAsia="Times New Roman" w:cs="Times New Roman"/>
                                <w:sz w:val="28"/>
                                <w:szCs w:val="28"/>
                              </w:rPr>
                              <w:t>1</w:t>
                            </w:r>
                            <w:r>
                              <w:rPr>
                                <w:rFonts w:ascii="仿宋" w:hAnsi="仿宋" w:eastAsia="仿宋" w:cs="仿宋"/>
                                <w:sz w:val="28"/>
                                <w:szCs w:val="28"/>
                              </w:rPr>
                              <w:t>）</w:t>
                            </w:r>
                          </w:p>
                        </w:txbxContent>
                      </wps:txbx>
                      <wps:bodyPr lIns="0" tIns="0" rIns="0" bIns="0" upright="1"/>
                    </wps:wsp>
                  </a:graphicData>
                </a:graphic>
              </wp:anchor>
            </w:drawing>
          </mc:Choice>
          <mc:Fallback>
            <w:pict>
              <v:shape id="_x0000_s1026" o:spid="_x0000_s1026" o:spt="202" type="#_x0000_t202" style="position:absolute;left:0pt;margin-left:305.05pt;margin-top:30.7pt;height:19.6pt;width:37pt;z-index:251659264;mso-width-relative:page;mso-height-relative:page;" filled="f" stroked="f" coordsize="21600,21600" o:gfxdata="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UwgbP1gAAAAoBAAAPAAAAAAAAAAEAIAAAACIAAABkcnMvZG93bnJldi54bWxQSwECFAAU&#10;AAAACACHTuJAPw/vaboBAABxAwAADgAAAAAAAAABACAAAAAlAQAAZHJzL2Uyb0RvYy54bWxQSwUG&#10;AAAAAAYABgBZAQAAUQUAAAAA&#10;">
                <v:fill on="f" focussize="0,0"/>
                <v:stroke on="f"/>
                <v:imagedata o:title=""/>
                <o:lock v:ext="edit" aspectratio="f"/>
                <v:textbox inset="0mm,0mm,0mm,0mm">
                  <w:txbxContent>
                    <w:p>
                      <w:pPr>
                        <w:spacing w:before="19" w:line="232" w:lineRule="auto"/>
                        <w:ind w:left="20"/>
                        <w:rPr>
                          <w:rFonts w:ascii="仿宋" w:hAnsi="仿宋" w:eastAsia="仿宋" w:cs="仿宋"/>
                          <w:sz w:val="28"/>
                          <w:szCs w:val="28"/>
                        </w:rPr>
                      </w:pPr>
                      <w:r>
                        <w:rPr>
                          <w:rFonts w:ascii="仿宋" w:hAnsi="仿宋" w:eastAsia="仿宋" w:cs="仿宋"/>
                          <w:sz w:val="28"/>
                          <w:szCs w:val="28"/>
                        </w:rPr>
                        <w:t>（</w:t>
                      </w:r>
                      <w:r>
                        <w:rPr>
                          <w:rFonts w:ascii="Times New Roman" w:hAnsi="Times New Roman" w:eastAsia="Times New Roman" w:cs="Times New Roman"/>
                          <w:sz w:val="28"/>
                          <w:szCs w:val="28"/>
                        </w:rPr>
                        <w:t>1</w:t>
                      </w:r>
                      <w:r>
                        <w:rPr>
                          <w:rFonts w:ascii="仿宋" w:hAnsi="仿宋" w:eastAsia="仿宋" w:cs="仿宋"/>
                          <w:sz w:val="28"/>
                          <w:szCs w:val="28"/>
                        </w:rPr>
                        <w:t>）</w:t>
                      </w:r>
                    </w:p>
                  </w:txbxContent>
                </v:textbox>
              </v:shape>
            </w:pict>
          </mc:Fallback>
        </mc:AlternateContent>
      </w:r>
      <w:r>
        <w:rPr>
          <w:rFonts w:ascii="Times New Roman" w:hAnsi="Times New Roman" w:eastAsia="Times New Roman" w:cs="Times New Roman"/>
          <w:i/>
          <w:iCs/>
          <w:spacing w:val="-24"/>
          <w:position w:val="9"/>
          <w:sz w:val="24"/>
          <w:szCs w:val="24"/>
        </w:rPr>
        <w:t>P</w:t>
      </w:r>
      <w:r>
        <w:rPr>
          <w:rFonts w:ascii="Times New Roman" w:hAnsi="Times New Roman" w:eastAsia="Times New Roman" w:cs="Times New Roman"/>
          <w:i/>
          <w:iCs/>
          <w:spacing w:val="9"/>
          <w:position w:val="9"/>
          <w:sz w:val="24"/>
          <w:szCs w:val="24"/>
        </w:rPr>
        <w:t xml:space="preserve"> </w:t>
      </w:r>
      <w:r>
        <w:rPr>
          <w:rFonts w:ascii="微软雅黑" w:hAnsi="微软雅黑" w:eastAsia="微软雅黑" w:cs="微软雅黑"/>
          <w:spacing w:val="-24"/>
          <w:position w:val="9"/>
          <w:sz w:val="24"/>
          <w:szCs w:val="24"/>
        </w:rPr>
        <w:t>=</w:t>
      </w:r>
      <w:r>
        <w:rPr>
          <w:rFonts w:ascii="微软雅黑" w:hAnsi="微软雅黑" w:eastAsia="微软雅黑" w:cs="微软雅黑"/>
          <w:spacing w:val="-3"/>
          <w:position w:val="9"/>
          <w:sz w:val="24"/>
          <w:szCs w:val="24"/>
        </w:rPr>
        <w:t xml:space="preserve"> </w:t>
      </w:r>
      <w:r>
        <w:rPr>
          <w:position w:val="-16"/>
          <w:sz w:val="24"/>
          <w:szCs w:val="24"/>
        </w:rPr>
        <w:drawing>
          <wp:inline distT="0" distB="0" distL="0" distR="0">
            <wp:extent cx="321310" cy="369570"/>
            <wp:effectExtent l="0" t="0" r="2540" b="1905"/>
            <wp:docPr id="5" name="IM 4"/>
            <wp:cNvGraphicFramePr/>
            <a:graphic xmlns:a="http://schemas.openxmlformats.org/drawingml/2006/main">
              <a:graphicData uri="http://schemas.openxmlformats.org/drawingml/2006/picture">
                <pic:pic xmlns:pic="http://schemas.openxmlformats.org/drawingml/2006/picture">
                  <pic:nvPicPr>
                    <pic:cNvPr id="5" name="IM 4"/>
                    <pic:cNvPicPr/>
                  </pic:nvPicPr>
                  <pic:blipFill>
                    <a:blip r:embed="rId13"/>
                    <a:stretch>
                      <a:fillRect/>
                    </a:stretch>
                  </pic:blipFill>
                  <pic:spPr>
                    <a:xfrm>
                      <a:off x="0" y="0"/>
                      <a:ext cx="321873" cy="369809"/>
                    </a:xfrm>
                    <a:prstGeom prst="rect">
                      <a:avLst/>
                    </a:prstGeom>
                  </pic:spPr>
                </pic:pic>
              </a:graphicData>
            </a:graphic>
          </wp:inline>
        </w:drawing>
      </w:r>
      <w:r>
        <w:rPr>
          <w:position w:val="-16"/>
          <w:sz w:val="24"/>
          <w:szCs w:val="24"/>
        </w:rPr>
        <w:drawing>
          <wp:inline distT="0" distB="0" distL="0" distR="0">
            <wp:extent cx="235585" cy="369570"/>
            <wp:effectExtent l="0" t="0" r="2540" b="1905"/>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4"/>
                    <a:stretch>
                      <a:fillRect/>
                    </a:stretch>
                  </pic:blipFill>
                  <pic:spPr>
                    <a:xfrm>
                      <a:off x="0" y="0"/>
                      <a:ext cx="235838" cy="369809"/>
                    </a:xfrm>
                    <a:prstGeom prst="rect">
                      <a:avLst/>
                    </a:prstGeom>
                  </pic:spPr>
                </pic:pic>
              </a:graphicData>
            </a:graphic>
          </wp:inline>
        </w:drawing>
      </w:r>
      <w:r>
        <w:rPr>
          <w:rFonts w:ascii="Times New Roman" w:hAnsi="Times New Roman" w:eastAsia="Times New Roman" w:cs="Times New Roman"/>
          <w:i/>
          <w:iCs/>
          <w:spacing w:val="-5"/>
          <w:w w:val="82"/>
          <w:position w:val="19"/>
          <w:sz w:val="14"/>
          <w:szCs w:val="14"/>
        </w:rPr>
        <w:t>i</w:t>
      </w:r>
      <w:r>
        <w:rPr>
          <w:rFonts w:ascii="Times New Roman" w:hAnsi="Times New Roman" w:eastAsia="Times New Roman" w:cs="Times New Roman"/>
          <w:i/>
          <w:iCs/>
          <w:spacing w:val="-5"/>
          <w:w w:val="82"/>
          <w:position w:val="1"/>
          <w:sz w:val="14"/>
          <w:szCs w:val="14"/>
        </w:rPr>
        <w:t>i</w:t>
      </w:r>
      <w:r>
        <w:rPr>
          <w:rFonts w:ascii="Times New Roman" w:hAnsi="Times New Roman" w:eastAsia="Times New Roman" w:cs="Times New Roman"/>
          <w:i/>
          <w:iCs/>
          <w:strike/>
          <w:position w:val="1"/>
          <w:sz w:val="14"/>
          <w:szCs w:val="14"/>
        </w:rPr>
        <w:t xml:space="preserve">  </w:t>
      </w:r>
    </w:p>
    <w:p>
      <w:pPr>
        <w:pStyle w:val="4"/>
        <w:spacing w:line="244" w:lineRule="auto"/>
      </w:pPr>
    </w:p>
    <w:p>
      <w:pPr>
        <w:spacing w:before="91" w:line="218" w:lineRule="auto"/>
        <w:ind w:left="619"/>
        <w:rPr>
          <w:rFonts w:ascii="仿宋" w:hAnsi="仿宋" w:eastAsia="仿宋" w:cs="仿宋"/>
          <w:sz w:val="28"/>
          <w:szCs w:val="28"/>
        </w:rPr>
      </w:pPr>
      <w:r>
        <w:rPr>
          <w:rFonts w:ascii="仿宋" w:hAnsi="仿宋" w:eastAsia="仿宋" w:cs="仿宋"/>
          <w:spacing w:val="-24"/>
          <w:sz w:val="28"/>
          <w:szCs w:val="28"/>
        </w:rPr>
        <w:t>式中：</w:t>
      </w:r>
    </w:p>
    <w:p>
      <w:pPr>
        <w:spacing w:before="214" w:line="216" w:lineRule="auto"/>
        <w:ind w:left="592"/>
        <w:rPr>
          <w:rFonts w:ascii="仿宋" w:hAnsi="仿宋" w:eastAsia="仿宋" w:cs="仿宋"/>
          <w:sz w:val="28"/>
          <w:szCs w:val="28"/>
        </w:rPr>
      </w:pPr>
      <w:r>
        <w:rPr>
          <w:rFonts w:ascii="Times New Roman" w:hAnsi="Times New Roman" w:eastAsia="Times New Roman" w:cs="Times New Roman"/>
          <w:spacing w:val="-4"/>
          <w:sz w:val="28"/>
          <w:szCs w:val="28"/>
        </w:rPr>
        <w:t>P</w:t>
      </w:r>
      <w:r>
        <w:rPr>
          <w:rFonts w:ascii="仿宋" w:hAnsi="仿宋" w:eastAsia="仿宋" w:cs="仿宋"/>
          <w:spacing w:val="-4"/>
          <w:sz w:val="28"/>
          <w:szCs w:val="28"/>
        </w:rPr>
        <w:t>：待评估软件著作权的评估价值；</w:t>
      </w:r>
    </w:p>
    <w:p>
      <w:pPr>
        <w:spacing w:before="176" w:line="587" w:lineRule="exact"/>
        <w:ind w:left="592"/>
        <w:rPr>
          <w:rFonts w:ascii="仿宋" w:hAnsi="仿宋" w:eastAsia="仿宋" w:cs="仿宋"/>
          <w:sz w:val="28"/>
          <w:szCs w:val="28"/>
        </w:rPr>
      </w:pPr>
      <w:r>
        <w:rPr>
          <w:rFonts w:ascii="Times New Roman" w:hAnsi="Times New Roman" w:eastAsia="Times New Roman" w:cs="Times New Roman"/>
          <w:spacing w:val="-5"/>
          <w:position w:val="18"/>
          <w:sz w:val="28"/>
          <w:szCs w:val="28"/>
        </w:rPr>
        <w:t>R</w:t>
      </w:r>
      <w:r>
        <w:rPr>
          <w:rFonts w:ascii="Times New Roman" w:hAnsi="Times New Roman" w:eastAsia="Times New Roman" w:cs="Times New Roman"/>
          <w:spacing w:val="-5"/>
          <w:position w:val="15"/>
          <w:sz w:val="18"/>
          <w:szCs w:val="18"/>
        </w:rPr>
        <w:t>i</w:t>
      </w:r>
      <w:r>
        <w:rPr>
          <w:rFonts w:ascii="Times New Roman" w:hAnsi="Times New Roman" w:eastAsia="Times New Roman" w:cs="Times New Roman"/>
          <w:spacing w:val="-15"/>
          <w:position w:val="15"/>
          <w:sz w:val="18"/>
          <w:szCs w:val="18"/>
        </w:rPr>
        <w:t xml:space="preserve"> </w:t>
      </w:r>
      <w:r>
        <w:rPr>
          <w:rFonts w:ascii="仿宋" w:hAnsi="仿宋" w:eastAsia="仿宋" w:cs="仿宋"/>
          <w:spacing w:val="-5"/>
          <w:position w:val="18"/>
          <w:sz w:val="28"/>
          <w:szCs w:val="28"/>
        </w:rPr>
        <w:t>：基准日后第</w:t>
      </w:r>
      <w:r>
        <w:rPr>
          <w:rFonts w:ascii="仿宋" w:hAnsi="仿宋" w:eastAsia="仿宋" w:cs="仿宋"/>
          <w:spacing w:val="-37"/>
          <w:position w:val="18"/>
          <w:sz w:val="28"/>
          <w:szCs w:val="28"/>
        </w:rPr>
        <w:t xml:space="preserve"> </w:t>
      </w:r>
      <w:r>
        <w:rPr>
          <w:rFonts w:ascii="Times New Roman" w:hAnsi="Times New Roman" w:eastAsia="Times New Roman" w:cs="Times New Roman"/>
          <w:spacing w:val="-5"/>
          <w:position w:val="18"/>
          <w:sz w:val="28"/>
          <w:szCs w:val="28"/>
        </w:rPr>
        <w:t xml:space="preserve">i </w:t>
      </w:r>
      <w:r>
        <w:rPr>
          <w:rFonts w:ascii="仿宋" w:hAnsi="仿宋" w:eastAsia="仿宋" w:cs="仿宋"/>
          <w:spacing w:val="-5"/>
          <w:position w:val="18"/>
          <w:sz w:val="28"/>
          <w:szCs w:val="28"/>
        </w:rPr>
        <w:t>年预期软件著作权收益；</w:t>
      </w:r>
    </w:p>
    <w:p>
      <w:pPr>
        <w:spacing w:before="1" w:line="217" w:lineRule="auto"/>
        <w:ind w:left="592"/>
        <w:rPr>
          <w:rFonts w:ascii="仿宋" w:hAnsi="仿宋" w:eastAsia="仿宋" w:cs="仿宋"/>
          <w:sz w:val="28"/>
          <w:szCs w:val="28"/>
        </w:rPr>
      </w:pPr>
      <w:r>
        <w:rPr>
          <w:rFonts w:ascii="Times New Roman" w:hAnsi="Times New Roman" w:eastAsia="Times New Roman" w:cs="Times New Roman"/>
          <w:spacing w:val="-5"/>
          <w:sz w:val="28"/>
          <w:szCs w:val="28"/>
        </w:rPr>
        <w:t>K</w:t>
      </w:r>
      <w:r>
        <w:rPr>
          <w:rFonts w:ascii="仿宋" w:hAnsi="仿宋" w:eastAsia="仿宋" w:cs="仿宋"/>
          <w:spacing w:val="-5"/>
          <w:sz w:val="28"/>
          <w:szCs w:val="28"/>
        </w:rPr>
        <w:t>：软件技术综合分成率；</w:t>
      </w:r>
    </w:p>
    <w:p>
      <w:pPr>
        <w:spacing w:before="74" w:line="216" w:lineRule="auto"/>
        <w:ind w:left="589"/>
        <w:rPr>
          <w:rFonts w:ascii="仿宋" w:hAnsi="仿宋" w:eastAsia="仿宋" w:cs="仿宋"/>
          <w:sz w:val="28"/>
          <w:szCs w:val="28"/>
        </w:rPr>
      </w:pPr>
      <w:r>
        <w:rPr>
          <w:rFonts w:ascii="Times New Roman" w:hAnsi="Times New Roman" w:eastAsia="Times New Roman" w:cs="Times New Roman"/>
          <w:sz w:val="28"/>
          <w:szCs w:val="28"/>
        </w:rPr>
        <w:t>n</w:t>
      </w:r>
      <w:r>
        <w:rPr>
          <w:rFonts w:ascii="仿宋" w:hAnsi="仿宋" w:eastAsia="仿宋" w:cs="仿宋"/>
          <w:sz w:val="28"/>
          <w:szCs w:val="28"/>
        </w:rPr>
        <w:t>：待评估软件著作权的未来收益期；</w:t>
      </w:r>
    </w:p>
    <w:p>
      <w:pPr>
        <w:spacing w:before="177" w:line="369" w:lineRule="exact"/>
        <w:ind w:left="596"/>
        <w:rPr>
          <w:rFonts w:ascii="仿宋" w:hAnsi="仿宋" w:eastAsia="仿宋" w:cs="仿宋"/>
          <w:sz w:val="28"/>
          <w:szCs w:val="28"/>
        </w:rPr>
      </w:pPr>
      <w:r>
        <w:rPr>
          <w:rFonts w:ascii="Times New Roman" w:hAnsi="Times New Roman" w:eastAsia="Times New Roman" w:cs="Times New Roman"/>
          <w:spacing w:val="-11"/>
          <w:position w:val="1"/>
          <w:sz w:val="28"/>
          <w:szCs w:val="28"/>
        </w:rPr>
        <w:t>i</w:t>
      </w:r>
      <w:r>
        <w:rPr>
          <w:rFonts w:ascii="仿宋" w:hAnsi="仿宋" w:eastAsia="仿宋" w:cs="仿宋"/>
          <w:spacing w:val="-11"/>
          <w:position w:val="1"/>
          <w:sz w:val="28"/>
          <w:szCs w:val="28"/>
        </w:rPr>
        <w:t>：折现期；</w:t>
      </w:r>
    </w:p>
    <w:p>
      <w:pPr>
        <w:spacing w:before="219" w:line="216" w:lineRule="auto"/>
        <w:ind w:left="589"/>
        <w:rPr>
          <w:rFonts w:ascii="仿宋" w:hAnsi="仿宋" w:eastAsia="仿宋" w:cs="仿宋"/>
          <w:sz w:val="28"/>
          <w:szCs w:val="28"/>
        </w:rPr>
      </w:pPr>
      <w:r>
        <w:rPr>
          <w:rFonts w:ascii="Times New Roman" w:hAnsi="Times New Roman" w:eastAsia="Times New Roman" w:cs="Times New Roman"/>
          <w:spacing w:val="-6"/>
          <w:sz w:val="28"/>
          <w:szCs w:val="28"/>
        </w:rPr>
        <w:t>r</w:t>
      </w:r>
      <w:r>
        <w:rPr>
          <w:rFonts w:ascii="仿宋" w:hAnsi="仿宋" w:eastAsia="仿宋" w:cs="仿宋"/>
          <w:spacing w:val="-6"/>
          <w:sz w:val="28"/>
          <w:szCs w:val="28"/>
        </w:rPr>
        <w:t>：折现率。</w:t>
      </w:r>
    </w:p>
    <w:p>
      <w:pPr>
        <w:pStyle w:val="4"/>
        <w:rPr>
          <w:rFonts w:hint="default"/>
          <w:lang w:val="en-US" w:eastAsia="zh-CN"/>
        </w:rPr>
      </w:pPr>
    </w:p>
    <w:p>
      <w:pPr>
        <w:pStyle w:val="4"/>
        <w:rPr>
          <w:rFonts w:hint="default"/>
          <w:lang w:val="en-US" w:eastAsia="zh-CN"/>
        </w:rPr>
      </w:pPr>
      <w:r>
        <w:rPr>
          <w:rFonts w:hint="default"/>
          <w:lang w:val="en-US" w:eastAsia="zh-CN"/>
        </w:rPr>
        <w:t>3. 收益年限的确定</w:t>
      </w:r>
    </w:p>
    <w:p>
      <w:pPr>
        <w:pStyle w:val="4"/>
        <w:rPr>
          <w:rFonts w:hint="default"/>
          <w:lang w:val="en-US" w:eastAsia="zh-CN"/>
        </w:rPr>
      </w:pPr>
      <w:r>
        <w:rPr>
          <w:rFonts w:hint="default"/>
          <w:lang w:val="en-US" w:eastAsia="zh-CN"/>
        </w:rPr>
        <w:t>收益预测年限取决于软件著作权的经济寿命年限，即能为投资者带来超额收益的时间。</w:t>
      </w:r>
    </w:p>
    <w:p>
      <w:pPr>
        <w:pStyle w:val="4"/>
        <w:rPr>
          <w:rFonts w:hint="default"/>
          <w:lang w:val="en-US" w:eastAsia="zh-CN"/>
        </w:rPr>
      </w:pPr>
      <w:r>
        <w:rPr>
          <w:rFonts w:hint="default"/>
          <w:lang w:val="en-US" w:eastAsia="zh-CN"/>
        </w:rPr>
        <w:t>由于软件著作权相关的技术先进性受技术持续升级及替代技术研 发等因素影响，故软件著作权的经济收益年限一般低于其法定保护年 限。纳入本次评估范围的软件著作权陆续于2009年~2016年形成， 本次 评估综合考虑技术改进， 结合同行业技术发展和更新周期，企业自身的 技术保护措施等因素，预计该等无形资产的整体经济收益年限持续到2021年底。</w:t>
      </w:r>
    </w:p>
    <w:p>
      <w:pPr>
        <w:pStyle w:val="4"/>
        <w:rPr>
          <w:rFonts w:hint="default"/>
          <w:lang w:val="en-US" w:eastAsia="zh-CN"/>
        </w:rPr>
      </w:pPr>
      <w:r>
        <w:rPr>
          <w:rFonts w:hint="default"/>
          <w:lang w:val="en-US" w:eastAsia="zh-CN"/>
        </w:rPr>
        <w:t>本次评估确定的软件著作权经济收益年限至2021年底，但并不意味着软件著作权的寿命至2021年底结束，在此提醒报告使用者注意。</w:t>
      </w:r>
    </w:p>
    <w:p>
      <w:pPr>
        <w:pStyle w:val="4"/>
        <w:rPr>
          <w:rFonts w:hint="default"/>
          <w:lang w:val="en-US" w:eastAsia="zh-CN"/>
        </w:rPr>
      </w:pPr>
      <w:r>
        <w:rPr>
          <w:rFonts w:hint="default"/>
          <w:lang w:val="en-US" w:eastAsia="zh-CN"/>
        </w:rPr>
        <w:t>4. 与软件著作权的收入预测</w:t>
      </w:r>
    </w:p>
    <w:p>
      <w:pPr>
        <w:pStyle w:val="4"/>
        <w:rPr>
          <w:rFonts w:hint="default"/>
          <w:lang w:val="en-US" w:eastAsia="zh-CN"/>
        </w:rPr>
      </w:pPr>
      <w:r>
        <w:rPr>
          <w:rFonts w:hint="default"/>
          <w:lang w:val="en-US" w:eastAsia="zh-CN"/>
        </w:rPr>
        <w:t>纳入本次评估范围的各项正在使用中的软件著作权在被评估企业的业务运营中发挥如下作用：</w:t>
      </w:r>
    </w:p>
    <w:p>
      <w:pPr>
        <w:pStyle w:val="4"/>
        <w:rPr>
          <w:rFonts w:hint="default"/>
          <w:lang w:val="en-US" w:eastAsia="zh-CN"/>
        </w:rPr>
      </w:pPr>
      <w:r>
        <w:rPr>
          <w:rFonts w:hint="default"/>
          <w:lang w:val="en-US" w:eastAsia="zh-CN"/>
        </w:rPr>
        <w:t>手机出版系统是智能手机、移动互联网与版权的有机结合。借助于 智能手机与移动互联网，实现版权内容生产数字化、管理过程数字化、 产品形态数字化和传播渠道网络化。 同时， 畅元国讯承担了“ 国家手机 在线出版发行标准” 的制定工作，在此基础上研发了面向运营商手机终 端用户提供手机阅读服务的平台软件，包括手机终端阅读产品与后台作品内容一体化运营系统。</w:t>
      </w:r>
    </w:p>
    <w:p>
      <w:pPr>
        <w:pStyle w:val="4"/>
        <w:rPr>
          <w:rFonts w:hint="default"/>
          <w:lang w:val="en-US" w:eastAsia="zh-CN"/>
        </w:rPr>
      </w:pPr>
      <w:r>
        <w:rPr>
          <w:rFonts w:hint="default"/>
          <w:lang w:val="en-US" w:eastAsia="zh-CN"/>
        </w:rPr>
        <w:t>数字版权管理是保护多媒体内容免遭盗版的一种方法。具体来说就是防止非法用户在未经授权许可的情况下， 就随意的播放、复制并且传播多媒体内容。数字版权管理为多媒体内容提供者保护他们的私有音乐 或其他数据免受非法复制和使用提供了一种手段。这项技术通过对数字 内容进行加密和附加使用规则对数字内容进行保护。支持多种格式的数 字内容进行加密和打包， 由内容分发系统对其进行发布。用户接收到内 容后， 不能直接解码收看， 须由系统进行身份认证授权并得到解密密钥 后， 才能正常观看。该产品可应用于网站图书、视频、音乐、游戏、教育等多方面。</w:t>
      </w:r>
    </w:p>
    <w:p>
      <w:pPr>
        <w:pStyle w:val="4"/>
        <w:rPr>
          <w:rFonts w:hint="default"/>
          <w:lang w:val="en-US" w:eastAsia="zh-CN"/>
        </w:rPr>
      </w:pPr>
      <w:r>
        <w:rPr>
          <w:rFonts w:hint="default"/>
          <w:lang w:val="en-US" w:eastAsia="zh-CN"/>
        </w:rPr>
        <w:t>服务广大版权方（各级广播电视台、各类版权内容权利人）及服务 广大内容使用方（各大运营商、各类互联网网站等）的第三方视频版权 内容平台，通过内容汇聚、使用方汇聚实现基于B2B的规模化运营收益 分成， 以技术、资质及版权服务作为运营核心， 向内容使用方提供跨系 统、跨网络、跨媒体、跨终端的融合内容服务接口， 达成内容平台的自我良性运转及发展。</w:t>
      </w:r>
    </w:p>
    <w:p>
      <w:pPr>
        <w:pStyle w:val="4"/>
        <w:rPr>
          <w:rFonts w:hint="default"/>
          <w:lang w:val="en-US" w:eastAsia="zh-CN"/>
        </w:rPr>
      </w:pPr>
      <w:r>
        <w:rPr>
          <w:rFonts w:hint="default"/>
          <w:lang w:val="en-US" w:eastAsia="zh-CN"/>
        </w:rPr>
        <w:t>游戏分发运营平台为游戏产品渠道运营打造的软件平台，是一套服 务于游戏运营业务的集成系统，包括面向终端用户的网站和手机客户端， 面向运营人员的游戏管理与分发后台及面向CP的SDK和SDK文档。</w:t>
      </w:r>
    </w:p>
    <w:p>
      <w:pPr>
        <w:pStyle w:val="4"/>
        <w:rPr>
          <w:rFonts w:hint="default"/>
          <w:lang w:val="en-US" w:eastAsia="zh-CN"/>
        </w:rPr>
      </w:pPr>
      <w:r>
        <w:rPr>
          <w:rFonts w:hint="default"/>
          <w:lang w:val="en-US" w:eastAsia="zh-CN"/>
        </w:rPr>
        <w:t>运营商短信付费的业务产品综合管理系统，能够帮助客户灵活管理 点播包月类型不同价格组合方式计费，实现包括游戏在内的各种数字内容在运营商分发的快速接入。</w:t>
      </w:r>
    </w:p>
    <w:p>
      <w:pPr>
        <w:pStyle w:val="4"/>
        <w:rPr>
          <w:rFonts w:hint="default"/>
          <w:lang w:val="en-US" w:eastAsia="zh-CN"/>
        </w:rPr>
      </w:pPr>
      <w:r>
        <w:rPr>
          <w:rFonts w:hint="default"/>
          <w:lang w:val="en-US" w:eastAsia="zh-CN"/>
        </w:rPr>
        <w:t>DCI数字版权管理平台软件以创新的在线版权登记模式为基本手 段，为互联网上的数字内容版权分配永久的数字版权唯一标识符， 并颁 发数字版权登记证书，利用电子签名和电子登记证书建立起可信赖、可 查验的安全认证体系，从而为版权相关方实现数字作品版权登记、版权费用结算及版权侵权监测取证等版权公共服务。</w:t>
      </w:r>
    </w:p>
    <w:p>
      <w:pPr>
        <w:pStyle w:val="4"/>
        <w:rPr>
          <w:rFonts w:hint="default"/>
          <w:lang w:val="en-US" w:eastAsia="zh-CN"/>
        </w:rPr>
      </w:pPr>
      <w:r>
        <w:rPr>
          <w:rFonts w:hint="default"/>
          <w:lang w:val="en-US" w:eastAsia="zh-CN"/>
        </w:rPr>
        <w:t>华云音乐版权服务系统是在“ 音乐版权管理及内容分析交易云平台”基础上打造的全新的服务平台，为音乐版权人提供在线版权登记、 ISRC申领、快速维权、版权销售及费用清算的综合平台；致力于建立 贴心、便捷、公平、公正的汇集数字音乐版权、销售与交易结算的一站式数字音乐价值工具平台。</w:t>
      </w:r>
    </w:p>
    <w:p>
      <w:pPr>
        <w:pStyle w:val="4"/>
        <w:rPr>
          <w:rFonts w:hint="default"/>
          <w:lang w:val="en-US" w:eastAsia="zh-CN"/>
        </w:rPr>
      </w:pPr>
      <w:r>
        <w:rPr>
          <w:rFonts w:hint="default"/>
          <w:lang w:val="en-US" w:eastAsia="zh-CN"/>
        </w:rPr>
        <w:t>综上所述，纳入本次评估范围的软件著作权在被评估企业主营业务 中提供了相对积极的技术贡献。本次评估根据被评估企业历史年度收入 情况、评估基准日已签订合同及协议， 并结合行业的市场发展趋势及规 律、被评估企业业务承接能力等要素，综合对评估对象收入进行预测（具 体的预测方法及过程详见收益法部分净现金流量预测中的相应内容）。具体预测数据见下表：</w:t>
      </w:r>
    </w:p>
    <w:p>
      <w:pPr>
        <w:pStyle w:val="4"/>
        <w:rPr>
          <w:rFonts w:hint="default"/>
          <w:lang w:val="en-US" w:eastAsia="zh-CN"/>
        </w:rPr>
      </w:pPr>
    </w:p>
    <w:tbl>
      <w:tblPr>
        <w:tblStyle w:val="10"/>
        <w:tblW w:w="877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0"/>
        <w:gridCol w:w="1533"/>
        <w:gridCol w:w="1027"/>
        <w:gridCol w:w="1027"/>
        <w:gridCol w:w="1154"/>
        <w:gridCol w:w="1154"/>
        <w:gridCol w:w="11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1"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项目名称</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2016 年 4- 12 月</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2017 年</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2018 年</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2019 年</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2020 年</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2021 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收入</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28,234.70</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44,770.35</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58,349.53</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67,050.91</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73,699.86</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77,442.25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成本</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17,789.69</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27,951.12</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36,511.61</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41,988.35</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46,187.18</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48,566.49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营业税金及附加</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69.90</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110.84</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144.46</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166.00</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182.46</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191.73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营业费用</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582.13</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922.63</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1,201.77</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1,380.64</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1,517.32</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1,594.25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管理费用</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1,681.24</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2,646.15</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3,417.16</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3,911.21</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4,288.73</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4,501.22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财务费用</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营业利润</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8,111.74</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13,139.61</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17,074.53</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19,604.71</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21,524.17</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22,588.57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加：营业外收入</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减： 营业外支出</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利润总额</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8,111.74</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13,139.61</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17,074.53</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19,604.71</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21,524.17</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22,588.57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减：所得税</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1,947.91</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3,158.01</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4,103.25</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4,711.13</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5,172.15</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5,427.64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1" w:hRule="atLeast"/>
        </w:trPr>
        <w:tc>
          <w:tcPr>
            <w:tcW w:w="172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净利润</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6,163.83</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9,981.60</w:t>
            </w:r>
          </w:p>
        </w:tc>
        <w:tc>
          <w:tcPr>
            <w:tcW w:w="102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12,971.29</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14,893.58</w:t>
            </w:r>
          </w:p>
        </w:tc>
        <w:tc>
          <w:tcPr>
            <w:tcW w:w="115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16,352.02</w:t>
            </w:r>
          </w:p>
        </w:tc>
        <w:tc>
          <w:tcPr>
            <w:tcW w:w="115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17,160.93</w:t>
            </w:r>
          </w:p>
        </w:tc>
      </w:tr>
    </w:tbl>
    <w:p>
      <w:pPr>
        <w:pStyle w:val="4"/>
        <w:rPr>
          <w:rFonts w:hint="default"/>
          <w:lang w:val="en-US" w:eastAsia="zh-CN"/>
        </w:rPr>
      </w:pPr>
    </w:p>
    <w:p>
      <w:pPr>
        <w:pStyle w:val="4"/>
        <w:rPr>
          <w:rFonts w:hint="default"/>
          <w:lang w:val="en-US" w:eastAsia="zh-CN"/>
        </w:rPr>
      </w:pPr>
      <w:r>
        <w:rPr>
          <w:rFonts w:hint="default"/>
          <w:lang w:val="en-US" w:eastAsia="zh-CN"/>
        </w:rPr>
        <w:t>5. 提成率 K 的确定</w:t>
      </w:r>
    </w:p>
    <w:p>
      <w:pPr>
        <w:pStyle w:val="4"/>
        <w:rPr>
          <w:rFonts w:hint="default"/>
          <w:lang w:val="en-US" w:eastAsia="zh-CN"/>
        </w:rPr>
      </w:pPr>
      <w:r>
        <w:rPr>
          <w:rFonts w:hint="default"/>
          <w:lang w:val="en-US" w:eastAsia="zh-CN"/>
        </w:rPr>
        <w:t>分成率计算公式如下：</w:t>
      </w:r>
    </w:p>
    <w:p>
      <w:pPr>
        <w:pStyle w:val="4"/>
        <w:rPr>
          <w:rFonts w:hint="default"/>
          <w:lang w:val="en-US" w:eastAsia="zh-CN"/>
        </w:rPr>
      </w:pPr>
      <w:r>
        <w:drawing>
          <wp:inline distT="0" distB="0" distL="114300" distR="114300">
            <wp:extent cx="1114425" cy="176530"/>
            <wp:effectExtent l="0" t="0" r="0" b="444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5"/>
                    <a:stretch>
                      <a:fillRect/>
                    </a:stretch>
                  </pic:blipFill>
                  <pic:spPr>
                    <a:xfrm>
                      <a:off x="0" y="0"/>
                      <a:ext cx="1114425" cy="176530"/>
                    </a:xfrm>
                    <a:prstGeom prst="rect">
                      <a:avLst/>
                    </a:prstGeom>
                    <a:noFill/>
                    <a:ln>
                      <a:noFill/>
                    </a:ln>
                  </pic:spPr>
                </pic:pic>
              </a:graphicData>
            </a:graphic>
          </wp:inline>
        </w:drawing>
      </w:r>
    </w:p>
    <w:p>
      <w:pPr>
        <w:spacing w:before="245" w:line="218" w:lineRule="auto"/>
        <w:ind w:left="703"/>
        <w:rPr>
          <w:rFonts w:ascii="仿宋" w:hAnsi="仿宋" w:eastAsia="仿宋" w:cs="仿宋"/>
          <w:sz w:val="28"/>
          <w:szCs w:val="28"/>
        </w:rPr>
      </w:pPr>
      <w:r>
        <w:rPr>
          <w:rFonts w:ascii="仿宋" w:hAnsi="仿宋" w:eastAsia="仿宋" w:cs="仿宋"/>
          <w:spacing w:val="-24"/>
          <w:sz w:val="28"/>
          <w:szCs w:val="28"/>
        </w:rPr>
        <w:t>式中：</w:t>
      </w:r>
    </w:p>
    <w:p>
      <w:pPr>
        <w:spacing w:before="214" w:line="218" w:lineRule="auto"/>
        <w:ind w:left="676"/>
        <w:rPr>
          <w:rFonts w:ascii="仿宋" w:hAnsi="仿宋" w:eastAsia="仿宋" w:cs="仿宋"/>
          <w:sz w:val="28"/>
          <w:szCs w:val="28"/>
        </w:rPr>
      </w:pPr>
      <w:r>
        <w:rPr>
          <w:rFonts w:ascii="Times New Roman" w:hAnsi="Times New Roman" w:eastAsia="Times New Roman" w:cs="Times New Roman"/>
          <w:spacing w:val="-7"/>
          <w:sz w:val="28"/>
          <w:szCs w:val="28"/>
        </w:rPr>
        <w:t>K</w:t>
      </w:r>
      <w:r>
        <w:rPr>
          <w:rFonts w:ascii="仿宋" w:hAnsi="仿宋" w:eastAsia="仿宋" w:cs="仿宋"/>
          <w:spacing w:val="-7"/>
          <w:sz w:val="28"/>
          <w:szCs w:val="28"/>
        </w:rPr>
        <w:t>：利润分成率；</w:t>
      </w:r>
    </w:p>
    <w:p>
      <w:pPr>
        <w:spacing w:before="215" w:line="545" w:lineRule="exact"/>
        <w:ind w:left="674"/>
        <w:rPr>
          <w:rFonts w:ascii="仿宋" w:hAnsi="仿宋" w:eastAsia="仿宋" w:cs="仿宋"/>
          <w:sz w:val="28"/>
          <w:szCs w:val="28"/>
        </w:rPr>
      </w:pPr>
      <w:r>
        <w:rPr>
          <w:rFonts w:ascii="Times New Roman" w:hAnsi="Times New Roman" w:eastAsia="Times New Roman" w:cs="Times New Roman"/>
          <w:spacing w:val="-5"/>
          <w:position w:val="20"/>
          <w:sz w:val="28"/>
          <w:szCs w:val="28"/>
        </w:rPr>
        <w:t>m</w:t>
      </w:r>
      <w:r>
        <w:rPr>
          <w:rFonts w:ascii="仿宋" w:hAnsi="仿宋" w:eastAsia="仿宋" w:cs="仿宋"/>
          <w:spacing w:val="-5"/>
          <w:position w:val="20"/>
          <w:sz w:val="28"/>
          <w:szCs w:val="28"/>
        </w:rPr>
        <w:t>：分成率的取值下限；</w:t>
      </w:r>
    </w:p>
    <w:p>
      <w:pPr>
        <w:spacing w:before="1" w:line="217" w:lineRule="auto"/>
        <w:ind w:left="673"/>
        <w:rPr>
          <w:rFonts w:ascii="仿宋" w:hAnsi="仿宋" w:eastAsia="仿宋" w:cs="仿宋"/>
          <w:sz w:val="28"/>
          <w:szCs w:val="28"/>
        </w:rPr>
      </w:pPr>
      <w:r>
        <w:rPr>
          <w:rFonts w:ascii="Times New Roman" w:hAnsi="Times New Roman" w:eastAsia="Times New Roman" w:cs="Times New Roman"/>
          <w:spacing w:val="-4"/>
          <w:sz w:val="28"/>
          <w:szCs w:val="28"/>
        </w:rPr>
        <w:t>n</w:t>
      </w:r>
      <w:r>
        <w:rPr>
          <w:rFonts w:ascii="仿宋" w:hAnsi="仿宋" w:eastAsia="仿宋" w:cs="仿宋"/>
          <w:spacing w:val="-4"/>
          <w:sz w:val="28"/>
          <w:szCs w:val="28"/>
        </w:rPr>
        <w:t>：分成率的取值上限；</w:t>
      </w:r>
    </w:p>
    <w:p>
      <w:pPr>
        <w:spacing w:before="214" w:line="219" w:lineRule="auto"/>
        <w:ind w:left="678"/>
        <w:rPr>
          <w:rFonts w:ascii="仿宋" w:hAnsi="仿宋" w:eastAsia="仿宋" w:cs="仿宋"/>
          <w:sz w:val="28"/>
          <w:szCs w:val="28"/>
        </w:rPr>
      </w:pPr>
      <w:r>
        <w:rPr>
          <w:rFonts w:ascii="Times New Roman" w:hAnsi="Times New Roman" w:eastAsia="Times New Roman" w:cs="Times New Roman"/>
          <w:spacing w:val="-4"/>
          <w:sz w:val="28"/>
          <w:szCs w:val="28"/>
        </w:rPr>
        <w:t>Δ</w:t>
      </w:r>
      <w:r>
        <w:rPr>
          <w:rFonts w:ascii="仿宋" w:hAnsi="仿宋" w:eastAsia="仿宋" w:cs="仿宋"/>
          <w:spacing w:val="-4"/>
          <w:sz w:val="28"/>
          <w:szCs w:val="28"/>
        </w:rPr>
        <w:t>：分成率的调整系数。</w:t>
      </w:r>
    </w:p>
    <w:p>
      <w:pPr>
        <w:pStyle w:val="4"/>
        <w:rPr>
          <w:rFonts w:hint="default"/>
          <w:lang w:val="en-US" w:eastAsia="zh-CN"/>
        </w:rPr>
      </w:pPr>
    </w:p>
    <w:p>
      <w:pPr>
        <w:pStyle w:val="4"/>
        <w:rPr>
          <w:rFonts w:hint="default"/>
          <w:lang w:val="en-US" w:eastAsia="zh-CN"/>
        </w:rPr>
      </w:pPr>
      <w:r>
        <w:rPr>
          <w:rFonts w:hint="default"/>
          <w:lang w:val="en-US" w:eastAsia="zh-CN"/>
        </w:rPr>
        <w:t>本次评估采用层次分析法（AHP  法）确定无形资产对预期收益的 贡献率。被评估企业预期收益由资金、人力、技术、管理等多种因素共 同发挥贡献， 由于被评估企业为高新技术企业， 技术对其收益贡献比例 较大， 结合向被评估企业财务、技术、管理、销售等部门相关人员核实了解的技术贡献情况及比重，确定技术分成率上限为 25%，下限为 0。</w:t>
      </w:r>
    </w:p>
    <w:p>
      <w:pPr>
        <w:pStyle w:val="4"/>
        <w:rPr>
          <w:rFonts w:hint="default"/>
          <w:lang w:val="en-US" w:eastAsia="zh-CN"/>
        </w:rPr>
      </w:pPr>
      <w:r>
        <w:rPr>
          <w:rFonts w:hint="default"/>
          <w:lang w:val="en-US" w:eastAsia="zh-CN"/>
        </w:rPr>
        <w:t>从技术水平、成熟程度、实施条件、经济效益、保护力度、行业地 位及其他等七项参考因素对纳入本次评估范围的软件技术进行评价，以此确定分成率的调整系数见下表：</w:t>
      </w:r>
    </w:p>
    <w:p>
      <w:pPr>
        <w:pStyle w:val="4"/>
        <w:rPr>
          <w:rFonts w:hint="default"/>
          <w:lang w:val="en-US" w:eastAsia="zh-CN"/>
        </w:rPr>
      </w:pPr>
    </w:p>
    <w:tbl>
      <w:tblPr>
        <w:tblStyle w:val="10"/>
        <w:tblW w:w="877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26"/>
        <w:gridCol w:w="1754"/>
        <w:gridCol w:w="2046"/>
        <w:gridCol w:w="1478"/>
        <w:gridCol w:w="15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评价因素</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权重（%）</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评分值范围</w:t>
            </w: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评分值</w:t>
            </w: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加权评分值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法律状态</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12</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0~100</w:t>
            </w: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80</w:t>
            </w: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9.60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保护范围</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9</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0~100</w:t>
            </w: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80</w:t>
            </w: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7.20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侵权判定</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9</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0~100</w:t>
            </w: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40</w:t>
            </w: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3.60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技术所属领域</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0~100</w:t>
            </w: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40</w:t>
            </w: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替代技术</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10</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0~100</w:t>
            </w: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40</w:t>
            </w: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先进性</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0~100</w:t>
            </w: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40</w:t>
            </w: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创新性</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0~100</w:t>
            </w: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30</w:t>
            </w: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成熟度</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10</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0~100</w:t>
            </w: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60</w:t>
            </w: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6.00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应用范围</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10</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0~100</w:t>
            </w: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40</w:t>
            </w: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技术防御力</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0~100</w:t>
            </w: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50</w:t>
            </w: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供求关系</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0~100</w:t>
            </w: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50</w:t>
            </w: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92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合计</w:t>
            </w:r>
          </w:p>
        </w:tc>
        <w:tc>
          <w:tcPr>
            <w:tcW w:w="175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100</w:t>
            </w:r>
          </w:p>
        </w:tc>
        <w:tc>
          <w:tcPr>
            <w:tcW w:w="204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tc>
        <w:tc>
          <w:tcPr>
            <w:tcW w:w="147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tc>
        <w:tc>
          <w:tcPr>
            <w:tcW w:w="15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52.40</w:t>
            </w:r>
          </w:p>
        </w:tc>
      </w:tr>
    </w:tbl>
    <w:p>
      <w:pPr>
        <w:pStyle w:val="4"/>
        <w:rPr>
          <w:rFonts w:hint="default"/>
          <w:lang w:val="en-US" w:eastAsia="zh-CN"/>
        </w:rPr>
      </w:pPr>
    </w:p>
    <w:p>
      <w:pPr>
        <w:pStyle w:val="4"/>
        <w:rPr>
          <w:rFonts w:hint="default"/>
          <w:lang w:val="en-US" w:eastAsia="zh-CN"/>
        </w:rPr>
      </w:pPr>
      <w:r>
        <w:rPr>
          <w:rFonts w:hint="default"/>
          <w:lang w:val="en-US" w:eastAsia="zh-CN"/>
        </w:rPr>
        <w:t>由上表可得分成率调整系数 Δ=52.40%。</w:t>
      </w:r>
    </w:p>
    <w:p>
      <w:pPr>
        <w:pStyle w:val="4"/>
        <w:rPr>
          <w:rFonts w:hint="default"/>
          <w:lang w:val="en-US" w:eastAsia="zh-CN"/>
        </w:rPr>
      </w:pPr>
      <w:r>
        <w:rPr>
          <w:rFonts w:hint="default"/>
          <w:lang w:val="en-US" w:eastAsia="zh-CN"/>
        </w:rPr>
        <w:t>将 m=25% ，n=0 ，Δ=52.40%代入式（2），得到 K=13. 10%。</w:t>
      </w:r>
    </w:p>
    <w:p>
      <w:pPr>
        <w:pStyle w:val="4"/>
        <w:rPr>
          <w:rFonts w:hint="default"/>
          <w:lang w:val="en-US" w:eastAsia="zh-CN"/>
        </w:rPr>
      </w:pPr>
      <w:r>
        <w:rPr>
          <w:rFonts w:hint="default"/>
          <w:lang w:val="en-US" w:eastAsia="zh-CN"/>
        </w:rPr>
        <w:t>在科技进步和技术升级的进程中， 原有技术先进性逐渐降低， 因而 基准日纳入本次评估范围的软件技术对应的超额收益逐渐减少，即分成率逐渐减少。通过对该等软件著作权对应的技术先进程度、产品经济效益及市场前景、替代技术或产品发展状况等方面的综合分析，本次评估对该等软件技术分成率考虑 30%的年衰减比率。</w:t>
      </w:r>
    </w:p>
    <w:p>
      <w:pPr>
        <w:pStyle w:val="4"/>
        <w:rPr>
          <w:rFonts w:hint="default"/>
          <w:lang w:val="en-US" w:eastAsia="zh-CN"/>
        </w:rPr>
      </w:pPr>
      <w:r>
        <w:rPr>
          <w:rFonts w:hint="default"/>
          <w:lang w:val="en-US" w:eastAsia="zh-CN"/>
        </w:rPr>
        <w:t>根据软件著作权利润分成率、技术成新率计算软件著作权相关分成利润见</w:t>
      </w:r>
      <w:r>
        <w:rPr>
          <w:rFonts w:hint="eastAsia"/>
          <w:lang w:val="en-US" w:eastAsia="zh-CN"/>
        </w:rPr>
        <w:t>下</w:t>
      </w:r>
      <w:r>
        <w:rPr>
          <w:rFonts w:hint="default"/>
          <w:lang w:val="en-US" w:eastAsia="zh-CN"/>
        </w:rPr>
        <w:t>表。</w:t>
      </w:r>
    </w:p>
    <w:p>
      <w:pPr>
        <w:pStyle w:val="4"/>
        <w:rPr>
          <w:rFonts w:hint="default"/>
          <w:lang w:val="en-US" w:eastAsia="zh-CN"/>
        </w:rPr>
      </w:pPr>
    </w:p>
    <w:tbl>
      <w:tblPr>
        <w:tblStyle w:val="10"/>
        <w:tblW w:w="987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18"/>
        <w:gridCol w:w="1536"/>
        <w:gridCol w:w="964"/>
        <w:gridCol w:w="1164"/>
        <w:gridCol w:w="1266"/>
        <w:gridCol w:w="1260"/>
        <w:gridCol w:w="12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jc w:val="center"/>
        </w:trPr>
        <w:tc>
          <w:tcPr>
            <w:tcW w:w="2418"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项目名称</w:t>
            </w:r>
          </w:p>
        </w:tc>
        <w:tc>
          <w:tcPr>
            <w:tcW w:w="153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2016 年 4-12 月</w:t>
            </w:r>
          </w:p>
        </w:tc>
        <w:tc>
          <w:tcPr>
            <w:tcW w:w="96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2017 年</w:t>
            </w:r>
          </w:p>
        </w:tc>
        <w:tc>
          <w:tcPr>
            <w:tcW w:w="1164"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2018 年</w:t>
            </w:r>
          </w:p>
        </w:tc>
        <w:tc>
          <w:tcPr>
            <w:tcW w:w="1266"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2019 年</w:t>
            </w:r>
          </w:p>
        </w:tc>
        <w:tc>
          <w:tcPr>
            <w:tcW w:w="1260"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2020 年</w:t>
            </w:r>
          </w:p>
        </w:tc>
        <w:tc>
          <w:tcPr>
            <w:tcW w:w="1269" w:type="dxa"/>
            <w:shd w:val="clear" w:color="auto" w:fill="CCE8CF"/>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2021 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241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税后利润</w:t>
            </w:r>
          </w:p>
        </w:tc>
        <w:tc>
          <w:tcPr>
            <w:tcW w:w="1536"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6,163.83</w:t>
            </w:r>
          </w:p>
        </w:tc>
        <w:tc>
          <w:tcPr>
            <w:tcW w:w="96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9,981.60</w:t>
            </w:r>
          </w:p>
        </w:tc>
        <w:tc>
          <w:tcPr>
            <w:tcW w:w="116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12,971.29</w:t>
            </w:r>
          </w:p>
        </w:tc>
        <w:tc>
          <w:tcPr>
            <w:tcW w:w="1266"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14,893.58</w:t>
            </w:r>
          </w:p>
        </w:tc>
        <w:tc>
          <w:tcPr>
            <w:tcW w:w="126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16,352.02</w:t>
            </w:r>
          </w:p>
        </w:tc>
        <w:tc>
          <w:tcPr>
            <w:tcW w:w="126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17,160.93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241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利润分成率</w:t>
            </w:r>
          </w:p>
        </w:tc>
        <w:tc>
          <w:tcPr>
            <w:tcW w:w="1536"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13.10%</w:t>
            </w:r>
          </w:p>
        </w:tc>
        <w:tc>
          <w:tcPr>
            <w:tcW w:w="96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13.10%</w:t>
            </w:r>
          </w:p>
        </w:tc>
        <w:tc>
          <w:tcPr>
            <w:tcW w:w="116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13.10%</w:t>
            </w:r>
          </w:p>
        </w:tc>
        <w:tc>
          <w:tcPr>
            <w:tcW w:w="1266"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13.10%</w:t>
            </w:r>
          </w:p>
        </w:tc>
        <w:tc>
          <w:tcPr>
            <w:tcW w:w="126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13.10%</w:t>
            </w:r>
          </w:p>
        </w:tc>
        <w:tc>
          <w:tcPr>
            <w:tcW w:w="126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13.10%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241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技术成新率</w:t>
            </w:r>
          </w:p>
        </w:tc>
        <w:tc>
          <w:tcPr>
            <w:tcW w:w="1536"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100.00%</w:t>
            </w:r>
          </w:p>
        </w:tc>
        <w:tc>
          <w:tcPr>
            <w:tcW w:w="96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70.00%</w:t>
            </w:r>
          </w:p>
        </w:tc>
        <w:tc>
          <w:tcPr>
            <w:tcW w:w="116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49.00%</w:t>
            </w:r>
          </w:p>
        </w:tc>
        <w:tc>
          <w:tcPr>
            <w:tcW w:w="1266"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34.30%</w:t>
            </w:r>
          </w:p>
        </w:tc>
        <w:tc>
          <w:tcPr>
            <w:tcW w:w="126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24.01%</w:t>
            </w:r>
          </w:p>
        </w:tc>
        <w:tc>
          <w:tcPr>
            <w:tcW w:w="126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16.81%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jc w:val="center"/>
        </w:trPr>
        <w:tc>
          <w:tcPr>
            <w:tcW w:w="241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综合分成率</w:t>
            </w:r>
          </w:p>
        </w:tc>
        <w:tc>
          <w:tcPr>
            <w:tcW w:w="1536"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13.10%</w:t>
            </w:r>
          </w:p>
        </w:tc>
        <w:tc>
          <w:tcPr>
            <w:tcW w:w="96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9.17%</w:t>
            </w:r>
          </w:p>
        </w:tc>
        <w:tc>
          <w:tcPr>
            <w:tcW w:w="116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6.42%</w:t>
            </w:r>
          </w:p>
        </w:tc>
        <w:tc>
          <w:tcPr>
            <w:tcW w:w="1266"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4.49%</w:t>
            </w:r>
          </w:p>
        </w:tc>
        <w:tc>
          <w:tcPr>
            <w:tcW w:w="126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3.15%</w:t>
            </w:r>
          </w:p>
        </w:tc>
        <w:tc>
          <w:tcPr>
            <w:tcW w:w="126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jc w:val="center"/>
        </w:trPr>
        <w:tc>
          <w:tcPr>
            <w:tcW w:w="2418"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软件著作权相关分成利润</w:t>
            </w:r>
          </w:p>
        </w:tc>
        <w:tc>
          <w:tcPr>
            <w:tcW w:w="1536"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807.46</w:t>
            </w:r>
          </w:p>
        </w:tc>
        <w:tc>
          <w:tcPr>
            <w:tcW w:w="96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915.31</w:t>
            </w:r>
          </w:p>
        </w:tc>
        <w:tc>
          <w:tcPr>
            <w:tcW w:w="1164"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832.63</w:t>
            </w:r>
          </w:p>
        </w:tc>
        <w:tc>
          <w:tcPr>
            <w:tcW w:w="1266"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669.21</w:t>
            </w:r>
          </w:p>
        </w:tc>
        <w:tc>
          <w:tcPr>
            <w:tcW w:w="126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514.32</w:t>
            </w:r>
          </w:p>
        </w:tc>
        <w:tc>
          <w:tcPr>
            <w:tcW w:w="126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377.84</w:t>
            </w:r>
          </w:p>
        </w:tc>
      </w:tr>
    </w:tbl>
    <w:p>
      <w:pPr>
        <w:pStyle w:val="4"/>
        <w:rPr>
          <w:rFonts w:hint="default"/>
          <w:lang w:val="en-US" w:eastAsia="zh-CN"/>
        </w:rPr>
      </w:pPr>
    </w:p>
    <w:p>
      <w:pPr>
        <w:pStyle w:val="4"/>
        <w:rPr>
          <w:rFonts w:hint="default"/>
          <w:lang w:val="en-US" w:eastAsia="zh-CN"/>
        </w:rPr>
      </w:pPr>
      <w:r>
        <w:rPr>
          <w:rFonts w:hint="default"/>
          <w:lang w:val="en-US" w:eastAsia="zh-CN"/>
        </w:rPr>
        <w:t>6. 软件著作权技术类无形资产折现率的选取</w:t>
      </w:r>
    </w:p>
    <w:p>
      <w:pPr>
        <w:pStyle w:val="4"/>
        <w:rPr>
          <w:rFonts w:hint="default"/>
          <w:lang w:val="en-US" w:eastAsia="zh-CN"/>
        </w:rPr>
      </w:pPr>
      <w:r>
        <w:rPr>
          <w:rFonts w:hint="default"/>
          <w:lang w:val="en-US" w:eastAsia="zh-CN"/>
        </w:rPr>
        <w:t>折现率是将未来的收益折算为现值的系数，它体现了资金的时间价 值。本次评估中软件著作权等技术资产折现率 r 是在测算企业加权平均资本成本的基础上考虑一定的风险溢价，即：</w:t>
      </w:r>
    </w:p>
    <w:p>
      <w:pPr>
        <w:spacing w:before="310" w:line="523" w:lineRule="exact"/>
        <w:ind w:left="1226"/>
        <w:rPr>
          <w:rFonts w:ascii="Times New Roman" w:hAnsi="Times New Roman" w:eastAsia="Times New Roman" w:cs="Times New Roman"/>
          <w:sz w:val="18"/>
          <w:szCs w:val="18"/>
        </w:rPr>
      </w:pPr>
      <w:r>
        <w:rPr>
          <w:rFonts w:ascii="Times New Roman" w:hAnsi="Times New Roman" w:eastAsia="Times New Roman" w:cs="Times New Roman"/>
          <w:spacing w:val="-4"/>
          <w:position w:val="22"/>
          <w:sz w:val="28"/>
          <w:szCs w:val="28"/>
        </w:rPr>
        <w:t>r=WACC +</w:t>
      </w:r>
      <w:r>
        <w:rPr>
          <w:rFonts w:ascii="Times New Roman" w:hAnsi="Times New Roman" w:eastAsia="Times New Roman" w:cs="Times New Roman"/>
          <w:spacing w:val="-4"/>
          <w:position w:val="22"/>
          <w:sz w:val="36"/>
          <w:szCs w:val="36"/>
        </w:rPr>
        <w:t>ε</w:t>
      </w:r>
      <w:r>
        <w:rPr>
          <w:rFonts w:ascii="Times New Roman" w:hAnsi="Times New Roman" w:eastAsia="Times New Roman" w:cs="Times New Roman"/>
          <w:spacing w:val="-4"/>
          <w:position w:val="19"/>
          <w:sz w:val="18"/>
          <w:szCs w:val="18"/>
        </w:rPr>
        <w:t>2</w:t>
      </w:r>
    </w:p>
    <w:p>
      <w:pPr>
        <w:spacing w:before="1" w:line="217" w:lineRule="auto"/>
        <w:ind w:left="1256"/>
        <w:rPr>
          <w:rFonts w:ascii="仿宋" w:hAnsi="仿宋" w:eastAsia="仿宋" w:cs="仿宋"/>
          <w:sz w:val="28"/>
          <w:szCs w:val="28"/>
        </w:rPr>
      </w:pPr>
      <w:r>
        <w:rPr>
          <w:rFonts w:ascii="仿宋" w:hAnsi="仿宋" w:eastAsia="仿宋" w:cs="仿宋"/>
          <w:spacing w:val="-24"/>
          <w:sz w:val="28"/>
          <w:szCs w:val="28"/>
        </w:rPr>
        <w:t>式中：</w:t>
      </w:r>
    </w:p>
    <w:p>
      <w:pPr>
        <w:spacing w:before="215" w:line="218" w:lineRule="auto"/>
        <w:ind w:left="1228"/>
        <w:rPr>
          <w:rFonts w:ascii="仿宋" w:hAnsi="仿宋" w:eastAsia="仿宋" w:cs="仿宋"/>
          <w:sz w:val="28"/>
          <w:szCs w:val="28"/>
        </w:rPr>
      </w:pPr>
      <w:r>
        <w:rPr>
          <w:rFonts w:ascii="Times New Roman" w:hAnsi="Times New Roman" w:eastAsia="Times New Roman" w:cs="Times New Roman"/>
          <w:spacing w:val="-7"/>
          <w:sz w:val="28"/>
          <w:szCs w:val="28"/>
        </w:rPr>
        <w:t>WACC</w:t>
      </w:r>
      <w:r>
        <w:rPr>
          <w:rFonts w:ascii="Times New Roman" w:hAnsi="Times New Roman" w:eastAsia="Times New Roman" w:cs="Times New Roman"/>
          <w:spacing w:val="30"/>
          <w:w w:val="101"/>
          <w:sz w:val="28"/>
          <w:szCs w:val="28"/>
        </w:rPr>
        <w:t xml:space="preserve"> </w:t>
      </w:r>
      <w:r>
        <w:rPr>
          <w:rFonts w:ascii="仿宋" w:hAnsi="仿宋" w:eastAsia="仿宋" w:cs="仿宋"/>
          <w:spacing w:val="-7"/>
          <w:sz w:val="28"/>
          <w:szCs w:val="28"/>
        </w:rPr>
        <w:t>为企业加权平均资本成本；</w:t>
      </w:r>
    </w:p>
    <w:p>
      <w:pPr>
        <w:pStyle w:val="4"/>
        <w:rPr>
          <w:rFonts w:hint="default"/>
          <w:lang w:val="en-US" w:eastAsia="zh-CN"/>
        </w:rPr>
      </w:pPr>
      <w:r>
        <w:rPr>
          <w:rFonts w:ascii="Times New Roman" w:hAnsi="Times New Roman" w:eastAsia="Times New Roman" w:cs="Times New Roman"/>
          <w:spacing w:val="-12"/>
          <w:w w:val="99"/>
          <w:sz w:val="36"/>
          <w:szCs w:val="36"/>
        </w:rPr>
        <w:t>ε</w:t>
      </w:r>
      <w:r>
        <w:rPr>
          <w:rFonts w:ascii="Times New Roman" w:hAnsi="Times New Roman" w:eastAsia="Times New Roman" w:cs="Times New Roman"/>
          <w:spacing w:val="-4"/>
          <w:position w:val="-4"/>
          <w:sz w:val="18"/>
          <w:szCs w:val="18"/>
        </w:rPr>
        <w:t>2</w:t>
      </w:r>
      <w:r>
        <w:rPr>
          <w:rFonts w:ascii="Times New Roman" w:hAnsi="Times New Roman" w:eastAsia="Times New Roman" w:cs="Times New Roman"/>
          <w:spacing w:val="24"/>
          <w:w w:val="101"/>
          <w:position w:val="-4"/>
          <w:sz w:val="18"/>
          <w:szCs w:val="18"/>
        </w:rPr>
        <w:t xml:space="preserve"> </w:t>
      </w:r>
      <w:r>
        <w:rPr>
          <w:rFonts w:ascii="仿宋" w:hAnsi="仿宋" w:eastAsia="仿宋" w:cs="仿宋"/>
          <w:spacing w:val="-4"/>
          <w:sz w:val="28"/>
          <w:szCs w:val="28"/>
        </w:rPr>
        <w:t>为无形资产特性风险调整系数。</w:t>
      </w:r>
    </w:p>
    <w:p>
      <w:pPr>
        <w:pStyle w:val="4"/>
        <w:rPr>
          <w:rFonts w:hint="default"/>
          <w:lang w:val="en-US" w:eastAsia="zh-CN"/>
        </w:rPr>
      </w:pPr>
    </w:p>
    <w:p>
      <w:pPr>
        <w:pStyle w:val="4"/>
        <w:rPr>
          <w:rFonts w:hint="default"/>
          <w:lang w:val="en-US" w:eastAsia="zh-CN"/>
        </w:rPr>
      </w:pPr>
      <w:r>
        <w:rPr>
          <w:rFonts w:hint="default"/>
          <w:lang w:val="en-US" w:eastAsia="zh-CN"/>
        </w:rPr>
        <w:t>一般情况下，企业以各项资产的市场价值为权重计算的加权平均资 产回报率(Weighted Average Return on Asset ，WARA)应该与企业的加权 平均资产成本(Weighted Average Cost of Capital ，WACC)基本相等或接 近。确定无形资产的市场回报率时， 在企业 WACC  的基础上，根据 WARA=WACC 的平衡关系， 综合考虑无形资产在整体资产中的比重， 从技术产品类型、现有技术产品市场稳定性及获利能力、无形资产使用时间等方面进行分析，进而确定无形资产特性风险调整系数 ε2 为 5%。</w:t>
      </w:r>
    </w:p>
    <w:p>
      <w:pPr>
        <w:pStyle w:val="4"/>
        <w:rPr>
          <w:rFonts w:hint="default"/>
          <w:lang w:val="en-US" w:eastAsia="zh-CN"/>
        </w:rPr>
      </w:pPr>
      <w:r>
        <w:rPr>
          <w:rFonts w:hint="default"/>
          <w:lang w:val="en-US" w:eastAsia="zh-CN"/>
        </w:rPr>
        <w:t>从而得出软件著作权收益法评估折现率 r=17.79%</w:t>
      </w:r>
    </w:p>
    <w:p>
      <w:pPr>
        <w:pStyle w:val="4"/>
        <w:rPr>
          <w:rFonts w:hint="default"/>
          <w:lang w:val="en-US" w:eastAsia="zh-CN"/>
        </w:rPr>
      </w:pPr>
      <w:r>
        <w:rPr>
          <w:rFonts w:hint="default"/>
          <w:lang w:val="en-US" w:eastAsia="zh-CN"/>
        </w:rPr>
        <w:t>7. 软件著作权及授权运营软件著作权评估价值的确定</w:t>
      </w:r>
    </w:p>
    <w:p>
      <w:pPr>
        <w:pStyle w:val="4"/>
        <w:rPr>
          <w:rFonts w:hint="default"/>
          <w:lang w:val="en-US" w:eastAsia="zh-CN"/>
        </w:rPr>
      </w:pPr>
      <w:r>
        <w:rPr>
          <w:rFonts w:hint="default"/>
          <w:lang w:val="en-US" w:eastAsia="zh-CN"/>
        </w:rPr>
        <w:t>根据公式计算，得到纳入本次评估范围的软件著作权的评估值为26,780,400.00元。评估值计算表如下：</w:t>
      </w:r>
    </w:p>
    <w:p>
      <w:pPr>
        <w:pStyle w:val="4"/>
        <w:rPr>
          <w:rFonts w:hint="default"/>
          <w:lang w:val="en-US" w:eastAsia="zh-CN"/>
        </w:rPr>
      </w:pPr>
    </w:p>
    <w:tbl>
      <w:tblPr>
        <w:tblStyle w:val="10"/>
        <w:tblW w:w="877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21"/>
        <w:gridCol w:w="1533"/>
        <w:gridCol w:w="907"/>
        <w:gridCol w:w="909"/>
        <w:gridCol w:w="1000"/>
        <w:gridCol w:w="1001"/>
        <w:gridCol w:w="10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 w:hRule="atLeast"/>
        </w:trPr>
        <w:tc>
          <w:tcPr>
            <w:tcW w:w="242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项目名称</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2016 年 4- 12 月</w:t>
            </w:r>
          </w:p>
        </w:tc>
        <w:tc>
          <w:tcPr>
            <w:tcW w:w="90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2017 年</w:t>
            </w:r>
          </w:p>
        </w:tc>
        <w:tc>
          <w:tcPr>
            <w:tcW w:w="9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2018 年</w:t>
            </w:r>
          </w:p>
        </w:tc>
        <w:tc>
          <w:tcPr>
            <w:tcW w:w="100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2019 年</w:t>
            </w:r>
          </w:p>
        </w:tc>
        <w:tc>
          <w:tcPr>
            <w:tcW w:w="100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2020 年</w:t>
            </w:r>
          </w:p>
        </w:tc>
        <w:tc>
          <w:tcPr>
            <w:tcW w:w="100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2021 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 w:hRule="atLeast"/>
        </w:trPr>
        <w:tc>
          <w:tcPr>
            <w:tcW w:w="242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软件著作权相关分成利润</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807.46</w:t>
            </w:r>
          </w:p>
        </w:tc>
        <w:tc>
          <w:tcPr>
            <w:tcW w:w="90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915.31</w:t>
            </w:r>
          </w:p>
        </w:tc>
        <w:tc>
          <w:tcPr>
            <w:tcW w:w="9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832.63</w:t>
            </w:r>
          </w:p>
        </w:tc>
        <w:tc>
          <w:tcPr>
            <w:tcW w:w="100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669.21</w:t>
            </w:r>
          </w:p>
        </w:tc>
        <w:tc>
          <w:tcPr>
            <w:tcW w:w="100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514.32</w:t>
            </w:r>
          </w:p>
        </w:tc>
        <w:tc>
          <w:tcPr>
            <w:tcW w:w="100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377.84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 w:hRule="atLeast"/>
        </w:trPr>
        <w:tc>
          <w:tcPr>
            <w:tcW w:w="242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折现率</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17.79%</w:t>
            </w:r>
          </w:p>
        </w:tc>
        <w:tc>
          <w:tcPr>
            <w:tcW w:w="90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17.79%</w:t>
            </w:r>
          </w:p>
        </w:tc>
        <w:tc>
          <w:tcPr>
            <w:tcW w:w="9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17.79%</w:t>
            </w:r>
          </w:p>
        </w:tc>
        <w:tc>
          <w:tcPr>
            <w:tcW w:w="100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17.79%</w:t>
            </w:r>
          </w:p>
        </w:tc>
        <w:tc>
          <w:tcPr>
            <w:tcW w:w="100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17.79%</w:t>
            </w:r>
          </w:p>
        </w:tc>
        <w:tc>
          <w:tcPr>
            <w:tcW w:w="100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17.79%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 w:hRule="atLeast"/>
        </w:trPr>
        <w:tc>
          <w:tcPr>
            <w:tcW w:w="242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折现系数</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0.8844</w:t>
            </w:r>
          </w:p>
        </w:tc>
        <w:tc>
          <w:tcPr>
            <w:tcW w:w="90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0.7509</w:t>
            </w:r>
          </w:p>
        </w:tc>
        <w:tc>
          <w:tcPr>
            <w:tcW w:w="9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0.6375</w:t>
            </w:r>
          </w:p>
        </w:tc>
        <w:tc>
          <w:tcPr>
            <w:tcW w:w="100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0.5412</w:t>
            </w:r>
          </w:p>
        </w:tc>
        <w:tc>
          <w:tcPr>
            <w:tcW w:w="100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0.4594</w:t>
            </w:r>
          </w:p>
        </w:tc>
        <w:tc>
          <w:tcPr>
            <w:tcW w:w="100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0.3901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 w:hRule="atLeast"/>
        </w:trPr>
        <w:tc>
          <w:tcPr>
            <w:tcW w:w="242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现值</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714.15</w:t>
            </w:r>
          </w:p>
        </w:tc>
        <w:tc>
          <w:tcPr>
            <w:tcW w:w="90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687.27</w:t>
            </w:r>
          </w:p>
        </w:tc>
        <w:tc>
          <w:tcPr>
            <w:tcW w:w="9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530.76</w:t>
            </w:r>
          </w:p>
        </w:tc>
        <w:tc>
          <w:tcPr>
            <w:tcW w:w="100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362.17</w:t>
            </w:r>
          </w:p>
        </w:tc>
        <w:tc>
          <w:tcPr>
            <w:tcW w:w="100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236.30</w:t>
            </w:r>
          </w:p>
        </w:tc>
        <w:tc>
          <w:tcPr>
            <w:tcW w:w="100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147.38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0" w:hRule="atLeast"/>
        </w:trPr>
        <w:tc>
          <w:tcPr>
            <w:tcW w:w="242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软件著作权评估值</w:t>
            </w:r>
          </w:p>
        </w:tc>
        <w:tc>
          <w:tcPr>
            <w:tcW w:w="1533"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r>
              <w:rPr>
                <w:rFonts w:hint="eastAsia" w:ascii="Times New Roman" w:hAnsi="Times New Roman" w:eastAsia="宋体" w:cs="Times New Roman"/>
                <w:color w:val="auto"/>
                <w:kern w:val="2"/>
                <w:sz w:val="24"/>
                <w:szCs w:val="28"/>
                <w:lang w:val="en-US" w:eastAsia="zh-CN" w:bidi="ar-SA"/>
              </w:rPr>
              <w:t>2,678.04</w:t>
            </w:r>
          </w:p>
        </w:tc>
        <w:tc>
          <w:tcPr>
            <w:tcW w:w="907"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tc>
        <w:tc>
          <w:tcPr>
            <w:tcW w:w="909"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tc>
        <w:tc>
          <w:tcPr>
            <w:tcW w:w="1000"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tc>
        <w:tc>
          <w:tcPr>
            <w:tcW w:w="1001"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tc>
        <w:tc>
          <w:tcPr>
            <w:tcW w:w="1002" w:type="dxa"/>
            <w:vAlign w:val="top"/>
          </w:tcPr>
          <w:p>
            <w:pPr>
              <w:pStyle w:val="9"/>
              <w:spacing w:before="139" w:line="222" w:lineRule="auto"/>
              <w:ind w:left="0" w:leftChars="0" w:firstLine="0" w:firstLineChars="0"/>
              <w:rPr>
                <w:rFonts w:hint="eastAsia" w:ascii="Times New Roman" w:hAnsi="Times New Roman" w:eastAsia="宋体" w:cs="Times New Roman"/>
                <w:color w:val="auto"/>
                <w:kern w:val="2"/>
                <w:sz w:val="24"/>
                <w:szCs w:val="28"/>
                <w:lang w:val="en-US" w:eastAsia="zh-CN" w:bidi="ar-SA"/>
              </w:rPr>
            </w:pPr>
          </w:p>
        </w:tc>
      </w:tr>
    </w:tbl>
    <w:p>
      <w:pPr>
        <w:pStyle w:val="9"/>
        <w:spacing w:before="139" w:line="222" w:lineRule="auto"/>
        <w:ind w:left="0" w:leftChars="0" w:firstLine="0" w:firstLineChars="0"/>
        <w:rPr>
          <w:rFonts w:hint="default" w:ascii="Times New Roman" w:hAnsi="Times New Roman" w:eastAsia="宋体" w:cs="Times New Roman"/>
          <w:color w:val="auto"/>
          <w:kern w:val="2"/>
          <w:sz w:val="24"/>
          <w:szCs w:val="28"/>
          <w:lang w:val="en-US" w:eastAsia="zh-CN" w:bidi="ar-SA"/>
        </w:rPr>
      </w:pPr>
    </w:p>
    <w:p>
      <w:pPr>
        <w:pStyle w:val="4"/>
        <w:rPr>
          <w:rFonts w:hint="default"/>
          <w:lang w:val="en-US" w:eastAsia="zh-CN"/>
        </w:rPr>
      </w:pPr>
    </w:p>
    <w:p>
      <w:pPr>
        <w:pStyle w:val="4"/>
        <w:rPr>
          <w:rFonts w:hint="default"/>
          <w:lang w:val="en-US" w:eastAsia="zh-CN"/>
        </w:rPr>
      </w:pPr>
    </w:p>
    <w:p>
      <w:pPr>
        <w:pStyle w:val="4"/>
        <w:rPr>
          <w:rFonts w:hint="default"/>
          <w:lang w:val="en-US" w:eastAsia="zh-CN"/>
        </w:rPr>
      </w:pPr>
      <w:r>
        <w:rPr>
          <w:rFonts w:hint="eastAsia"/>
          <w:lang w:val="en-US" w:eastAsia="zh-CN"/>
        </w:rPr>
        <w:t>案例二：</w:t>
      </w:r>
    </w:p>
    <w:p>
      <w:pPr>
        <w:pStyle w:val="4"/>
        <w:rPr>
          <w:rFonts w:hint="eastAsia"/>
          <w:lang w:val="en-US" w:eastAsia="zh-CN"/>
        </w:rPr>
      </w:pPr>
      <w:r>
        <w:rPr>
          <w:rFonts w:hint="eastAsia"/>
          <w:lang w:val="en-US" w:eastAsia="zh-CN"/>
        </w:rPr>
        <w:t xml:space="preserve">1、案例基本情况 </w:t>
      </w:r>
    </w:p>
    <w:p>
      <w:pPr>
        <w:pStyle w:val="4"/>
        <w:rPr>
          <w:rFonts w:hint="default"/>
          <w:lang w:val="en-US" w:eastAsia="zh-CN"/>
        </w:rPr>
      </w:pPr>
      <w:r>
        <w:rPr>
          <w:rFonts w:hint="default"/>
          <w:lang w:val="en-US" w:eastAsia="zh-CN"/>
        </w:rPr>
        <w:t xml:space="preserve">（1）企业及评估对象介绍 </w:t>
      </w:r>
    </w:p>
    <w:p>
      <w:pPr>
        <w:pStyle w:val="4"/>
        <w:rPr>
          <w:rFonts w:hint="default"/>
          <w:lang w:val="en-US" w:eastAsia="zh-CN"/>
        </w:rPr>
      </w:pPr>
      <w:r>
        <w:rPr>
          <w:rFonts w:hint="default"/>
          <w:lang w:val="en-US" w:eastAsia="zh-CN"/>
        </w:rPr>
        <w:t xml:space="preserve">兰州 Q 教育科技公司是中国电信体系内经营教育信息化的公司，公司商业模式以“互联网+教育”为核心，以教育云为依托，通过翼校通、幼学通、班班通、人人通产品的软件进行纵向产业链整合，通过直销渠道、互联网渠道等为家长、教师、学生等提供服务等。 </w:t>
      </w:r>
    </w:p>
    <w:p>
      <w:pPr>
        <w:pStyle w:val="4"/>
        <w:rPr>
          <w:rFonts w:hint="default"/>
          <w:lang w:val="en-US" w:eastAsia="zh-CN"/>
        </w:rPr>
      </w:pPr>
      <w:r>
        <w:rPr>
          <w:rFonts w:hint="default"/>
          <w:lang w:val="en-US" w:eastAsia="zh-CN"/>
        </w:rPr>
        <w:t xml:space="preserve">本案例评估对象是兰州 Q 教育科技公司在评估基准日的 8 项软件著作权价值。 </w:t>
      </w:r>
    </w:p>
    <w:p>
      <w:pPr>
        <w:pStyle w:val="4"/>
        <w:rPr>
          <w:rFonts w:hint="default"/>
          <w:lang w:val="en-US" w:eastAsia="zh-CN"/>
        </w:rPr>
      </w:pPr>
      <w:r>
        <w:rPr>
          <w:rFonts w:hint="default"/>
          <w:lang w:val="en-US" w:eastAsia="zh-CN"/>
        </w:rPr>
        <w:t xml:space="preserve">（2）评估目的 </w:t>
      </w:r>
    </w:p>
    <w:p>
      <w:pPr>
        <w:pStyle w:val="4"/>
        <w:rPr>
          <w:rFonts w:hint="default"/>
          <w:lang w:val="en-US" w:eastAsia="zh-CN"/>
        </w:rPr>
      </w:pPr>
      <w:r>
        <w:rPr>
          <w:rFonts w:hint="default"/>
          <w:lang w:val="en-US" w:eastAsia="zh-CN"/>
        </w:rPr>
        <w:t xml:space="preserve">该 8 项软件著作权为甘肃 W 信息技术公司资产跨转给的兰州 Q 教育科技公司并且现阶段一直被兰州 Q 教育科技公司使用并为公司创造价值。因进行软件著作所有权变更耗费时间长准备资料繁多，且兰州 Q 教育科技公司产品结构已做部分调整，故兰州 Q教育科技公司考虑直接重新申请软件著作权，原有软件著作权不再进行所有权变更。 </w:t>
      </w:r>
    </w:p>
    <w:p>
      <w:pPr>
        <w:pStyle w:val="4"/>
        <w:rPr>
          <w:rFonts w:hint="default"/>
          <w:lang w:val="en-US" w:eastAsia="zh-CN"/>
        </w:rPr>
      </w:pPr>
      <w:r>
        <w:rPr>
          <w:rFonts w:hint="default"/>
          <w:lang w:val="en-US" w:eastAsia="zh-CN"/>
        </w:rPr>
        <w:t xml:space="preserve">（3）评估假设前提 </w:t>
      </w:r>
    </w:p>
    <w:p>
      <w:pPr>
        <w:pStyle w:val="4"/>
        <w:rPr>
          <w:rFonts w:hint="default"/>
          <w:lang w:val="en-US" w:eastAsia="zh-CN"/>
        </w:rPr>
      </w:pPr>
      <w:r>
        <w:rPr>
          <w:rFonts w:hint="default"/>
          <w:lang w:val="en-US" w:eastAsia="zh-CN"/>
        </w:rPr>
        <w:t xml:space="preserve">假设委估的计算机软件著作权是按照有关法律、法规执行，不违反国家法律及社会公共利益，也不会侵犯他人受国家法律依法保护的权利，买卖双方的交易行为是在各自理性行事，不受任何压制前提下进行的。 </w:t>
      </w:r>
    </w:p>
    <w:p>
      <w:pPr>
        <w:pStyle w:val="4"/>
        <w:rPr>
          <w:rFonts w:hint="default"/>
          <w:lang w:val="en-US" w:eastAsia="zh-CN"/>
        </w:rPr>
      </w:pPr>
      <w:r>
        <w:rPr>
          <w:rFonts w:hint="default"/>
          <w:lang w:val="en-US" w:eastAsia="zh-CN"/>
        </w:rPr>
        <w:t xml:space="preserve">企业经营环境及经营方式与本次评估所采用收益法预测假设前提保持一致且本案例评估的无形资产在评估基准日后用途不发生变化； </w:t>
      </w:r>
    </w:p>
    <w:p>
      <w:pPr>
        <w:pStyle w:val="4"/>
        <w:rPr>
          <w:rFonts w:hint="default"/>
          <w:lang w:val="en-US" w:eastAsia="zh-CN"/>
        </w:rPr>
      </w:pPr>
      <w:r>
        <w:rPr>
          <w:rFonts w:hint="default"/>
          <w:lang w:val="en-US" w:eastAsia="zh-CN"/>
        </w:rPr>
        <w:t xml:space="preserve">假设国家和地方现行的法律、法规、社会政治和经济政策无重大变化，且国家现行的有关贷款利率税赋基准及税率等不发生重大化； </w:t>
      </w:r>
    </w:p>
    <w:p>
      <w:pPr>
        <w:pStyle w:val="4"/>
        <w:rPr>
          <w:rFonts w:hint="default"/>
          <w:lang w:val="en-US" w:eastAsia="zh-CN"/>
        </w:rPr>
      </w:pPr>
      <w:r>
        <w:rPr>
          <w:rFonts w:hint="default"/>
          <w:lang w:val="en-US" w:eastAsia="zh-CN"/>
        </w:rPr>
        <w:t xml:space="preserve">（4）评估价值类型 </w:t>
      </w:r>
    </w:p>
    <w:p>
      <w:pPr>
        <w:pStyle w:val="4"/>
        <w:rPr>
          <w:rFonts w:hint="default"/>
          <w:lang w:val="en-US" w:eastAsia="zh-CN"/>
        </w:rPr>
      </w:pPr>
      <w:r>
        <w:rPr>
          <w:rFonts w:hint="default"/>
          <w:lang w:val="en-US" w:eastAsia="zh-CN"/>
        </w:rPr>
        <w:t xml:space="preserve">一般来说，影响价值类型的主要因素有：（1）评估的特定目的，特定目的是评估业务的基础；（2）市场条件；（3）评估委托方的要求；（4）资产的功能及状态。该 8项软件著作权为甘肃 W 信息技术有限公司资产跨转给兰州 Q 教育科技公司并且现阶段一直被兰州 Q 教育科技公司使用并为公司创造价值，同时该软件著作所有权变更耗费时间长准备资料繁多，且兰州 Q 教育科技公司产品结构已做部分调整，现在重新申请软件著作权，原有软件著作权不再进行所有权变更。据兰州 Q 教育科技公司案例评估目的和实际情况，确定本次评估的价值类型为市场价值。 </w:t>
      </w:r>
    </w:p>
    <w:p>
      <w:pPr>
        <w:pStyle w:val="4"/>
        <w:rPr>
          <w:rFonts w:hint="default"/>
          <w:lang w:val="en-US" w:eastAsia="zh-CN"/>
        </w:rPr>
      </w:pPr>
      <w:r>
        <w:rPr>
          <w:rFonts w:hint="default"/>
          <w:lang w:val="en-US" w:eastAsia="zh-CN"/>
        </w:rPr>
        <w:t xml:space="preserve">（5）评估基准日 </w:t>
      </w:r>
    </w:p>
    <w:p>
      <w:pPr>
        <w:pStyle w:val="4"/>
        <w:rPr>
          <w:rFonts w:hint="default"/>
          <w:lang w:val="en-US" w:eastAsia="zh-CN"/>
        </w:rPr>
      </w:pPr>
      <w:r>
        <w:rPr>
          <w:rFonts w:hint="default"/>
          <w:lang w:val="en-US" w:eastAsia="zh-CN"/>
        </w:rPr>
        <w:t xml:space="preserve">据评估目的和双方当事人的交谈以及评估准则对资产评估基准日的要求，本案例评估基准日为 2016 年 5 月 31 日，该评估基准日能够较好的诠释评估结果和服务评估目的，评估人员参照评估基准日进行收集管理类和操作类的资料并进行评估测算等。 </w:t>
      </w:r>
    </w:p>
    <w:p>
      <w:pPr>
        <w:pStyle w:val="4"/>
        <w:rPr>
          <w:rFonts w:hint="default"/>
          <w:lang w:val="en-US" w:eastAsia="zh-CN"/>
        </w:rPr>
      </w:pPr>
      <w:r>
        <w:rPr>
          <w:rFonts w:hint="default"/>
          <w:lang w:val="en-US" w:eastAsia="zh-CN"/>
        </w:rPr>
        <w:t xml:space="preserve">此外，委托方在综合考虑被评估单位的经济规模、评估的特定行为、预计所需时间、合法合规性等因素下确定评估基准日。 </w:t>
      </w:r>
    </w:p>
    <w:p>
      <w:pPr>
        <w:pStyle w:val="4"/>
        <w:rPr>
          <w:rFonts w:hint="default"/>
          <w:lang w:val="en-US" w:eastAsia="zh-CN"/>
        </w:rPr>
      </w:pPr>
      <w:r>
        <w:rPr>
          <w:rFonts w:hint="default"/>
          <w:lang w:val="en-US" w:eastAsia="zh-CN"/>
        </w:rPr>
        <w:t xml:space="preserve">（6）评估基本程序 </w:t>
      </w:r>
    </w:p>
    <w:p>
      <w:pPr>
        <w:pStyle w:val="4"/>
        <w:rPr>
          <w:rFonts w:hint="default"/>
          <w:lang w:val="en-US" w:eastAsia="zh-CN"/>
        </w:rPr>
      </w:pPr>
      <w:r>
        <w:rPr>
          <w:rFonts w:hint="eastAsia"/>
          <w:lang w:val="en-US" w:eastAsia="zh-CN"/>
        </w:rPr>
        <w:t>第一，</w:t>
      </w:r>
      <w:r>
        <w:rPr>
          <w:rFonts w:hint="default"/>
          <w:lang w:val="en-US" w:eastAsia="zh-CN"/>
        </w:rPr>
        <w:t xml:space="preserve">在了解评估业务的基本事项的前提下签订业务约定书和编制具体的评估工作计划，包含整体项目的计划及具体的可行性方案，依据资产评估明细评估表编制，现场对资产在市场上的行情进行勘察和账实核对； </w:t>
      </w:r>
    </w:p>
    <w:p>
      <w:pPr>
        <w:pStyle w:val="4"/>
        <w:rPr>
          <w:rFonts w:hint="default"/>
          <w:lang w:val="en-US" w:eastAsia="zh-CN"/>
        </w:rPr>
      </w:pPr>
      <w:r>
        <w:rPr>
          <w:rFonts w:hint="eastAsia"/>
          <w:lang w:val="en-US" w:eastAsia="zh-CN"/>
        </w:rPr>
        <w:t>第二，</w:t>
      </w:r>
      <w:r>
        <w:rPr>
          <w:rFonts w:hint="default"/>
          <w:lang w:val="en-US" w:eastAsia="zh-CN"/>
        </w:rPr>
        <w:t xml:space="preserve">收集整理相关文件、资料，包括产权证明文件好、技术资料等 </w:t>
      </w:r>
    </w:p>
    <w:p>
      <w:pPr>
        <w:pStyle w:val="4"/>
        <w:rPr>
          <w:rFonts w:hint="default"/>
          <w:lang w:val="en-US" w:eastAsia="zh-CN"/>
        </w:rPr>
      </w:pPr>
      <w:r>
        <w:rPr>
          <w:rFonts w:hint="eastAsia"/>
          <w:lang w:val="en-US" w:eastAsia="zh-CN"/>
        </w:rPr>
        <w:t>第三，</w:t>
      </w:r>
      <w:r>
        <w:rPr>
          <w:rFonts w:hint="default"/>
          <w:lang w:val="en-US" w:eastAsia="zh-CN"/>
        </w:rPr>
        <w:t xml:space="preserve">资产评估人员根据整体项目的规划、对评估对象收集整理的资料及市场了解的情况以及价值类型和目的，选择评估方法并对评估方法中的参数进行分析和确定，综合考虑以上因素确定一个符合标准的评估结果再编制评估报告。 </w:t>
      </w:r>
    </w:p>
    <w:p>
      <w:pPr>
        <w:pStyle w:val="4"/>
        <w:rPr>
          <w:rFonts w:hint="default"/>
          <w:lang w:val="en-US" w:eastAsia="zh-CN"/>
        </w:rPr>
      </w:pPr>
    </w:p>
    <w:p>
      <w:pPr>
        <w:pStyle w:val="4"/>
        <w:rPr>
          <w:rFonts w:hint="default"/>
          <w:lang w:val="en-US" w:eastAsia="zh-CN"/>
        </w:rPr>
      </w:pPr>
      <w:r>
        <w:rPr>
          <w:rFonts w:hint="default"/>
          <w:lang w:val="en-US" w:eastAsia="zh-CN"/>
        </w:rPr>
        <w:t xml:space="preserve">（7）评估方法 </w:t>
      </w:r>
    </w:p>
    <w:p>
      <w:pPr>
        <w:pStyle w:val="4"/>
        <w:rPr>
          <w:rFonts w:hint="default"/>
          <w:lang w:val="en-US" w:eastAsia="zh-CN"/>
        </w:rPr>
      </w:pPr>
      <w:r>
        <w:rPr>
          <w:rFonts w:hint="default"/>
          <w:lang w:val="en-US" w:eastAsia="zh-CN"/>
        </w:rPr>
        <w:t xml:space="preserve">经比较，本次评估考虑到被评估企业所处行业的技术特征，纳入本次评估范围的软件著作权价值贡献具备持续经营的基础条件，软件著作权的预期收益和风险都能够在定量上进行预测，如果未来预期收益在遵循资产评估原则和取值规范，折现率考虑资金成本、经济政策及公司特有的风险系数等情况，综合法律或者企业合同申请书合理确定收益年限，其软件著作权评估价值结果能被交易市场所接受。本次软件著作权评估采用收益法进行评估。 </w:t>
      </w:r>
    </w:p>
    <w:p>
      <w:pPr>
        <w:pStyle w:val="4"/>
        <w:rPr>
          <w:rFonts w:hint="default"/>
          <w:lang w:val="en-US" w:eastAsia="zh-CN"/>
        </w:rPr>
      </w:pPr>
      <w:r>
        <w:rPr>
          <w:rFonts w:hint="default"/>
          <w:lang w:val="en-US" w:eastAsia="zh-CN"/>
        </w:rPr>
        <w:t xml:space="preserve">（8）被评估软件著作权的介绍 </w:t>
      </w:r>
    </w:p>
    <w:p>
      <w:pPr>
        <w:pStyle w:val="4"/>
        <w:rPr>
          <w:rFonts w:hint="default"/>
          <w:lang w:val="en-US" w:eastAsia="zh-CN"/>
        </w:rPr>
      </w:pPr>
      <w:r>
        <w:rPr>
          <w:rFonts w:hint="default"/>
          <w:lang w:val="en-US" w:eastAsia="zh-CN"/>
        </w:rPr>
        <w:t>截至评估基准日，兰州 Q 教育科技公司申报的账面未记录的无形资产为 8 项计算机软件著作权，该 8 项软件著作权登记证书有效，著作权人为甘肃 W 信息技术有限责任公司。该 8 项软件著作权为甘肃 W 信息技术有限公司资产跨转给兰州 Q 教育科技公司并且现阶段一直被兰州 Q 教育科技公司使用并为公司创造价值。因进行软件著作所有权变更耗费时间长准备资料繁多，且兰州 Q 教育科技公司产品结构已做部分调整，故考虑直接重新申请软件著作权，本次委估计算机软件著作权明细详见</w:t>
      </w:r>
      <w:r>
        <w:rPr>
          <w:rFonts w:hint="eastAsia"/>
          <w:lang w:val="en-US" w:eastAsia="zh-CN"/>
        </w:rPr>
        <w:t>下表</w:t>
      </w:r>
      <w:r>
        <w:rPr>
          <w:rFonts w:hint="default"/>
          <w:lang w:val="en-US" w:eastAsia="zh-CN"/>
        </w:rPr>
        <w:t>。</w:t>
      </w:r>
    </w:p>
    <w:p>
      <w:pPr>
        <w:pStyle w:val="4"/>
        <w:ind w:left="0" w:leftChars="0" w:firstLine="0" w:firstLineChars="0"/>
        <w:jc w:val="center"/>
        <w:rPr>
          <w:rFonts w:hint="default"/>
          <w:lang w:val="en-US" w:eastAsia="zh-CN"/>
        </w:rPr>
      </w:pPr>
      <w:r>
        <w:rPr>
          <w:rFonts w:hint="default"/>
          <w:lang w:val="en-US" w:eastAsia="zh-CN"/>
        </w:rPr>
        <w:t>计算机软件著作权明细</w:t>
      </w:r>
      <w:r>
        <w:rPr>
          <w:rFonts w:hint="eastAsia"/>
          <w:lang w:val="en-US" w:eastAsia="zh-CN"/>
        </w:rPr>
        <w:t>表</w:t>
      </w:r>
    </w:p>
    <w:p>
      <w:pPr>
        <w:pStyle w:val="4"/>
        <w:rPr>
          <w:rFonts w:hint="default"/>
          <w:lang w:val="en-US" w:eastAsia="zh-CN"/>
        </w:rPr>
      </w:pPr>
      <w:r>
        <w:drawing>
          <wp:inline distT="0" distB="0" distL="114300" distR="114300">
            <wp:extent cx="5269865" cy="3449955"/>
            <wp:effectExtent l="0" t="0" r="6985" b="762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6"/>
                    <a:stretch>
                      <a:fillRect/>
                    </a:stretch>
                  </pic:blipFill>
                  <pic:spPr>
                    <a:xfrm>
                      <a:off x="0" y="0"/>
                      <a:ext cx="5269865" cy="3449955"/>
                    </a:xfrm>
                    <a:prstGeom prst="rect">
                      <a:avLst/>
                    </a:prstGeom>
                    <a:noFill/>
                    <a:ln>
                      <a:noFill/>
                    </a:ln>
                  </pic:spPr>
                </pic:pic>
              </a:graphicData>
            </a:graphic>
          </wp:inline>
        </w:drawing>
      </w:r>
    </w:p>
    <w:p>
      <w:pPr>
        <w:pStyle w:val="4"/>
        <w:rPr>
          <w:rFonts w:hint="default"/>
          <w:lang w:val="en-US" w:eastAsia="zh-CN"/>
        </w:rPr>
      </w:pPr>
    </w:p>
    <w:p>
      <w:pPr>
        <w:pStyle w:val="4"/>
        <w:ind w:left="0" w:leftChars="0" w:firstLine="0" w:firstLineChars="0"/>
        <w:jc w:val="center"/>
      </w:pPr>
      <w:r>
        <w:rPr>
          <w:rFonts w:hint="eastAsia"/>
        </w:rPr>
        <w:t>教育软件 APP 具体情况</w:t>
      </w:r>
      <w:r>
        <w:rPr>
          <w:rFonts w:hint="eastAsia"/>
          <w:lang w:val="en-US" w:eastAsia="zh-CN"/>
        </w:rPr>
        <w:t>表</w:t>
      </w:r>
    </w:p>
    <w:p>
      <w:pPr>
        <w:pStyle w:val="4"/>
        <w:rPr>
          <w:rFonts w:hint="default"/>
          <w:lang w:val="en-US" w:eastAsia="zh-CN"/>
        </w:rPr>
      </w:pPr>
      <w:r>
        <w:drawing>
          <wp:inline distT="0" distB="0" distL="114300" distR="114300">
            <wp:extent cx="5270500" cy="4992370"/>
            <wp:effectExtent l="0" t="0" r="6350" b="8255"/>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7"/>
                    <a:stretch>
                      <a:fillRect/>
                    </a:stretch>
                  </pic:blipFill>
                  <pic:spPr>
                    <a:xfrm>
                      <a:off x="0" y="0"/>
                      <a:ext cx="5270500" cy="4992370"/>
                    </a:xfrm>
                    <a:prstGeom prst="rect">
                      <a:avLst/>
                    </a:prstGeom>
                    <a:noFill/>
                    <a:ln>
                      <a:noFill/>
                    </a:ln>
                  </pic:spPr>
                </pic:pic>
              </a:graphicData>
            </a:graphic>
          </wp:inline>
        </w:drawing>
      </w:r>
    </w:p>
    <w:p>
      <w:pPr>
        <w:pStyle w:val="4"/>
        <w:rPr>
          <w:rFonts w:hint="default"/>
          <w:lang w:val="en-US" w:eastAsia="zh-CN"/>
        </w:rPr>
      </w:pPr>
    </w:p>
    <w:p>
      <w:pPr>
        <w:pStyle w:val="4"/>
        <w:rPr>
          <w:rFonts w:hint="eastAsia"/>
          <w:lang w:val="en-US" w:eastAsia="zh-CN"/>
        </w:rPr>
      </w:pPr>
      <w:r>
        <w:rPr>
          <w:rFonts w:hint="eastAsia"/>
          <w:lang w:val="en-US" w:eastAsia="zh-CN"/>
        </w:rPr>
        <w:t xml:space="preserve">2、主要参数的分析 </w:t>
      </w:r>
    </w:p>
    <w:p>
      <w:pPr>
        <w:pStyle w:val="4"/>
        <w:rPr>
          <w:rFonts w:hint="eastAsia"/>
          <w:lang w:val="en-US" w:eastAsia="zh-CN"/>
        </w:rPr>
      </w:pPr>
      <w:r>
        <w:rPr>
          <w:rFonts w:hint="eastAsia"/>
          <w:lang w:val="en-US" w:eastAsia="zh-CN"/>
        </w:rPr>
        <w:t xml:space="preserve">委托评估对象和评估范围是甘肃 W 信息技术公司资产跨转给兰州 Q 教育科技公司并且现阶段一直被兰州 Q 教育科技公司使用并为公司创造价值的软件著作权，参与评估的软件著作权为 8 项，委估产品不含税的预期销售利润为 18560 万元，折现率为 14.06%，收益年限为 10 年。 </w:t>
      </w:r>
    </w:p>
    <w:p>
      <w:pPr>
        <w:pStyle w:val="4"/>
        <w:rPr>
          <w:rFonts w:hint="default"/>
          <w:lang w:val="en-US" w:eastAsia="zh-CN"/>
        </w:rPr>
      </w:pPr>
      <w:r>
        <w:rPr>
          <w:rFonts w:hint="default"/>
          <w:lang w:val="en-US" w:eastAsia="zh-CN"/>
        </w:rPr>
        <w:t xml:space="preserve">（1）企业经营状况及未来市场规模分析 </w:t>
      </w:r>
    </w:p>
    <w:p>
      <w:pPr>
        <w:pStyle w:val="4"/>
        <w:rPr>
          <w:rFonts w:hint="default"/>
          <w:lang w:val="en-US" w:eastAsia="zh-CN"/>
        </w:rPr>
      </w:pPr>
      <w:r>
        <w:rPr>
          <w:rFonts w:hint="default"/>
          <w:lang w:val="en-US" w:eastAsia="zh-CN"/>
        </w:rPr>
        <w:t xml:space="preserve">评估人员充分考虑评估对象的过去竞争优势与经营风险等综合因素的基础上，基于公司自身特点和现状，并结合宏观与行业市场分析，并向相关人员进行访谈咨询，对委估产品销售利润的未来发展情况预测如下表所示： </w:t>
      </w:r>
    </w:p>
    <w:p>
      <w:pPr>
        <w:pStyle w:val="4"/>
        <w:rPr>
          <w:rFonts w:hint="default"/>
          <w:lang w:val="en-US" w:eastAsia="zh-CN"/>
        </w:rPr>
      </w:pPr>
      <w:r>
        <w:rPr>
          <w:rFonts w:hint="default"/>
          <w:lang w:val="en-US" w:eastAsia="zh-CN"/>
        </w:rPr>
        <w:t xml:space="preserve">由于我国互联网时代的发展且网络使用者低龄化特征，我国教育软件市场的规模一直在不断扩大，这为软件著作权市场的发展提供了稳定的基础。为了满足不同用户的需求，互联网与教育相结合使其产品形式更加丰富多彩，除此之外，资本市场也对在线教育的发展给与了投资和支持，为软件著作权在线教育的发展保驾护航。 </w:t>
      </w:r>
    </w:p>
    <w:p>
      <w:pPr>
        <w:pStyle w:val="4"/>
        <w:rPr>
          <w:rFonts w:hint="default"/>
          <w:lang w:val="en-US" w:eastAsia="zh-CN"/>
        </w:rPr>
      </w:pPr>
      <w:r>
        <w:rPr>
          <w:rFonts w:hint="default"/>
          <w:lang w:val="en-US" w:eastAsia="zh-CN"/>
        </w:rPr>
        <w:t>综上分析，在线 APP 教育这一新兴行业与互联网的联系非常紧密，大规模的互联网用户是教育软件著作权行业兴起的前提条件。随着软件教育产品行业的发展，软件使用规模的不断扩大，在线教育用户网络学习的用户规模近几年也持续增长</w:t>
      </w:r>
    </w:p>
    <w:p>
      <w:pPr>
        <w:pStyle w:val="4"/>
        <w:rPr>
          <w:rFonts w:hint="default"/>
          <w:lang w:val="en-US" w:eastAsia="zh-CN"/>
        </w:rPr>
      </w:pPr>
      <w:r>
        <w:rPr>
          <w:rFonts w:hint="default"/>
          <w:lang w:val="en-US" w:eastAsia="zh-CN"/>
        </w:rPr>
        <w:t xml:space="preserve">（2）折现率 </w:t>
      </w:r>
    </w:p>
    <w:p>
      <w:pPr>
        <w:pStyle w:val="4"/>
        <w:rPr>
          <w:rFonts w:hint="default"/>
          <w:lang w:val="en-US" w:eastAsia="zh-CN"/>
        </w:rPr>
      </w:pPr>
      <w:r>
        <w:rPr>
          <w:rFonts w:hint="default"/>
          <w:lang w:val="en-US" w:eastAsia="zh-CN"/>
        </w:rPr>
        <w:t>本次评估采用股权资本成本模型（CAPM）确定折现率 r，需要强调的是软件著作权主体公司特有风险系数对折现率的调整。</w:t>
      </w:r>
    </w:p>
    <w:p>
      <w:pPr>
        <w:pStyle w:val="4"/>
        <w:rPr>
          <w:rFonts w:hint="default"/>
          <w:lang w:val="en-US" w:eastAsia="zh-CN"/>
        </w:rPr>
      </w:pPr>
      <w:r>
        <w:drawing>
          <wp:inline distT="0" distB="0" distL="114300" distR="114300">
            <wp:extent cx="1738630" cy="281305"/>
            <wp:effectExtent l="0" t="0" r="4445" b="4445"/>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8"/>
                    <a:stretch>
                      <a:fillRect/>
                    </a:stretch>
                  </pic:blipFill>
                  <pic:spPr>
                    <a:xfrm>
                      <a:off x="0" y="0"/>
                      <a:ext cx="1738630" cy="281305"/>
                    </a:xfrm>
                    <a:prstGeom prst="rect">
                      <a:avLst/>
                    </a:prstGeom>
                    <a:noFill/>
                    <a:ln>
                      <a:noFill/>
                    </a:ln>
                  </pic:spPr>
                </pic:pic>
              </a:graphicData>
            </a:graphic>
          </wp:inline>
        </w:drawing>
      </w:r>
    </w:p>
    <w:p>
      <w:pPr>
        <w:pStyle w:val="4"/>
        <w:rPr>
          <w:rFonts w:hint="default"/>
          <w:lang w:val="en-US" w:eastAsia="zh-CN"/>
        </w:rPr>
      </w:pPr>
      <w:r>
        <w:rPr>
          <w:rFonts w:hint="default"/>
          <w:lang w:val="en-US" w:eastAsia="zh-CN"/>
        </w:rPr>
        <w:t xml:space="preserve">无风险利率 rf：无风险利率是对无信用风险和市场风险的一种理想的投资，可以参照国家长期国债利率水平以及银行存款的利率来确定无风险收益率 rf的近似值。 </w:t>
      </w:r>
    </w:p>
    <w:p>
      <w:pPr>
        <w:pStyle w:val="4"/>
        <w:rPr>
          <w:rFonts w:hint="default"/>
          <w:lang w:val="en-US" w:eastAsia="zh-CN"/>
        </w:rPr>
      </w:pPr>
      <w:r>
        <w:rPr>
          <w:rFonts w:hint="default"/>
          <w:lang w:val="en-US" w:eastAsia="zh-CN"/>
        </w:rPr>
        <w:t xml:space="preserve">市场平均期望报酬率 rm：市场期望报酬率也是预期报酬率，表示在一定的风险条件下期望获得的预期收益率的平均化水平，通常市场期望报酬率不能直接用来衡量风险，股票指数的平均收益率可以反映整体的市场变化幅度，反映市场期望的平均报酬率。该软件著作权价值评估中可以考虑 1992 年 5 月 21 日全面放开股价、实行自由竞价交易和2016 年 12 月 31 日期间的平均收益率的上证综合指数，进而确定出市场期望报酬率的近似值。 </w:t>
      </w:r>
    </w:p>
    <w:p>
      <w:pPr>
        <w:pStyle w:val="4"/>
        <w:rPr>
          <w:rFonts w:hint="default"/>
          <w:lang w:val="en-US" w:eastAsia="zh-CN"/>
        </w:rPr>
      </w:pPr>
      <w:r>
        <w:rPr>
          <w:rFonts w:hint="eastAsia"/>
          <w:lang w:val="en-US" w:eastAsia="zh-CN"/>
        </w:rPr>
        <w:t>β</w:t>
      </w:r>
      <w:r>
        <w:rPr>
          <w:rFonts w:hint="default"/>
          <w:lang w:val="en-US" w:eastAsia="zh-CN"/>
        </w:rPr>
        <w:t xml:space="preserve">值：wind 资讯中的 14 家可比电子及通信设备制造业的上市公司的 2016 年 05 月31 日前连续 150 周的 beta 值和资产 beta 值。 </w:t>
      </w:r>
    </w:p>
    <w:p>
      <w:pPr>
        <w:pStyle w:val="4"/>
        <w:rPr>
          <w:rFonts w:hint="default"/>
          <w:lang w:val="en-US" w:eastAsia="zh-CN"/>
        </w:rPr>
      </w:pPr>
      <w:r>
        <w:rPr>
          <w:rFonts w:hint="default"/>
          <w:lang w:val="en-US" w:eastAsia="zh-CN"/>
        </w:rPr>
        <w:t xml:space="preserve">公司特有风险系数：考虑软件著作权主体的主营业务收入以及融资条件、财务风险、经营风险、资本流动性等方面可能产生的特种风险，主体公司的主营业务收入水平会对预期收益额产生影响，同时，主体公司的经营范围和资金流动性也会受到融资规模的大小的影响，财务风险和经营风险的存在也会增加公司特有风险的可能度等，所以在软件著作权价值评估的折现率确定时，公司特有风险系数不容小觑。 </w:t>
      </w:r>
    </w:p>
    <w:p>
      <w:pPr>
        <w:pStyle w:val="4"/>
        <w:rPr>
          <w:rFonts w:hint="default"/>
          <w:lang w:val="en-US" w:eastAsia="zh-CN"/>
        </w:rPr>
      </w:pPr>
      <w:r>
        <w:rPr>
          <w:rFonts w:hint="default"/>
          <w:lang w:val="en-US" w:eastAsia="zh-CN"/>
        </w:rPr>
        <w:t xml:space="preserve">（3）收益年限 </w:t>
      </w:r>
    </w:p>
    <w:p>
      <w:pPr>
        <w:pStyle w:val="4"/>
        <w:rPr>
          <w:rFonts w:hint="default"/>
          <w:lang w:val="en-US" w:eastAsia="zh-CN"/>
        </w:rPr>
      </w:pPr>
      <w:r>
        <w:rPr>
          <w:rFonts w:hint="default"/>
          <w:lang w:val="en-US" w:eastAsia="zh-CN"/>
        </w:rPr>
        <w:t>依据被评估对象的具体情况和资料分析，按照法律保护期限和实际使用期限孰短的原则来确定评估收益期限。本次委估的计算机软件属于在线教育领域内的用户软件，需要对该计算机软件使用可靠性方面进行民意调查和专业估算，并且软件的使用寿命要比一般的领域的软件寿命相对使用期限长，被评估对象需要基于谨慎性原则，通过与委托方的多次沟通，进行判定软件著作权的收益期限。</w:t>
      </w:r>
    </w:p>
    <w:p>
      <w:pPr>
        <w:pStyle w:val="4"/>
        <w:rPr>
          <w:rFonts w:hint="default"/>
          <w:lang w:val="en-US" w:eastAsia="zh-CN"/>
        </w:rPr>
      </w:pPr>
    </w:p>
    <w:p>
      <w:pPr>
        <w:pStyle w:val="4"/>
        <w:rPr>
          <w:rFonts w:hint="default"/>
          <w:lang w:val="en-US" w:eastAsia="zh-CN"/>
        </w:rPr>
      </w:pPr>
      <w:r>
        <w:rPr>
          <w:rFonts w:hint="eastAsia"/>
          <w:lang w:val="en-US" w:eastAsia="zh-CN"/>
        </w:rPr>
        <w:t>3、预期收益分成额的确定</w:t>
      </w:r>
    </w:p>
    <w:p>
      <w:pPr>
        <w:pStyle w:val="4"/>
        <w:rPr>
          <w:rFonts w:hint="default"/>
          <w:lang w:val="en-US" w:eastAsia="zh-CN"/>
        </w:rPr>
      </w:pPr>
      <w:r>
        <w:rPr>
          <w:rFonts w:hint="default"/>
          <w:lang w:val="en-US" w:eastAsia="zh-CN"/>
        </w:rPr>
        <w:t xml:space="preserve">（1）构建软件著作权资产利润分成率综合评价指标 </w:t>
      </w:r>
    </w:p>
    <w:p>
      <w:pPr>
        <w:pStyle w:val="4"/>
        <w:rPr>
          <w:rFonts w:hint="default"/>
          <w:lang w:val="en-US" w:eastAsia="zh-CN"/>
        </w:rPr>
      </w:pPr>
      <w:r>
        <w:rPr>
          <w:rFonts w:hint="default"/>
          <w:lang w:val="en-US" w:eastAsia="zh-CN"/>
        </w:rPr>
        <w:t xml:space="preserve">影响软件著作权的价值高低的利润分成率综合评价指标体系主要受准则层的技术因素、经济因素、法律因素的影响。一般认为，影响软件著作权的技术因素有技术所属领域水平、应用范围、替代技术、创新性、成熟度等。影响软件著作权的经济因素有经济获利能力、市场供求关系和类似资产交易价格。影响软件著作权的其他因素有法律状态、权属保护期限等。 </w:t>
      </w:r>
    </w:p>
    <w:p>
      <w:pPr>
        <w:pStyle w:val="4"/>
        <w:rPr>
          <w:rFonts w:hint="default"/>
          <w:lang w:val="en-US" w:eastAsia="zh-CN"/>
        </w:rPr>
      </w:pPr>
      <w:r>
        <w:rPr>
          <w:rFonts w:hint="default"/>
          <w:lang w:val="en-US" w:eastAsia="zh-CN"/>
        </w:rPr>
        <w:t>针对以上主要因素，按照其内在结构和因果联系，软件著作权利润分成率综合评价指标如表 所示。</w:t>
      </w:r>
    </w:p>
    <w:p>
      <w:pPr>
        <w:pStyle w:val="4"/>
        <w:ind w:left="0" w:leftChars="0" w:firstLine="0" w:firstLineChars="0"/>
        <w:jc w:val="center"/>
        <w:rPr>
          <w:rFonts w:hint="default"/>
          <w:lang w:val="en-US" w:eastAsia="zh-CN"/>
        </w:rPr>
      </w:pPr>
      <w:r>
        <w:rPr>
          <w:rFonts w:hint="default"/>
          <w:lang w:val="en-US" w:eastAsia="zh-CN"/>
        </w:rPr>
        <w:t>综合评价指标体系表</w:t>
      </w:r>
    </w:p>
    <w:p>
      <w:pPr>
        <w:pStyle w:val="4"/>
        <w:rPr>
          <w:rFonts w:hint="default"/>
          <w:lang w:val="en-US" w:eastAsia="zh-CN"/>
        </w:rPr>
      </w:pPr>
      <w:r>
        <w:drawing>
          <wp:inline distT="0" distB="0" distL="114300" distR="114300">
            <wp:extent cx="4907280" cy="3500755"/>
            <wp:effectExtent l="0" t="0" r="7620" b="444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9"/>
                    <a:stretch>
                      <a:fillRect/>
                    </a:stretch>
                  </pic:blipFill>
                  <pic:spPr>
                    <a:xfrm>
                      <a:off x="0" y="0"/>
                      <a:ext cx="4907280" cy="3500755"/>
                    </a:xfrm>
                    <a:prstGeom prst="rect">
                      <a:avLst/>
                    </a:prstGeom>
                    <a:noFill/>
                    <a:ln>
                      <a:noFill/>
                    </a:ln>
                  </pic:spPr>
                </pic:pic>
              </a:graphicData>
            </a:graphic>
          </wp:inline>
        </w:drawing>
      </w:r>
    </w:p>
    <w:p>
      <w:pPr>
        <w:pStyle w:val="4"/>
        <w:ind w:left="0" w:leftChars="0" w:firstLine="0" w:firstLineChars="0"/>
        <w:jc w:val="center"/>
        <w:rPr>
          <w:rFonts w:hint="default"/>
          <w:lang w:val="en-US" w:eastAsia="zh-CN"/>
        </w:rPr>
      </w:pPr>
    </w:p>
    <w:p>
      <w:pPr>
        <w:pStyle w:val="4"/>
        <w:ind w:left="0" w:leftChars="0" w:firstLine="0" w:firstLineChars="0"/>
        <w:jc w:val="center"/>
        <w:rPr>
          <w:rFonts w:hint="default"/>
          <w:lang w:val="en-US" w:eastAsia="zh-CN"/>
        </w:rPr>
      </w:pPr>
      <w:r>
        <w:rPr>
          <w:rFonts w:hint="default"/>
          <w:lang w:val="en-US" w:eastAsia="zh-CN"/>
        </w:rPr>
        <w:t>软件著作权利润分成率具体评价指标分析</w:t>
      </w:r>
      <w:r>
        <w:rPr>
          <w:rFonts w:hint="eastAsia"/>
          <w:lang w:val="en-US" w:eastAsia="zh-CN"/>
        </w:rPr>
        <w:t>表</w:t>
      </w:r>
      <w:r>
        <w:drawing>
          <wp:inline distT="0" distB="0" distL="114300" distR="114300">
            <wp:extent cx="4914265" cy="6537325"/>
            <wp:effectExtent l="0" t="0" r="635" b="635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20"/>
                    <a:stretch>
                      <a:fillRect/>
                    </a:stretch>
                  </pic:blipFill>
                  <pic:spPr>
                    <a:xfrm>
                      <a:off x="0" y="0"/>
                      <a:ext cx="4914265" cy="6537325"/>
                    </a:xfrm>
                    <a:prstGeom prst="rect">
                      <a:avLst/>
                    </a:prstGeom>
                    <a:noFill/>
                    <a:ln>
                      <a:noFill/>
                    </a:ln>
                  </pic:spPr>
                </pic:pic>
              </a:graphicData>
            </a:graphic>
          </wp:inline>
        </w:drawing>
      </w:r>
    </w:p>
    <w:p>
      <w:pPr>
        <w:pStyle w:val="4"/>
        <w:rPr>
          <w:rFonts w:hint="default"/>
          <w:lang w:val="en-US" w:eastAsia="zh-CN"/>
        </w:rPr>
      </w:pPr>
    </w:p>
    <w:p>
      <w:pPr>
        <w:pStyle w:val="4"/>
        <w:rPr>
          <w:rFonts w:hint="default"/>
          <w:lang w:val="en-US" w:eastAsia="zh-CN"/>
        </w:rPr>
      </w:pPr>
      <w:r>
        <w:rPr>
          <w:rFonts w:hint="default"/>
          <w:lang w:val="en-US" w:eastAsia="zh-CN"/>
        </w:rPr>
        <w:t xml:space="preserve">被评估对象软件著作权综合评价指标分为目标层 A，准则层 B 包括经济因素、技术因素和法律因素，技术水平、先进度、技术防护力、替代技术、创新度、成熟度、应用范围、供求关系、著作权法律状态等属于利润分成率综合评价指标体系的指标层 C。 </w:t>
      </w:r>
    </w:p>
    <w:p>
      <w:pPr>
        <w:pStyle w:val="4"/>
        <w:rPr>
          <w:rFonts w:hint="default"/>
          <w:lang w:val="en-US" w:eastAsia="zh-CN"/>
        </w:rPr>
      </w:pPr>
      <w:r>
        <w:rPr>
          <w:rFonts w:hint="default"/>
          <w:lang w:val="en-US" w:eastAsia="zh-CN"/>
        </w:rPr>
        <w:t xml:space="preserve">（2）指标权重的确定以及利润分成率的集值统计处理 </w:t>
      </w:r>
    </w:p>
    <w:p>
      <w:pPr>
        <w:pStyle w:val="4"/>
        <w:rPr>
          <w:rFonts w:hint="default"/>
          <w:lang w:val="en-US" w:eastAsia="zh-CN"/>
        </w:rPr>
      </w:pPr>
      <w:r>
        <w:rPr>
          <w:rFonts w:hint="default"/>
          <w:lang w:val="en-US" w:eastAsia="zh-CN"/>
        </w:rPr>
        <w:t xml:space="preserve">评估人员综合相关评估专家的意见和职业判断，按照技术、经济、法律因素的重要性构建指标权重的专家评价体系和对被评估软件著作权资产利润分成率高低程度的定量判定，鉴于软件著作权评估专业性较强、利润分成率的各项影响因素具有模糊性的特点，应借助相关的评估专家进行职业判断，进一步利用综合指标评价法对不同专家的评价结果进行综合分析，将定性与定量相结合，实现经验判断的程序化和量化。从理论上说此方法是可行的，但是该方法无法衡量在专家参与的情况下准确调整利润分成率的问题，然而集值统计这一数学定量方法在某种程度上解决了模糊统计存在的局限。 </w:t>
      </w:r>
    </w:p>
    <w:p>
      <w:pPr>
        <w:pStyle w:val="4"/>
        <w:rPr>
          <w:rFonts w:hint="default"/>
          <w:lang w:val="en-US" w:eastAsia="zh-CN"/>
        </w:rPr>
      </w:pPr>
      <w:r>
        <w:rPr>
          <w:rFonts w:hint="default"/>
          <w:lang w:val="en-US" w:eastAsia="zh-CN"/>
        </w:rPr>
        <w:t>集值统计综合了经典统计和模糊统计两种应用方法。经典统计在具体实验中能够得到相对应空间的确定点，然而实验中得到的集值统计是一个模糊子集。考虑其评价对象的模糊、多变的区间，根据数理统计的方法对指标进行定量评价，也就是利用集值统计的原理减少专家判断中的随机误差和主观判断。在评价软件著作权的利润分成率的大小时，由于客观因素的多变和不稳定，主观因素的扩张，导致利润分成率大小的因素判断尚未精确，此时，集值统计理论的应用得到体现，专家在对软件著作权利润分成率指标进行评价时，先对软件著作权利润分成率的高低程度划定一个区间值，记为</w:t>
      </w:r>
      <w:r>
        <w:drawing>
          <wp:inline distT="0" distB="0" distL="114300" distR="114300">
            <wp:extent cx="352425" cy="238125"/>
            <wp:effectExtent l="0" t="0" r="0" b="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21"/>
                    <a:stretch>
                      <a:fillRect/>
                    </a:stretch>
                  </pic:blipFill>
                  <pic:spPr>
                    <a:xfrm>
                      <a:off x="0" y="0"/>
                      <a:ext cx="352425" cy="238125"/>
                    </a:xfrm>
                    <a:prstGeom prst="rect">
                      <a:avLst/>
                    </a:prstGeom>
                    <a:noFill/>
                    <a:ln>
                      <a:noFill/>
                    </a:ln>
                  </pic:spPr>
                </pic:pic>
              </a:graphicData>
            </a:graphic>
          </wp:inline>
        </w:drawing>
      </w:r>
      <w:r>
        <w:rPr>
          <w:rFonts w:hint="default"/>
          <w:lang w:val="en-US" w:eastAsia="zh-CN"/>
        </w:rPr>
        <w:t xml:space="preserve"> ，其中k代表的是专家号，区间值中较大的数值</w:t>
      </w:r>
      <w:r>
        <w:drawing>
          <wp:inline distT="0" distB="0" distL="114300" distR="114300">
            <wp:extent cx="219075" cy="180975"/>
            <wp:effectExtent l="0" t="0" r="0" b="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22"/>
                    <a:stretch>
                      <a:fillRect/>
                    </a:stretch>
                  </pic:blipFill>
                  <pic:spPr>
                    <a:xfrm>
                      <a:off x="0" y="0"/>
                      <a:ext cx="219075" cy="180975"/>
                    </a:xfrm>
                    <a:prstGeom prst="rect">
                      <a:avLst/>
                    </a:prstGeom>
                    <a:noFill/>
                    <a:ln>
                      <a:noFill/>
                    </a:ln>
                  </pic:spPr>
                </pic:pic>
              </a:graphicData>
            </a:graphic>
          </wp:inline>
        </w:drawing>
      </w:r>
      <w:r>
        <w:rPr>
          <w:rFonts w:hint="default"/>
          <w:lang w:val="en-US" w:eastAsia="zh-CN"/>
        </w:rPr>
        <w:t>表示较高指标评价值，区间值中较小的数值</w:t>
      </w:r>
      <w:r>
        <w:drawing>
          <wp:inline distT="0" distB="0" distL="114300" distR="114300">
            <wp:extent cx="233680" cy="190500"/>
            <wp:effectExtent l="0" t="0" r="4445"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23"/>
                    <a:stretch>
                      <a:fillRect/>
                    </a:stretch>
                  </pic:blipFill>
                  <pic:spPr>
                    <a:xfrm>
                      <a:off x="0" y="0"/>
                      <a:ext cx="233680" cy="190500"/>
                    </a:xfrm>
                    <a:prstGeom prst="rect">
                      <a:avLst/>
                    </a:prstGeom>
                    <a:noFill/>
                    <a:ln>
                      <a:noFill/>
                    </a:ln>
                  </pic:spPr>
                </pic:pic>
              </a:graphicData>
            </a:graphic>
          </wp:inline>
        </w:drawing>
      </w:r>
      <w:r>
        <w:rPr>
          <w:rFonts w:hint="default"/>
          <w:lang w:val="en-US" w:eastAsia="zh-CN"/>
        </w:rPr>
        <w:t>表示较低指标评价值，其中</w:t>
      </w:r>
      <w:r>
        <w:drawing>
          <wp:inline distT="0" distB="0" distL="114300" distR="114300">
            <wp:extent cx="495300" cy="171450"/>
            <wp:effectExtent l="0" t="0" r="0" b="0"/>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24"/>
                    <a:stretch>
                      <a:fillRect/>
                    </a:stretch>
                  </pic:blipFill>
                  <pic:spPr>
                    <a:xfrm>
                      <a:off x="0" y="0"/>
                      <a:ext cx="495300" cy="171450"/>
                    </a:xfrm>
                    <a:prstGeom prst="rect">
                      <a:avLst/>
                    </a:prstGeom>
                    <a:noFill/>
                    <a:ln>
                      <a:noFill/>
                    </a:ln>
                  </pic:spPr>
                </pic:pic>
              </a:graphicData>
            </a:graphic>
          </wp:inline>
        </w:drawing>
      </w:r>
      <w:r>
        <w:rPr>
          <w:rFonts w:hint="default"/>
          <w:lang w:val="en-US" w:eastAsia="zh-CN"/>
        </w:rPr>
        <w:t>。集值统计序列就是由判断区间值组成，n个专家就是n个判断区间值组成的一个集值统计序列：</w:t>
      </w:r>
      <w:r>
        <w:drawing>
          <wp:inline distT="0" distB="0" distL="114300" distR="114300">
            <wp:extent cx="1247775" cy="281305"/>
            <wp:effectExtent l="0" t="0" r="0" b="4445"/>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pic:cNvPicPr>
                      <a:picLocks noChangeAspect="1"/>
                    </pic:cNvPicPr>
                  </pic:nvPicPr>
                  <pic:blipFill>
                    <a:blip r:embed="rId25"/>
                    <a:stretch>
                      <a:fillRect/>
                    </a:stretch>
                  </pic:blipFill>
                  <pic:spPr>
                    <a:xfrm>
                      <a:off x="0" y="0"/>
                      <a:ext cx="1247775" cy="281305"/>
                    </a:xfrm>
                    <a:prstGeom prst="rect">
                      <a:avLst/>
                    </a:prstGeom>
                    <a:noFill/>
                    <a:ln>
                      <a:noFill/>
                    </a:ln>
                  </pic:spPr>
                </pic:pic>
              </a:graphicData>
            </a:graphic>
          </wp:inline>
        </w:drawing>
      </w:r>
      <w:r>
        <w:drawing>
          <wp:inline distT="0" distB="0" distL="114300" distR="114300">
            <wp:extent cx="400050" cy="233680"/>
            <wp:effectExtent l="0" t="0" r="0" b="4445"/>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
                    <pic:cNvPicPr>
                      <a:picLocks noChangeAspect="1"/>
                    </pic:cNvPicPr>
                  </pic:nvPicPr>
                  <pic:blipFill>
                    <a:blip r:embed="rId26"/>
                    <a:stretch>
                      <a:fillRect/>
                    </a:stretch>
                  </pic:blipFill>
                  <pic:spPr>
                    <a:xfrm>
                      <a:off x="0" y="0"/>
                      <a:ext cx="400050" cy="233680"/>
                    </a:xfrm>
                    <a:prstGeom prst="rect">
                      <a:avLst/>
                    </a:prstGeom>
                    <a:noFill/>
                    <a:ln>
                      <a:noFill/>
                    </a:ln>
                  </pic:spPr>
                </pic:pic>
              </a:graphicData>
            </a:graphic>
          </wp:inline>
        </w:drawing>
      </w:r>
      <w:r>
        <w:rPr>
          <w:rFonts w:hint="default"/>
          <w:lang w:val="en-US" w:eastAsia="zh-CN"/>
        </w:rPr>
        <w:t>。指标评价的计算公式</w:t>
      </w:r>
    </w:p>
    <w:p>
      <w:pPr>
        <w:pStyle w:val="4"/>
        <w:rPr>
          <w:rFonts w:hint="default"/>
          <w:lang w:val="en-US" w:eastAsia="zh-CN"/>
        </w:rPr>
      </w:pPr>
      <w:r>
        <w:drawing>
          <wp:inline distT="0" distB="0" distL="114300" distR="114300">
            <wp:extent cx="2333625" cy="457200"/>
            <wp:effectExtent l="0" t="0" r="0" b="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pic:cNvPicPr>
                      <a:picLocks noChangeAspect="1"/>
                    </pic:cNvPicPr>
                  </pic:nvPicPr>
                  <pic:blipFill>
                    <a:blip r:embed="rId27"/>
                    <a:stretch>
                      <a:fillRect/>
                    </a:stretch>
                  </pic:blipFill>
                  <pic:spPr>
                    <a:xfrm>
                      <a:off x="0" y="0"/>
                      <a:ext cx="2333625" cy="457200"/>
                    </a:xfrm>
                    <a:prstGeom prst="rect">
                      <a:avLst/>
                    </a:prstGeom>
                    <a:noFill/>
                    <a:ln>
                      <a:noFill/>
                    </a:ln>
                  </pic:spPr>
                </pic:pic>
              </a:graphicData>
            </a:graphic>
          </wp:inline>
        </w:drawing>
      </w:r>
    </w:p>
    <w:p>
      <w:pPr>
        <w:pStyle w:val="4"/>
        <w:rPr>
          <w:rFonts w:hint="default"/>
          <w:lang w:val="en-US" w:eastAsia="zh-CN"/>
        </w:rPr>
      </w:pPr>
      <w:r>
        <w:rPr>
          <w:rFonts w:hint="default"/>
          <w:lang w:val="en-US" w:eastAsia="zh-CN"/>
        </w:rPr>
        <w:t xml:space="preserve">利用上述方法除了获得平均数 u 以外，还可以通过计算置信度获得专家们对软件著作权利润分成率高低判断的把握程度。置信度(b) 的计算公式为： </w:t>
      </w:r>
    </w:p>
    <w:p>
      <w:pPr>
        <w:pStyle w:val="4"/>
        <w:rPr>
          <w:rFonts w:hint="default"/>
          <w:lang w:val="en-US" w:eastAsia="zh-CN"/>
        </w:rPr>
      </w:pPr>
      <w:r>
        <w:drawing>
          <wp:inline distT="0" distB="0" distL="114300" distR="114300">
            <wp:extent cx="752475" cy="233680"/>
            <wp:effectExtent l="0" t="0" r="0" b="4445"/>
            <wp:docPr id="2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pic:cNvPicPr>
                      <a:picLocks noChangeAspect="1"/>
                    </pic:cNvPicPr>
                  </pic:nvPicPr>
                  <pic:blipFill>
                    <a:blip r:embed="rId28"/>
                    <a:stretch>
                      <a:fillRect/>
                    </a:stretch>
                  </pic:blipFill>
                  <pic:spPr>
                    <a:xfrm>
                      <a:off x="0" y="0"/>
                      <a:ext cx="752475" cy="233680"/>
                    </a:xfrm>
                    <a:prstGeom prst="rect">
                      <a:avLst/>
                    </a:prstGeom>
                    <a:noFill/>
                    <a:ln>
                      <a:noFill/>
                    </a:ln>
                  </pic:spPr>
                </pic:pic>
              </a:graphicData>
            </a:graphic>
          </wp:inline>
        </w:drawing>
      </w:r>
    </w:p>
    <w:p>
      <w:pPr>
        <w:pStyle w:val="4"/>
        <w:rPr>
          <w:rFonts w:hint="default"/>
          <w:lang w:val="en-US" w:eastAsia="zh-CN"/>
        </w:rPr>
      </w:pPr>
      <w:r>
        <w:drawing>
          <wp:inline distT="0" distB="0" distL="114300" distR="114300">
            <wp:extent cx="2995930" cy="390525"/>
            <wp:effectExtent l="0" t="0" r="4445" b="0"/>
            <wp:docPr id="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0"/>
                    <pic:cNvPicPr>
                      <a:picLocks noChangeAspect="1"/>
                    </pic:cNvPicPr>
                  </pic:nvPicPr>
                  <pic:blipFill>
                    <a:blip r:embed="rId29"/>
                    <a:stretch>
                      <a:fillRect/>
                    </a:stretch>
                  </pic:blipFill>
                  <pic:spPr>
                    <a:xfrm>
                      <a:off x="0" y="0"/>
                      <a:ext cx="2995930" cy="390525"/>
                    </a:xfrm>
                    <a:prstGeom prst="rect">
                      <a:avLst/>
                    </a:prstGeom>
                    <a:noFill/>
                    <a:ln>
                      <a:noFill/>
                    </a:ln>
                  </pic:spPr>
                </pic:pic>
              </a:graphicData>
            </a:graphic>
          </wp:inline>
        </w:drawing>
      </w:r>
    </w:p>
    <w:p>
      <w:pPr>
        <w:pStyle w:val="4"/>
        <w:rPr>
          <w:rFonts w:hint="default"/>
          <w:lang w:val="en-US" w:eastAsia="zh-CN"/>
        </w:rPr>
      </w:pPr>
      <w:r>
        <w:rPr>
          <w:rFonts w:hint="default"/>
          <w:lang w:val="en-US" w:eastAsia="zh-CN"/>
        </w:rPr>
        <w:t>由</w:t>
      </w:r>
      <w:r>
        <w:rPr>
          <w:rFonts w:hint="eastAsia"/>
          <w:lang w:val="en-US" w:eastAsia="zh-CN"/>
        </w:rPr>
        <w:t>上</w:t>
      </w:r>
      <w:r>
        <w:rPr>
          <w:rFonts w:hint="default"/>
          <w:lang w:val="en-US" w:eastAsia="zh-CN"/>
        </w:rPr>
        <w:t xml:space="preserve">可知，g越大，置信度 b 越趋近于 0，从综合指标离散度的角度来看，置信度降低会导致综合评价指标的离散度变大，说明专家对软件著作权利润分成率的高低判定程度变小。同理，g越小，置信度 b 越趋近于 1，从综合指标离散度的角度来看，置信度增加会导致综合评价指标的离散度变小，说明专家对软件著作权利润分成率的高低判定程度变大。 </w:t>
      </w:r>
    </w:p>
    <w:p>
      <w:pPr>
        <w:pStyle w:val="4"/>
        <w:rPr>
          <w:rFonts w:hint="default"/>
          <w:lang w:val="en-US" w:eastAsia="zh-CN"/>
        </w:rPr>
      </w:pPr>
    </w:p>
    <w:p>
      <w:pPr>
        <w:pStyle w:val="4"/>
        <w:ind w:left="0" w:leftChars="0" w:firstLine="480" w:firstLineChars="200"/>
        <w:rPr>
          <w:rFonts w:hint="default"/>
          <w:lang w:val="en-US" w:eastAsia="zh-CN"/>
        </w:rPr>
      </w:pPr>
      <w:r>
        <w:rPr>
          <w:rFonts w:hint="default"/>
          <w:lang w:val="en-US" w:eastAsia="zh-CN"/>
        </w:rPr>
        <w:t xml:space="preserve">综合分析软件著作权利润分成率的综合评价指标体系，对其目标层、准则层、指标层的层级结构进行了解，依据专家经验和职业实证数据确定各指标的权重然后进行专家指标评价体系的集值统计处理。 </w:t>
      </w:r>
    </w:p>
    <w:p>
      <w:pPr>
        <w:pStyle w:val="4"/>
        <w:rPr>
          <w:rFonts w:hint="default"/>
          <w:lang w:val="en-US" w:eastAsia="zh-CN"/>
        </w:rPr>
      </w:pPr>
      <w:r>
        <w:rPr>
          <w:rFonts w:hint="default"/>
          <w:lang w:val="en-US" w:eastAsia="zh-CN"/>
        </w:rPr>
        <w:t>本评估案例由 7 位评估专家组成评估小组，对兰州 Q 教育科技公司的 8 项计算机软件著作权的利润分成率的高低程度进行评价并给予判断区间值，形成一个集值统计的序列，再用集值统计的数学模型对其判断区间值进行处理。鉴于评估专业研究领域的不同，故专家们的原则是对熟悉程度较大的指标项目给出的是区间上下限差值较小的分值，对其熟悉程度较小的指标项目给出的是区间上下限较大的分值，同理，对于其熟悉程度几乎为零的指标项目不给予评分值。结合集值统计数学原理的利润分成率指标评价</w:t>
      </w:r>
      <w:r>
        <w:rPr>
          <w:rFonts w:hint="eastAsia"/>
          <w:lang w:val="en-US" w:eastAsia="zh-CN"/>
        </w:rPr>
        <w:t>结果如下。</w:t>
      </w:r>
    </w:p>
    <w:p>
      <w:pPr>
        <w:pStyle w:val="4"/>
        <w:rPr>
          <w:rFonts w:hint="default"/>
          <w:lang w:val="en-US" w:eastAsia="zh-CN"/>
        </w:rPr>
      </w:pPr>
      <w:r>
        <w:drawing>
          <wp:inline distT="0" distB="0" distL="114300" distR="114300">
            <wp:extent cx="4870450" cy="7008495"/>
            <wp:effectExtent l="0" t="0" r="6350" b="1905"/>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pic:cNvPicPr>
                  </pic:nvPicPr>
                  <pic:blipFill>
                    <a:blip r:embed="rId30"/>
                    <a:stretch>
                      <a:fillRect/>
                    </a:stretch>
                  </pic:blipFill>
                  <pic:spPr>
                    <a:xfrm>
                      <a:off x="0" y="0"/>
                      <a:ext cx="4870450" cy="7008495"/>
                    </a:xfrm>
                    <a:prstGeom prst="rect">
                      <a:avLst/>
                    </a:prstGeom>
                    <a:noFill/>
                    <a:ln>
                      <a:noFill/>
                    </a:ln>
                  </pic:spPr>
                </pic:pic>
              </a:graphicData>
            </a:graphic>
          </wp:inline>
        </w:drawing>
      </w:r>
    </w:p>
    <w:p>
      <w:pPr>
        <w:pStyle w:val="4"/>
        <w:rPr>
          <w:rFonts w:hint="default"/>
          <w:lang w:val="en-US" w:eastAsia="zh-CN"/>
        </w:rPr>
      </w:pPr>
    </w:p>
    <w:p>
      <w:pPr>
        <w:pStyle w:val="4"/>
        <w:rPr>
          <w:rFonts w:hint="default"/>
          <w:lang w:val="en-US" w:eastAsia="zh-CN"/>
        </w:rPr>
      </w:pPr>
      <w:r>
        <w:rPr>
          <w:rFonts w:hint="eastAsia"/>
          <w:lang w:val="en-US" w:eastAsia="zh-CN"/>
        </w:rPr>
        <w:t>代入公式，可得g=0.389，b=0.72,  说明评估专家们的判断意见在评估准则的前提下保持了一致，也较具有行业说服力。</w:t>
      </w:r>
    </w:p>
    <w:p>
      <w:pPr>
        <w:pStyle w:val="4"/>
        <w:rPr>
          <w:rFonts w:hint="default"/>
          <w:lang w:val="en-US" w:eastAsia="zh-CN"/>
        </w:rPr>
      </w:pPr>
    </w:p>
    <w:p>
      <w:pPr>
        <w:pStyle w:val="4"/>
        <w:rPr>
          <w:rFonts w:hint="default"/>
          <w:lang w:val="en-US" w:eastAsia="zh-CN"/>
        </w:rPr>
      </w:pPr>
      <w:r>
        <w:rPr>
          <w:rFonts w:hint="default"/>
          <w:lang w:val="en-US" w:eastAsia="zh-CN"/>
        </w:rPr>
        <w:t xml:space="preserve">（3）软件著作权利润分成率调整系数的计算 </w:t>
      </w:r>
    </w:p>
    <w:p>
      <w:pPr>
        <w:pStyle w:val="4"/>
        <w:rPr>
          <w:rFonts w:hint="default"/>
          <w:lang w:val="en-US" w:eastAsia="zh-CN"/>
        </w:rPr>
      </w:pPr>
      <w:r>
        <w:rPr>
          <w:rFonts w:hint="default"/>
          <w:lang w:val="en-US" w:eastAsia="zh-CN"/>
        </w:rPr>
        <w:t xml:space="preserve">依据专家们对利润分成率调整系数的各项指标的评价值和职业的实证权重系数，确定软件著作权利润分成率调整系数。将利润分成率指标评价表的数据代入公式得： </w:t>
      </w:r>
    </w:p>
    <w:p>
      <w:pPr>
        <w:pStyle w:val="4"/>
        <w:rPr>
          <w:rFonts w:hint="default"/>
          <w:lang w:val="en-US" w:eastAsia="zh-CN"/>
        </w:rPr>
      </w:pPr>
      <w:r>
        <w:rPr>
          <w:rFonts w:hint="default"/>
          <w:lang w:val="en-US" w:eastAsia="zh-CN"/>
        </w:rPr>
        <w:t xml:space="preserve">R  =0.1 × 0.6235+0.2 × 0.6145+0.2 × 0.6075+0.05 × 0.3604+0.05 × 0.5500+0.05 ×0.5250+0.05 × 0.5591+0.1 × 0.5726+0.05 × 0.6131+0.05 × 0.6625+0.05 × 0.3929+0.05 ×0.4500=0.5697 </w:t>
      </w:r>
    </w:p>
    <w:p>
      <w:pPr>
        <w:pStyle w:val="4"/>
        <w:rPr>
          <w:rFonts w:hint="default"/>
          <w:lang w:val="en-US" w:eastAsia="zh-CN"/>
        </w:rPr>
      </w:pPr>
      <w:r>
        <w:rPr>
          <w:rFonts w:hint="default"/>
          <w:lang w:val="en-US" w:eastAsia="zh-CN"/>
        </w:rPr>
        <w:t>计算得到的软件著作权利润分成率调整系数取值区间在 0～1 之间。软件著作权的利润分成率大小与其调整系数成正比。</w:t>
      </w:r>
    </w:p>
    <w:p>
      <w:pPr>
        <w:pStyle w:val="4"/>
        <w:rPr>
          <w:rFonts w:hint="default"/>
          <w:lang w:val="en-US" w:eastAsia="zh-CN"/>
        </w:rPr>
      </w:pPr>
      <w:r>
        <w:rPr>
          <w:rFonts w:hint="default"/>
          <w:lang w:val="en-US" w:eastAsia="zh-CN"/>
        </w:rPr>
        <w:t xml:space="preserve">（4）利润分成率的计算以及预期收益分成额确定 </w:t>
      </w:r>
    </w:p>
    <w:p>
      <w:pPr>
        <w:pStyle w:val="4"/>
        <w:rPr>
          <w:rFonts w:hint="default"/>
          <w:lang w:val="en-US" w:eastAsia="zh-CN"/>
        </w:rPr>
      </w:pPr>
      <w:r>
        <w:rPr>
          <w:rFonts w:hint="default"/>
          <w:lang w:val="en-US" w:eastAsia="zh-CN"/>
        </w:rPr>
        <w:t>根据被估资产利润分成率的取值范围和调整系数，也就是，根据国家统计局公布的不同行业的销售利润率和国内外技术贸易中技术利润技术分成率的惯例，辅以技术进步贡献因素行业特殊性修正和不同类型企业状况的修正，最终得到行业中委估软件著作权的利润分成率。</w:t>
      </w:r>
    </w:p>
    <w:p>
      <w:pPr>
        <w:pStyle w:val="4"/>
        <w:rPr>
          <w:rFonts w:hint="default"/>
          <w:lang w:val="en-US" w:eastAsia="zh-CN"/>
        </w:rPr>
      </w:pPr>
      <w:r>
        <w:rPr>
          <w:rFonts w:hint="default"/>
          <w:lang w:val="en-US" w:eastAsia="zh-CN"/>
        </w:rPr>
        <w:t xml:space="preserve">本次涉及的软件著作权产品参考行业“ 电子及通信设备制造业”取值范围，对应利润分成率取值范围为：0.53%－1.59%。 </w:t>
      </w:r>
    </w:p>
    <w:p>
      <w:pPr>
        <w:pStyle w:val="4"/>
        <w:rPr>
          <w:rFonts w:hint="default"/>
          <w:lang w:val="en-US" w:eastAsia="zh-CN"/>
        </w:rPr>
      </w:pPr>
      <w:r>
        <w:rPr>
          <w:rFonts w:hint="default"/>
          <w:lang w:val="en-US" w:eastAsia="zh-CN"/>
        </w:rPr>
        <w:t>可再结合以上集值统计的利润分成率定量调整系数，最终得到更加准确的分成率。将 R=0.5697，n=1.59%,m=0.53%代入公式（5），可得 K=m+(n‐m)×R=0.53%+（1.59%‐0.53%）×0.5697=1.13%（此处不考虑利润分成率衰减对收入贡献的影响），从而，预期收益分成额根据该兰州 Q 教育科技公司的产品销售利润和定量研究后的利润分成率来计算</w:t>
      </w:r>
      <w:r>
        <w:rPr>
          <w:rFonts w:hint="eastAsia"/>
          <w:lang w:val="en-US" w:eastAsia="zh-CN"/>
        </w:rPr>
        <w:t>。</w:t>
      </w:r>
    </w:p>
    <w:p>
      <w:pPr>
        <w:pStyle w:val="4"/>
        <w:ind w:left="0" w:leftChars="0" w:firstLine="480" w:firstLineChars="200"/>
        <w:rPr>
          <w:rFonts w:hint="default"/>
          <w:lang w:val="en-US" w:eastAsia="zh-CN"/>
        </w:rPr>
      </w:pPr>
      <w:r>
        <w:rPr>
          <w:rFonts w:hint="eastAsia"/>
          <w:lang w:val="en-US" w:eastAsia="zh-CN"/>
        </w:rPr>
        <w:t>4、</w:t>
      </w:r>
      <w:r>
        <w:rPr>
          <w:rFonts w:hint="default"/>
          <w:lang w:val="en-US" w:eastAsia="zh-CN"/>
        </w:rPr>
        <w:t xml:space="preserve"> 收益年限的确定 </w:t>
      </w:r>
    </w:p>
    <w:p>
      <w:pPr>
        <w:pStyle w:val="4"/>
        <w:rPr>
          <w:rFonts w:hint="default"/>
          <w:lang w:val="en-US" w:eastAsia="zh-CN"/>
        </w:rPr>
      </w:pPr>
      <w:r>
        <w:rPr>
          <w:rFonts w:hint="default"/>
          <w:lang w:val="en-US" w:eastAsia="zh-CN"/>
        </w:rPr>
        <w:t xml:space="preserve">由主要参数的确定可知，根据法律或者合同、企业申请书的规定法定收益期限或者收益期限以及被评估软件著作权的具体情况和数据资料分析，以孰短原则来确定评估收益期限。通过与委托方的多次沟通，经评估人员经验判断寿命期为 10 年。 </w:t>
      </w:r>
    </w:p>
    <w:p>
      <w:pPr>
        <w:pStyle w:val="4"/>
        <w:rPr>
          <w:rFonts w:hint="default"/>
          <w:lang w:val="en-US" w:eastAsia="zh-CN"/>
        </w:rPr>
      </w:pPr>
      <w:r>
        <w:rPr>
          <w:rFonts w:hint="eastAsia"/>
          <w:lang w:val="en-US" w:eastAsia="zh-CN"/>
        </w:rPr>
        <w:t>5、</w:t>
      </w:r>
      <w:r>
        <w:rPr>
          <w:rFonts w:hint="default"/>
          <w:lang w:val="en-US" w:eastAsia="zh-CN"/>
        </w:rPr>
        <w:t xml:space="preserve">折现率的确定 </w:t>
      </w:r>
    </w:p>
    <w:p>
      <w:pPr>
        <w:pStyle w:val="4"/>
        <w:rPr>
          <w:rFonts w:hint="default"/>
          <w:lang w:val="en-US" w:eastAsia="zh-CN"/>
        </w:rPr>
      </w:pPr>
      <w:r>
        <w:rPr>
          <w:rFonts w:hint="default"/>
          <w:lang w:val="en-US" w:eastAsia="zh-CN"/>
        </w:rPr>
        <w:t xml:space="preserve">待评估软件著作权采用股权资本成本模型（CAPM）确定折现率 r。无风险收益率 rf=4.08%，股东期望报酬率 re=11.24%。t=0.5559。考虑到公司经营主业收入特点、投融资条件、财务风险、经营风险等调整因素，确定公司特有风险系数为 6%。 </w:t>
      </w:r>
    </w:p>
    <w:p>
      <w:pPr>
        <w:pStyle w:val="4"/>
        <w:rPr>
          <w:rFonts w:hint="default"/>
          <w:lang w:val="en-US" w:eastAsia="zh-CN"/>
        </w:rPr>
      </w:pPr>
      <w:r>
        <w:rPr>
          <w:rFonts w:hint="default"/>
          <w:lang w:val="en-US" w:eastAsia="zh-CN"/>
        </w:rPr>
        <w:t xml:space="preserve">按照上述数据计算权益资本为： </w:t>
      </w:r>
    </w:p>
    <w:p>
      <w:pPr>
        <w:pStyle w:val="4"/>
        <w:rPr>
          <w:rFonts w:hint="default"/>
          <w:lang w:val="en-US" w:eastAsia="zh-CN"/>
        </w:rPr>
      </w:pPr>
      <w:r>
        <w:rPr>
          <w:rFonts w:hint="default"/>
          <w:lang w:val="en-US" w:eastAsia="zh-CN"/>
        </w:rPr>
        <w:t xml:space="preserve">R =4.08% +0.5559×(11.24% ‐4.08%）+6% </w:t>
      </w:r>
    </w:p>
    <w:p>
      <w:pPr>
        <w:pStyle w:val="4"/>
        <w:rPr>
          <w:rFonts w:hint="default"/>
          <w:lang w:val="en-US" w:eastAsia="zh-CN"/>
        </w:rPr>
      </w:pPr>
      <w:r>
        <w:rPr>
          <w:rFonts w:hint="default"/>
          <w:lang w:val="en-US" w:eastAsia="zh-CN"/>
        </w:rPr>
        <w:t xml:space="preserve">=14.06% </w:t>
      </w:r>
    </w:p>
    <w:p>
      <w:pPr>
        <w:pStyle w:val="4"/>
        <w:rPr>
          <w:rFonts w:hint="default"/>
          <w:lang w:val="en-US" w:eastAsia="zh-CN"/>
        </w:rPr>
      </w:pPr>
      <w:r>
        <w:rPr>
          <w:rFonts w:hint="eastAsia"/>
          <w:lang w:val="en-US" w:eastAsia="zh-CN"/>
        </w:rPr>
        <w:t>6、</w:t>
      </w:r>
      <w:r>
        <w:rPr>
          <w:rFonts w:hint="default"/>
          <w:lang w:val="en-US" w:eastAsia="zh-CN"/>
        </w:rPr>
        <w:t xml:space="preserve">评估结果 </w:t>
      </w:r>
    </w:p>
    <w:p>
      <w:pPr>
        <w:pStyle w:val="4"/>
        <w:rPr>
          <w:rFonts w:hint="default"/>
          <w:lang w:val="en-US" w:eastAsia="zh-CN"/>
        </w:rPr>
      </w:pPr>
      <w:r>
        <w:rPr>
          <w:rFonts w:hint="default"/>
          <w:lang w:val="en-US" w:eastAsia="zh-CN"/>
        </w:rPr>
        <w:t xml:space="preserve">运用模型和指标对软件著作权的利润分成进行了评价系数调整和指标分析，结合集值统计进行了相关的更准确的定量探究，参考国家统计局公布的不同行业的销售利润率和国内外技术贸易中技术利润技术分成率的惯例，得出该企业的软件著作权在总利润额中所占的比例，更加快捷高效的反映软件著作权对整个利润额的贡献度，合理计算折现率和预计受益年限，同时其评估价值要考虑到软件著作权转让过程中在实际生产和销售情况收取转让费的场合所确定的“旱涝保收”收入的入门费，大体上就是包含机会成本的因素，称为最低收费额。由于该 8 项著作权为甘肃 W 信息技术公司资产跨转给兰州乐智公司并且现阶段一直被兰州 Q 教育科技公司使用并为公司创造价值，但是该软件著作所有权变更耗费时间长且准备的资料繁多，且兰州乐智公司产品结构已做部分调整，从而考虑直接重新申请软件著作权，期间甘肃 W 信息技术公司因以上原因而减少的收益，也可能为自己制造了竞争对手而减少了收益或者成本的增加。其中，软件著作权资产跨转的机会成本=转出的净减收益+再开发净增费用，该 8 项软件著作权评估的案例中，由于软件著作权权属变更手续耗费时间长，市场竞争加剧，该 APP 产品价格下降，在重新变更所有者之前减少销售收入按折现值为 10 万元，由于开发市场为了满足 APP 使用者的需要另追加成本按现值为 5 万。 </w:t>
      </w:r>
    </w:p>
    <w:p>
      <w:pPr>
        <w:pStyle w:val="4"/>
        <w:rPr>
          <w:rFonts w:hint="default"/>
          <w:lang w:val="en-US" w:eastAsia="zh-CN"/>
        </w:rPr>
      </w:pPr>
      <w:r>
        <w:rPr>
          <w:rFonts w:hint="default"/>
          <w:lang w:val="en-US" w:eastAsia="zh-CN"/>
        </w:rPr>
        <w:t>通过遵循行业准则和规范的评估程序进行分析估算，修正型收益法评估的 8 项计算机软件著作权于 2016 年 5 月 31 日的市场价值为：人民币 708.51  万元</w:t>
      </w:r>
      <w:r>
        <w:rPr>
          <w:rFonts w:hint="eastAsia"/>
          <w:lang w:val="en-US" w:eastAsia="zh-CN"/>
        </w:rPr>
        <w:t>。计算流程如下表。</w:t>
      </w:r>
    </w:p>
    <w:p>
      <w:pPr>
        <w:pStyle w:val="4"/>
        <w:rPr>
          <w:rFonts w:hint="default"/>
          <w:lang w:val="en-US" w:eastAsia="zh-CN"/>
        </w:rPr>
      </w:pPr>
      <w:r>
        <w:drawing>
          <wp:inline distT="0" distB="0" distL="114300" distR="114300">
            <wp:extent cx="4819650" cy="2533650"/>
            <wp:effectExtent l="0" t="0" r="0" b="0"/>
            <wp:docPr id="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pic:cNvPicPr>
                      <a:picLocks noChangeAspect="1"/>
                    </pic:cNvPicPr>
                  </pic:nvPicPr>
                  <pic:blipFill>
                    <a:blip r:embed="rId31"/>
                    <a:stretch>
                      <a:fillRect/>
                    </a:stretch>
                  </pic:blipFill>
                  <pic:spPr>
                    <a:xfrm>
                      <a:off x="0" y="0"/>
                      <a:ext cx="4819650" cy="2533650"/>
                    </a:xfrm>
                    <a:prstGeom prst="rect">
                      <a:avLst/>
                    </a:prstGeom>
                    <a:noFill/>
                    <a:ln>
                      <a:noFill/>
                    </a:ln>
                  </pic:spPr>
                </pic:pic>
              </a:graphicData>
            </a:graphic>
          </wp:inline>
        </w:drawing>
      </w:r>
    </w:p>
    <w:p>
      <w:pPr>
        <w:pStyle w:val="4"/>
        <w:ind w:left="0" w:leftChars="0" w:firstLine="0" w:firstLineChars="0"/>
        <w:rPr>
          <w:rFonts w:hint="default"/>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r>
        <w:rPr>
          <w:rFonts w:hint="eastAsia"/>
          <w:lang w:val="en-US" w:eastAsia="zh-CN"/>
        </w:rPr>
        <w:t>六、评估报告书</w:t>
      </w:r>
    </w:p>
    <w:p>
      <w:pPr>
        <w:spacing w:before="117" w:line="220" w:lineRule="auto"/>
        <w:ind w:left="0" w:leftChars="0" w:firstLine="0" w:firstLineChars="0"/>
        <w:jc w:val="center"/>
        <w:rPr>
          <w:rFonts w:ascii="宋体" w:hAnsi="宋体" w:eastAsia="宋体" w:cs="宋体"/>
          <w:sz w:val="36"/>
          <w:szCs w:val="36"/>
        </w:rPr>
      </w:pPr>
      <w:r>
        <w:rPr>
          <w:rFonts w:ascii="宋体" w:hAnsi="宋体" w:eastAsia="宋体" w:cs="宋体"/>
          <w:spacing w:val="-1"/>
          <w:sz w:val="36"/>
          <w:szCs w:val="36"/>
          <w14:textOutline w14:w="4572" w14:cap="flat" w14:cmpd="sng">
            <w14:solidFill>
              <w14:srgbClr w14:val="000000"/>
            </w14:solidFill>
            <w14:prstDash w14:val="solid"/>
            <w14:miter w14:val="0"/>
          </w14:textOutline>
        </w:rPr>
        <w:t>北京清华同衡规划设计研究院有限公司</w:t>
      </w:r>
    </w:p>
    <w:p>
      <w:pPr>
        <w:spacing w:before="274" w:line="220" w:lineRule="auto"/>
        <w:ind w:left="0" w:leftChars="0" w:firstLine="0" w:firstLineChars="0"/>
        <w:jc w:val="center"/>
        <w:rPr>
          <w:rFonts w:ascii="宋体" w:hAnsi="宋体" w:eastAsia="宋体" w:cs="宋体"/>
          <w:sz w:val="36"/>
          <w:szCs w:val="36"/>
        </w:rPr>
      </w:pPr>
      <w:r>
        <w:rPr>
          <w:rFonts w:ascii="宋体" w:hAnsi="宋体" w:eastAsia="宋体" w:cs="宋体"/>
          <w:spacing w:val="-1"/>
          <w:sz w:val="36"/>
          <w:szCs w:val="36"/>
          <w14:textOutline w14:w="4572" w14:cap="flat" w14:cmpd="sng">
            <w14:solidFill>
              <w14:srgbClr w14:val="000000"/>
            </w14:solidFill>
            <w14:prstDash w14:val="solid"/>
            <w14:miter w14:val="0"/>
          </w14:textOutline>
        </w:rPr>
        <w:t>拥有的软件著作权资产组合项目</w:t>
      </w:r>
    </w:p>
    <w:p>
      <w:pPr>
        <w:spacing w:before="313" w:line="222" w:lineRule="auto"/>
        <w:ind w:left="0" w:leftChars="0" w:firstLine="0" w:firstLineChars="0"/>
        <w:jc w:val="center"/>
        <w:outlineLvl w:val="0"/>
        <w:rPr>
          <w:rFonts w:ascii="宋体" w:hAnsi="宋体" w:eastAsia="宋体" w:cs="宋体"/>
          <w:sz w:val="63"/>
          <w:szCs w:val="63"/>
        </w:rPr>
      </w:pPr>
      <w:r>
        <w:rPr>
          <w:rFonts w:ascii="宋体" w:hAnsi="宋体" w:eastAsia="宋体" w:cs="宋体"/>
          <w:spacing w:val="3"/>
          <w:sz w:val="63"/>
          <w:szCs w:val="63"/>
          <w14:textOutline w14:w="8128" w14:cap="flat" w14:cmpd="sng">
            <w14:solidFill>
              <w14:srgbClr w14:val="000000"/>
            </w14:solidFill>
            <w14:prstDash w14:val="solid"/>
            <w14:miter w14:val="0"/>
          </w14:textOutline>
        </w:rPr>
        <w:t>资产评估报告书</w:t>
      </w:r>
    </w:p>
    <w:p>
      <w:pPr>
        <w:pStyle w:val="4"/>
        <w:spacing w:line="350" w:lineRule="auto"/>
        <w:jc w:val="left"/>
      </w:pPr>
    </w:p>
    <w:p>
      <w:pPr>
        <w:spacing w:before="78" w:line="220" w:lineRule="auto"/>
        <w:ind w:left="2340"/>
        <w:rPr>
          <w:rFonts w:ascii="宋体" w:hAnsi="宋体" w:eastAsia="宋体" w:cs="宋体"/>
          <w:sz w:val="24"/>
          <w:szCs w:val="24"/>
        </w:rPr>
      </w:pPr>
      <w:r>
        <w:rPr>
          <w:rFonts w:ascii="宋体" w:hAnsi="宋体" w:eastAsia="宋体" w:cs="宋体"/>
          <w:spacing w:val="-1"/>
          <w:sz w:val="24"/>
          <w:szCs w:val="24"/>
        </w:rPr>
        <w:t>立道评报字【20</w:t>
      </w:r>
      <w:r>
        <w:rPr>
          <w:rFonts w:hint="eastAsia" w:ascii="宋体" w:hAnsi="宋体" w:cs="宋体"/>
          <w:spacing w:val="-1"/>
          <w:sz w:val="24"/>
          <w:szCs w:val="24"/>
          <w:lang w:val="en-US" w:eastAsia="zh-CN"/>
        </w:rPr>
        <w:t>2</w:t>
      </w:r>
      <w:r>
        <w:rPr>
          <w:rFonts w:ascii="宋体" w:hAnsi="宋体" w:eastAsia="宋体" w:cs="宋体"/>
          <w:spacing w:val="-1"/>
          <w:sz w:val="24"/>
          <w:szCs w:val="24"/>
        </w:rPr>
        <w:t>4】第</w:t>
      </w:r>
      <w:r>
        <w:rPr>
          <w:rFonts w:ascii="宋体" w:hAnsi="宋体" w:eastAsia="宋体" w:cs="宋体"/>
          <w:spacing w:val="-51"/>
          <w:sz w:val="24"/>
          <w:szCs w:val="24"/>
        </w:rPr>
        <w:t xml:space="preserve"> </w:t>
      </w:r>
      <w:r>
        <w:rPr>
          <w:rFonts w:ascii="宋体" w:hAnsi="宋体" w:eastAsia="宋体" w:cs="宋体"/>
          <w:spacing w:val="-1"/>
          <w:sz w:val="24"/>
          <w:szCs w:val="24"/>
        </w:rPr>
        <w:t>A1072</w:t>
      </w:r>
      <w:r>
        <w:rPr>
          <w:rFonts w:ascii="宋体" w:hAnsi="宋体" w:eastAsia="宋体" w:cs="宋体"/>
          <w:spacing w:val="-45"/>
          <w:sz w:val="24"/>
          <w:szCs w:val="24"/>
        </w:rPr>
        <w:t xml:space="preserve"> </w:t>
      </w:r>
      <w:r>
        <w:rPr>
          <w:rFonts w:ascii="宋体" w:hAnsi="宋体" w:eastAsia="宋体" w:cs="宋体"/>
          <w:spacing w:val="-1"/>
          <w:sz w:val="24"/>
          <w:szCs w:val="24"/>
        </w:rPr>
        <w:t>号</w:t>
      </w: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1" w:lineRule="auto"/>
      </w:pPr>
    </w:p>
    <w:p>
      <w:pPr>
        <w:pStyle w:val="4"/>
        <w:spacing w:line="242" w:lineRule="auto"/>
      </w:pPr>
    </w:p>
    <w:p>
      <w:pPr>
        <w:pStyle w:val="4"/>
        <w:spacing w:line="242" w:lineRule="auto"/>
      </w:pPr>
    </w:p>
    <w:p>
      <w:pPr>
        <w:pStyle w:val="4"/>
        <w:spacing w:line="242" w:lineRule="auto"/>
      </w:pPr>
    </w:p>
    <w:p>
      <w:pPr>
        <w:spacing w:before="104" w:line="624" w:lineRule="exact"/>
        <w:ind w:left="2026"/>
        <w:jc w:val="right"/>
        <w:rPr>
          <w:rFonts w:ascii="宋体" w:hAnsi="宋体" w:eastAsia="宋体" w:cs="宋体"/>
          <w:sz w:val="32"/>
          <w:szCs w:val="32"/>
        </w:rPr>
      </w:pPr>
      <w:r>
        <w:rPr>
          <w:rFonts w:ascii="宋体" w:hAnsi="宋体" w:eastAsia="宋体" w:cs="宋体"/>
          <w:spacing w:val="-1"/>
          <w:position w:val="22"/>
          <w:sz w:val="32"/>
          <w:szCs w:val="32"/>
          <w14:textOutline w14:w="4064" w14:cap="flat" w14:cmpd="sng">
            <w14:solidFill>
              <w14:srgbClr w14:val="000000"/>
            </w14:solidFill>
            <w14:prstDash w14:val="solid"/>
            <w14:miter w14:val="0"/>
          </w14:textOutline>
        </w:rPr>
        <w:t>北京立道资产评估有限公司</w:t>
      </w:r>
    </w:p>
    <w:p>
      <w:pPr>
        <w:spacing w:line="219" w:lineRule="auto"/>
        <w:ind w:left="2018"/>
        <w:jc w:val="right"/>
        <w:rPr>
          <w:rFonts w:ascii="宋体" w:hAnsi="宋体" w:eastAsia="宋体" w:cs="宋体"/>
          <w:sz w:val="32"/>
          <w:szCs w:val="32"/>
        </w:rPr>
      </w:pPr>
      <w:r>
        <w:rPr>
          <w:rFonts w:ascii="宋体" w:hAnsi="宋体" w:eastAsia="宋体" w:cs="宋体"/>
          <w:spacing w:val="-1"/>
          <w:sz w:val="32"/>
          <w:szCs w:val="32"/>
          <w14:textOutline w14:w="4064" w14:cap="flat" w14:cmpd="sng">
            <w14:solidFill>
              <w14:srgbClr w14:val="000000"/>
            </w14:solidFill>
            <w14:prstDash w14:val="solid"/>
            <w14:miter w14:val="0"/>
          </w14:textOutline>
        </w:rPr>
        <w:t>报告日期：二零</w:t>
      </w:r>
      <w:r>
        <w:rPr>
          <w:rFonts w:hint="eastAsia" w:ascii="宋体" w:hAnsi="宋体" w:cs="宋体"/>
          <w:spacing w:val="-1"/>
          <w:sz w:val="32"/>
          <w:szCs w:val="32"/>
          <w:lang w:val="en-US" w:eastAsia="zh-CN"/>
          <w14:textOutline w14:w="4064" w14:cap="flat" w14:cmpd="sng">
            <w14:solidFill>
              <w14:srgbClr w14:val="000000"/>
            </w14:solidFill>
            <w14:prstDash w14:val="solid"/>
            <w14:miter w14:val="0"/>
          </w14:textOutline>
        </w:rPr>
        <w:t>二</w:t>
      </w:r>
      <w:r>
        <w:rPr>
          <w:rFonts w:ascii="宋体" w:hAnsi="宋体" w:eastAsia="宋体" w:cs="宋体"/>
          <w:spacing w:val="-1"/>
          <w:sz w:val="32"/>
          <w:szCs w:val="32"/>
          <w14:textOutline w14:w="4064" w14:cap="flat" w14:cmpd="sng">
            <w14:solidFill>
              <w14:srgbClr w14:val="000000"/>
            </w14:solidFill>
            <w14:prstDash w14:val="solid"/>
            <w14:miter w14:val="0"/>
          </w14:textOutline>
        </w:rPr>
        <w:t>四年</w:t>
      </w:r>
      <w:r>
        <w:rPr>
          <w:rFonts w:hint="eastAsia" w:ascii="宋体" w:hAnsi="宋体" w:cs="宋体"/>
          <w:spacing w:val="-1"/>
          <w:sz w:val="32"/>
          <w:szCs w:val="32"/>
          <w:lang w:val="en-US" w:eastAsia="zh-CN"/>
          <w14:textOutline w14:w="4064" w14:cap="flat" w14:cmpd="sng">
            <w14:solidFill>
              <w14:srgbClr w14:val="000000"/>
            </w14:solidFill>
            <w14:prstDash w14:val="solid"/>
            <w14:miter w14:val="0"/>
          </w14:textOutline>
        </w:rPr>
        <w:t>X</w:t>
      </w:r>
      <w:r>
        <w:rPr>
          <w:rFonts w:ascii="宋体" w:hAnsi="宋体" w:eastAsia="宋体" w:cs="宋体"/>
          <w:spacing w:val="-1"/>
          <w:sz w:val="32"/>
          <w:szCs w:val="32"/>
          <w14:textOutline w14:w="4064" w14:cap="flat" w14:cmpd="sng">
            <w14:solidFill>
              <w14:srgbClr w14:val="000000"/>
            </w14:solidFill>
            <w14:prstDash w14:val="solid"/>
            <w14:miter w14:val="0"/>
          </w14:textOutline>
        </w:rPr>
        <w:t>月</w:t>
      </w:r>
      <w:r>
        <w:rPr>
          <w:rFonts w:hint="eastAsia" w:ascii="宋体" w:hAnsi="宋体" w:cs="宋体"/>
          <w:spacing w:val="-1"/>
          <w:sz w:val="32"/>
          <w:szCs w:val="32"/>
          <w:lang w:val="en-US" w:eastAsia="zh-CN"/>
          <w14:textOutline w14:w="4064" w14:cap="flat" w14:cmpd="sng">
            <w14:solidFill>
              <w14:srgbClr w14:val="000000"/>
            </w14:solidFill>
            <w14:prstDash w14:val="solid"/>
            <w14:miter w14:val="0"/>
          </w14:textOutline>
        </w:rPr>
        <w:t>X</w:t>
      </w:r>
      <w:r>
        <w:rPr>
          <w:rFonts w:ascii="宋体" w:hAnsi="宋体" w:eastAsia="宋体" w:cs="宋体"/>
          <w:spacing w:val="-1"/>
          <w:sz w:val="32"/>
          <w:szCs w:val="32"/>
          <w14:textOutline w14:w="4064" w14:cap="flat" w14:cmpd="sng">
            <w14:solidFill>
              <w14:srgbClr w14:val="000000"/>
            </w14:solidFill>
            <w14:prstDash w14:val="solid"/>
            <w14:miter w14:val="0"/>
          </w14:textOutline>
        </w:rPr>
        <w:t>日</w:t>
      </w:r>
    </w:p>
    <w:p>
      <w:pPr>
        <w:spacing w:line="219" w:lineRule="auto"/>
        <w:jc w:val="right"/>
        <w:rPr>
          <w:rFonts w:ascii="宋体" w:hAnsi="宋体" w:eastAsia="宋体" w:cs="宋体"/>
          <w:sz w:val="32"/>
          <w:szCs w:val="32"/>
        </w:rPr>
        <w:sectPr>
          <w:pgSz w:w="11905" w:h="16840"/>
          <w:pgMar w:top="1431" w:right="1785" w:bottom="0" w:left="1785" w:header="0" w:footer="0" w:gutter="0"/>
          <w:cols w:space="720" w:num="1"/>
        </w:sectPr>
      </w:pPr>
    </w:p>
    <w:p>
      <w:pPr>
        <w:spacing w:before="117" w:line="702" w:lineRule="exact"/>
        <w:ind w:left="0" w:leftChars="0" w:firstLine="0" w:firstLineChars="0"/>
        <w:jc w:val="center"/>
        <w:rPr>
          <w:rFonts w:ascii="宋体" w:hAnsi="宋体" w:eastAsia="宋体" w:cs="宋体"/>
          <w:sz w:val="36"/>
          <w:szCs w:val="36"/>
        </w:rPr>
      </w:pPr>
      <w:r>
        <w:rPr>
          <w:rFonts w:ascii="宋体" w:hAnsi="宋体" w:eastAsia="宋体" w:cs="宋体"/>
          <w:spacing w:val="-1"/>
          <w:position w:val="25"/>
          <w:sz w:val="36"/>
          <w:szCs w:val="36"/>
          <w14:textOutline w14:w="4572" w14:cap="flat" w14:cmpd="sng">
            <w14:solidFill>
              <w14:srgbClr w14:val="000000"/>
            </w14:solidFill>
            <w14:prstDash w14:val="solid"/>
            <w14:miter w14:val="0"/>
          </w14:textOutline>
        </w:rPr>
        <w:t>北京清华同衡规划设计研究院有限公司</w:t>
      </w:r>
    </w:p>
    <w:p>
      <w:pPr>
        <w:spacing w:line="220" w:lineRule="auto"/>
        <w:ind w:left="0" w:leftChars="0" w:firstLine="0" w:firstLineChars="0"/>
        <w:jc w:val="center"/>
        <w:rPr>
          <w:rFonts w:ascii="宋体" w:hAnsi="宋体" w:eastAsia="宋体" w:cs="宋体"/>
          <w:sz w:val="36"/>
          <w:szCs w:val="36"/>
        </w:rPr>
      </w:pPr>
      <w:r>
        <w:rPr>
          <w:rFonts w:ascii="宋体" w:hAnsi="宋体" w:eastAsia="宋体" w:cs="宋体"/>
          <w:spacing w:val="-1"/>
          <w:sz w:val="36"/>
          <w:szCs w:val="36"/>
          <w14:textOutline w14:w="4572" w14:cap="flat" w14:cmpd="sng">
            <w14:solidFill>
              <w14:srgbClr w14:val="000000"/>
            </w14:solidFill>
            <w14:prstDash w14:val="solid"/>
            <w14:miter w14:val="0"/>
          </w14:textOutline>
        </w:rPr>
        <w:t>拥有的软件著作权资产组合项目</w:t>
      </w:r>
    </w:p>
    <w:p>
      <w:pPr>
        <w:spacing w:before="283" w:line="834" w:lineRule="exact"/>
        <w:ind w:left="0" w:leftChars="0" w:firstLine="0" w:firstLineChars="0"/>
        <w:jc w:val="center"/>
        <w:rPr>
          <w:rFonts w:ascii="宋体" w:hAnsi="宋体" w:eastAsia="宋体" w:cs="宋体"/>
          <w:sz w:val="44"/>
          <w:szCs w:val="44"/>
        </w:rPr>
      </w:pPr>
      <w:r>
        <w:rPr>
          <w:rFonts w:ascii="宋体" w:hAnsi="宋体" w:eastAsia="宋体" w:cs="宋体"/>
          <w:spacing w:val="-4"/>
          <w:position w:val="29"/>
          <w:sz w:val="44"/>
          <w:szCs w:val="44"/>
          <w14:textOutline w14:w="5587" w14:cap="flat" w14:cmpd="sng">
            <w14:solidFill>
              <w14:srgbClr w14:val="000000"/>
            </w14:solidFill>
            <w14:prstDash w14:val="solid"/>
            <w14:miter w14:val="0"/>
          </w14:textOutline>
        </w:rPr>
        <w:t>资产评估报告书声明</w:t>
      </w:r>
    </w:p>
    <w:p>
      <w:pPr>
        <w:spacing w:line="226" w:lineRule="auto"/>
        <w:ind w:left="45"/>
        <w:rPr>
          <w:rFonts w:hint="eastAsia" w:ascii="宋体" w:hAnsi="宋体" w:eastAsia="宋体" w:cs="宋体"/>
          <w:sz w:val="24"/>
          <w:szCs w:val="24"/>
        </w:rPr>
      </w:pPr>
      <w:r>
        <w:rPr>
          <w:rFonts w:hint="eastAsia" w:ascii="宋体" w:hAnsi="宋体" w:eastAsia="宋体" w:cs="宋体"/>
          <w:spacing w:val="5"/>
          <w:sz w:val="24"/>
          <w:szCs w:val="24"/>
          <w14:textOutline w14:w="3556" w14:cap="flat" w14:cmpd="sng">
            <w14:solidFill>
              <w14:srgbClr w14:val="000000"/>
            </w14:solidFill>
            <w14:prstDash w14:val="solid"/>
            <w14:miter w14:val="0"/>
          </w14:textOutline>
        </w:rPr>
        <w:t>北京清华同衡规划设计研究院有限公司：</w:t>
      </w:r>
    </w:p>
    <w:p>
      <w:pPr>
        <w:pStyle w:val="4"/>
        <w:rPr>
          <w:rFonts w:hint="eastAsia" w:ascii="宋体" w:hAnsi="宋体" w:eastAsia="宋体" w:cs="宋体"/>
          <w:sz w:val="24"/>
          <w:szCs w:val="24"/>
          <w:lang w:val="en-US" w:eastAsia="zh-CN"/>
        </w:rPr>
      </w:pPr>
    </w:p>
    <w:p>
      <w:pPr>
        <w:pStyle w:val="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北京观复立道资产评估有限公司（以下简称“观复立道”或我公司） 接受贵公司 的委托，对贵公司委托评估的软件著作权资产组合于评估基准日 2023 年 12 月 31 日的市场价值进行了评估，并作如下声明：</w:t>
      </w:r>
    </w:p>
    <w:p>
      <w:pPr>
        <w:pStyle w:val="4"/>
        <w:numPr>
          <w:ilvl w:val="0"/>
          <w:numId w:val="1"/>
        </w:numPr>
        <w:ind w:left="0" w:leftChars="0"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、在注册资产评估师认知的最大能力范围内， 评估报告中陈述的事项是客观的、完整的和真实的；</w:t>
      </w:r>
    </w:p>
    <w:p>
      <w:pPr>
        <w:pStyle w:val="4"/>
        <w:numPr>
          <w:ilvl w:val="0"/>
          <w:numId w:val="1"/>
        </w:numPr>
        <w:ind w:left="0" w:leftChars="0"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、评估机构和注册资产评估师在评估对象中没有现存的或预期的利益， 同时与委托方和相关当事方也没有利益冲突；</w:t>
      </w:r>
    </w:p>
    <w:p>
      <w:pPr>
        <w:pStyle w:val="4"/>
        <w:numPr>
          <w:ilvl w:val="0"/>
          <w:numId w:val="1"/>
        </w:numPr>
        <w:ind w:left="0" w:leftChars="0"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、评估报告的分析和结论是在恪守独立、客观和公正原则基础上形成的， 仅在评估报告设定的评估假设和限制条件下成立；</w:t>
      </w:r>
    </w:p>
    <w:p>
      <w:pPr>
        <w:pStyle w:val="4"/>
        <w:numPr>
          <w:ilvl w:val="0"/>
          <w:numId w:val="1"/>
        </w:numPr>
        <w:ind w:left="0" w:leftChars="0"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、评估结论仅在评估报告载明的评估基准日有效。评估报告使用者应当根据评估基准日后的资产状况和市场变化情况合理确定评估报告使用期限；</w:t>
      </w:r>
    </w:p>
    <w:p>
      <w:pPr>
        <w:pStyle w:val="4"/>
        <w:numPr>
          <w:ilvl w:val="0"/>
          <w:numId w:val="1"/>
        </w:numPr>
        <w:ind w:left="0" w:leftChars="0"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、注册资产评估师及本评估机构具备本评估业务所需的执业资质和评估胜任能力；</w:t>
      </w:r>
    </w:p>
    <w:p>
      <w:pPr>
        <w:pStyle w:val="4"/>
        <w:numPr>
          <w:ilvl w:val="0"/>
          <w:numId w:val="1"/>
        </w:numPr>
        <w:ind w:left="0" w:leftChars="0"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、注册资产评估师执行资产评估业务的目的是对评估对象价值进行估算并发表 专业意见， 并不承担相关当事人决策的责任。评估结论不应当被认为是对评估对象可实现价格的保证；</w:t>
      </w:r>
    </w:p>
    <w:p>
      <w:pPr>
        <w:pStyle w:val="4"/>
        <w:numPr>
          <w:ilvl w:val="0"/>
          <w:numId w:val="1"/>
        </w:numPr>
        <w:ind w:left="0" w:leftChars="0"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、遵守相关法律、法规和资产评估准则， 对评估对象价值进行估算并发表专业 意见， 是注册资产评估师的责任； 提供必要的资料并保证所提供资料的真实性、合法性和完整性，恰当使用评估报告是委托方和相关当事方的责任；</w:t>
      </w:r>
    </w:p>
    <w:p>
      <w:pPr>
        <w:pStyle w:val="4"/>
        <w:numPr>
          <w:ilvl w:val="0"/>
          <w:numId w:val="1"/>
        </w:numPr>
        <w:ind w:left="0" w:leftChars="0"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、注册资产评估师对评估对象的法律权属状况给予了必要的关注， 但不对评估对象的法律权属作任何形式的保证；</w:t>
      </w:r>
    </w:p>
    <w:p>
      <w:pPr>
        <w:pStyle w:val="4"/>
        <w:numPr>
          <w:ilvl w:val="0"/>
          <w:numId w:val="1"/>
        </w:numPr>
        <w:ind w:left="0" w:leftChars="0"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、评估报告的使用仅限于评估报告中载明的评估目的， 因使用不当造成的后果与签字注册资产评估师及本评估机构无关。</w:t>
      </w:r>
    </w:p>
    <w:p>
      <w:pPr>
        <w:spacing w:before="117" w:line="220" w:lineRule="auto"/>
        <w:ind w:left="0" w:leftChars="0" w:firstLine="0" w:firstLineChars="0"/>
        <w:jc w:val="center"/>
        <w:rPr>
          <w:rFonts w:hint="eastAsia" w:ascii="宋体" w:hAnsi="宋体" w:eastAsia="宋体" w:cs="宋体"/>
          <w:sz w:val="36"/>
          <w:szCs w:val="36"/>
        </w:rPr>
      </w:pPr>
      <w:r>
        <w:rPr>
          <w:rFonts w:hint="eastAsia" w:ascii="宋体" w:hAnsi="宋体" w:eastAsia="宋体" w:cs="宋体"/>
          <w:spacing w:val="-1"/>
          <w:sz w:val="36"/>
          <w:szCs w:val="36"/>
          <w14:textOutline w14:w="4572" w14:cap="flat" w14:cmpd="sng">
            <w14:solidFill>
              <w14:srgbClr w14:val="000000"/>
            </w14:solidFill>
            <w14:prstDash w14:val="solid"/>
            <w14:miter w14:val="0"/>
          </w14:textOutline>
        </w:rPr>
        <w:t>北京清华同衡规划设计研究院有限公司</w:t>
      </w:r>
    </w:p>
    <w:p>
      <w:pPr>
        <w:spacing w:before="274" w:line="220" w:lineRule="auto"/>
        <w:ind w:left="0" w:leftChars="0" w:firstLine="0" w:firstLineChars="0"/>
        <w:jc w:val="center"/>
        <w:rPr>
          <w:rFonts w:hint="eastAsia" w:ascii="宋体" w:hAnsi="宋体" w:eastAsia="宋体" w:cs="宋体"/>
          <w:sz w:val="36"/>
          <w:szCs w:val="36"/>
        </w:rPr>
      </w:pPr>
      <w:r>
        <w:rPr>
          <w:rFonts w:hint="eastAsia" w:ascii="宋体" w:hAnsi="宋体" w:eastAsia="宋体" w:cs="宋体"/>
          <w:spacing w:val="-1"/>
          <w:sz w:val="36"/>
          <w:szCs w:val="36"/>
          <w14:textOutline w14:w="4572" w14:cap="flat" w14:cmpd="sng">
            <w14:solidFill>
              <w14:srgbClr w14:val="000000"/>
            </w14:solidFill>
            <w14:prstDash w14:val="solid"/>
            <w14:miter w14:val="0"/>
          </w14:textOutline>
        </w:rPr>
        <w:t>拥有的软件著作权资产组合项目</w:t>
      </w:r>
    </w:p>
    <w:p>
      <w:pPr>
        <w:spacing w:before="283" w:line="219" w:lineRule="auto"/>
        <w:ind w:left="0" w:leftChars="0" w:firstLine="0" w:firstLineChars="0"/>
        <w:jc w:val="center"/>
        <w:rPr>
          <w:rFonts w:hint="eastAsia" w:ascii="宋体" w:hAnsi="宋体" w:eastAsia="宋体" w:cs="宋体"/>
          <w:sz w:val="44"/>
          <w:szCs w:val="44"/>
        </w:rPr>
      </w:pPr>
      <w:bookmarkStart w:id="0" w:name="bookmark3"/>
      <w:bookmarkEnd w:id="0"/>
      <w:r>
        <w:rPr>
          <w:rFonts w:hint="eastAsia" w:ascii="宋体" w:hAnsi="宋体" w:eastAsia="宋体" w:cs="宋体"/>
          <w:spacing w:val="-4"/>
          <w:sz w:val="44"/>
          <w:szCs w:val="44"/>
          <w14:textOutline w14:w="5587" w14:cap="flat" w14:cmpd="sng">
            <w14:solidFill>
              <w14:srgbClr w14:val="000000"/>
            </w14:solidFill>
            <w14:prstDash w14:val="solid"/>
            <w14:miter w14:val="0"/>
          </w14:textOutline>
        </w:rPr>
        <w:t>资产评估报告书摘要</w:t>
      </w:r>
    </w:p>
    <w:p>
      <w:pPr>
        <w:pStyle w:val="4"/>
        <w:spacing w:line="345" w:lineRule="auto"/>
        <w:rPr>
          <w:rFonts w:hint="eastAsia" w:ascii="宋体" w:hAnsi="宋体" w:eastAsia="宋体" w:cs="宋体"/>
          <w:sz w:val="24"/>
          <w:szCs w:val="24"/>
        </w:rPr>
      </w:pPr>
    </w:p>
    <w:p>
      <w:pPr>
        <w:spacing w:before="79" w:line="220" w:lineRule="auto"/>
        <w:ind w:left="2522"/>
        <w:jc w:val="right"/>
        <w:rPr>
          <w:rFonts w:hint="eastAsia" w:ascii="宋体" w:hAnsi="宋体" w:eastAsia="宋体" w:cs="宋体"/>
          <w:sz w:val="24"/>
          <w:szCs w:val="24"/>
        </w:rPr>
      </w:pPr>
      <w:r>
        <w:rPr>
          <w:rFonts w:hint="eastAsia" w:ascii="宋体" w:hAnsi="宋体" w:eastAsia="宋体" w:cs="宋体"/>
          <w:spacing w:val="-1"/>
          <w:sz w:val="24"/>
          <w:szCs w:val="24"/>
        </w:rPr>
        <w:t>立道评报字【20</w:t>
      </w:r>
      <w:r>
        <w:rPr>
          <w:rFonts w:hint="eastAsia" w:ascii="宋体" w:hAnsi="宋体" w:cs="宋体"/>
          <w:spacing w:val="-1"/>
          <w:sz w:val="24"/>
          <w:szCs w:val="24"/>
          <w:lang w:val="en-US" w:eastAsia="zh-CN"/>
        </w:rPr>
        <w:t>2</w:t>
      </w:r>
      <w:r>
        <w:rPr>
          <w:rFonts w:hint="eastAsia" w:ascii="宋体" w:hAnsi="宋体" w:eastAsia="宋体" w:cs="宋体"/>
          <w:spacing w:val="-1"/>
          <w:sz w:val="24"/>
          <w:szCs w:val="24"/>
        </w:rPr>
        <w:t>4】第</w:t>
      </w:r>
      <w:r>
        <w:rPr>
          <w:rFonts w:hint="eastAsia" w:ascii="宋体" w:hAnsi="宋体" w:eastAsia="宋体" w:cs="宋体"/>
          <w:spacing w:val="-51"/>
          <w:sz w:val="24"/>
          <w:szCs w:val="24"/>
        </w:rPr>
        <w:t xml:space="preserve"> </w:t>
      </w:r>
      <w:r>
        <w:rPr>
          <w:rFonts w:hint="eastAsia" w:ascii="宋体" w:hAnsi="宋体" w:eastAsia="宋体" w:cs="宋体"/>
          <w:spacing w:val="-1"/>
          <w:sz w:val="24"/>
          <w:szCs w:val="24"/>
        </w:rPr>
        <w:t>A1072</w:t>
      </w:r>
      <w:r>
        <w:rPr>
          <w:rFonts w:hint="eastAsia" w:ascii="宋体" w:hAnsi="宋体" w:eastAsia="宋体" w:cs="宋体"/>
          <w:spacing w:val="-45"/>
          <w:sz w:val="24"/>
          <w:szCs w:val="24"/>
        </w:rPr>
        <w:t xml:space="preserve"> </w:t>
      </w:r>
      <w:r>
        <w:rPr>
          <w:rFonts w:hint="eastAsia" w:ascii="宋体" w:hAnsi="宋体" w:eastAsia="宋体" w:cs="宋体"/>
          <w:spacing w:val="-1"/>
          <w:sz w:val="24"/>
          <w:szCs w:val="24"/>
        </w:rPr>
        <w:t>号</w:t>
      </w:r>
    </w:p>
    <w:p>
      <w:pPr>
        <w:spacing w:before="308" w:line="226" w:lineRule="auto"/>
        <w:ind w:left="45"/>
        <w:rPr>
          <w:rFonts w:hint="eastAsia" w:ascii="宋体" w:hAnsi="宋体" w:eastAsia="宋体" w:cs="宋体"/>
          <w:sz w:val="24"/>
          <w:szCs w:val="24"/>
        </w:rPr>
      </w:pPr>
      <w:r>
        <w:rPr>
          <w:rFonts w:hint="eastAsia" w:ascii="宋体" w:hAnsi="宋体" w:eastAsia="宋体" w:cs="宋体"/>
          <w:spacing w:val="-8"/>
          <w:sz w:val="24"/>
          <w:szCs w:val="24"/>
          <w14:textOutline w14:w="3556" w14:cap="flat" w14:cmpd="sng">
            <w14:solidFill>
              <w14:srgbClr w14:val="000000"/>
            </w14:solidFill>
            <w14:prstDash w14:val="solid"/>
            <w14:miter w14:val="0"/>
          </w14:textOutline>
        </w:rPr>
        <w:t>北京清华同衡规划设计研究院有限公司</w:t>
      </w:r>
      <w:r>
        <w:rPr>
          <w:rFonts w:hint="eastAsia" w:ascii="宋体" w:hAnsi="宋体" w:eastAsia="宋体" w:cs="宋体"/>
          <w:spacing w:val="-12"/>
          <w:sz w:val="24"/>
          <w:szCs w:val="24"/>
          <w14:textOutline w14:w="3556" w14:cap="flat" w14:cmpd="sng">
            <w14:solidFill>
              <w14:srgbClr w14:val="000000"/>
            </w14:solidFill>
            <w14:prstDash w14:val="solid"/>
            <w14:miter w14:val="0"/>
          </w14:textOutline>
        </w:rPr>
        <w:t>：</w:t>
      </w:r>
      <w:r>
        <w:rPr>
          <w:rFonts w:hint="eastAsia" w:ascii="宋体" w:hAnsi="宋体" w:eastAsia="宋体" w:cs="宋体"/>
          <w:spacing w:val="88"/>
          <w:sz w:val="24"/>
          <w:szCs w:val="24"/>
        </w:rPr>
        <w:t xml:space="preserve"> </w:t>
      </w:r>
      <w:r>
        <w:rPr>
          <w:rFonts w:hint="eastAsia" w:ascii="宋体" w:hAnsi="宋体" w:eastAsia="宋体" w:cs="宋体"/>
          <w:spacing w:val="-12"/>
          <w:sz w:val="24"/>
          <w:szCs w:val="24"/>
          <w14:textOutline w14:w="3556" w14:cap="flat" w14:cmpd="sng">
            <w14:solidFill>
              <w14:srgbClr w14:val="000000"/>
            </w14:solidFill>
            <w14:prstDash w14:val="solid"/>
            <w14:miter w14:val="0"/>
          </w14:textOutline>
        </w:rPr>
        <w:t>（</w:t>
      </w:r>
      <w:r>
        <w:rPr>
          <w:rFonts w:hint="eastAsia" w:ascii="宋体" w:hAnsi="宋体" w:eastAsia="宋体" w:cs="宋体"/>
          <w:spacing w:val="-8"/>
          <w:sz w:val="24"/>
          <w:szCs w:val="24"/>
          <w14:textOutline w14:w="3556" w14:cap="flat" w14:cmpd="sng">
            <w14:solidFill>
              <w14:srgbClr w14:val="000000"/>
            </w14:solidFill>
            <w14:prstDash w14:val="solid"/>
            <w14:miter w14:val="0"/>
          </w14:textOutline>
        </w:rPr>
        <w:t>简称“清</w:t>
      </w:r>
      <w:r>
        <w:rPr>
          <w:rFonts w:hint="eastAsia" w:ascii="宋体" w:hAnsi="宋体" w:eastAsia="宋体" w:cs="宋体"/>
          <w:spacing w:val="-9"/>
          <w:sz w:val="24"/>
          <w:szCs w:val="24"/>
          <w14:textOutline w14:w="3556" w14:cap="flat" w14:cmpd="sng">
            <w14:solidFill>
              <w14:srgbClr w14:val="000000"/>
            </w14:solidFill>
            <w14:prstDash w14:val="solid"/>
            <w14:miter w14:val="0"/>
          </w14:textOutline>
        </w:rPr>
        <w:t>华同衡”）</w:t>
      </w:r>
    </w:p>
    <w:p>
      <w:pPr>
        <w:pStyle w:val="4"/>
        <w:spacing w:line="242" w:lineRule="auto"/>
        <w:rPr>
          <w:rFonts w:hint="eastAsia" w:ascii="宋体" w:hAnsi="宋体" w:eastAsia="宋体" w:cs="宋体"/>
          <w:sz w:val="24"/>
          <w:szCs w:val="24"/>
        </w:rPr>
      </w:pPr>
    </w:p>
    <w:p>
      <w:pPr>
        <w:spacing w:before="78" w:line="338" w:lineRule="auto"/>
        <w:ind w:left="40" w:firstLine="482"/>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北京观复立道资产评估有限公司（以下简称“观复立道”或我公司） 接受贵公司 的委托， 本着独立、客观、公正的原则， 根据中国资产评估准则和其他相关法律、法 规的要求，为“清华同衡”拟对北京清控人居环境研究院有限公司投资之经济行为， 我公司评估人员在履行了必要的评估程序后， 对委托人委托评估的软件著作权资产组 合于评估基准日 2013 年 12 月 31 日，在持续经营前提下所表现的市场价值，采用收益法进行了评估，现发表评估结论专业意见如下：</w:t>
      </w:r>
    </w:p>
    <w:p>
      <w:pPr>
        <w:spacing w:before="156" w:line="405" w:lineRule="exact"/>
        <w:ind w:left="0" w:leftChars="0" w:right="30"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于评估基准日 2013 年 12 月 31 日，北京清华同衡规划设计研究院有限公司所委托评估的软件著作权资产组合的价值为 400 万元，大写人民币肆佰万元整。其中：北京清华同衡规划设计研究院有限公司拥有该项技术的 100%，即人民币400 万元，大写肆佰万元整。</w:t>
      </w:r>
    </w:p>
    <w:p>
      <w:pPr>
        <w:spacing w:before="153" w:line="339" w:lineRule="auto"/>
        <w:ind w:left="38" w:right="20" w:firstLine="481"/>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本评估报告结论的使用有效期原则上为自评估基准日起一年。如果资产状况、市 场状况与评估基准日相关状况相比发生重大变化， 委托方应当委托评估机构执行评估更新业务或重新评估。</w:t>
      </w:r>
    </w:p>
    <w:p>
      <w:pPr>
        <w:spacing w:before="154" w:line="339" w:lineRule="auto"/>
        <w:ind w:left="41" w:right="20" w:firstLine="47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本评估报告仅供委托方为本评估报告所列明的评估目的以及报送有关资产评估 主管机关审查使用。委托方应按本评估报告载明的评估目的使用， 任何不正确或不恰当地使用本评估报告所造成的不便或损失，将由评估报告使用者自行承担责任。</w:t>
      </w:r>
    </w:p>
    <w:p>
      <w:pPr>
        <w:spacing w:before="155" w:line="441" w:lineRule="exact"/>
        <w:ind w:right="19"/>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以上内容摘自资产评估报告书， 欲了解本系统的全面情况， 应认真阅读资产评估报告书全文并特别关注本报告书特别事项说明部分。</w:t>
      </w:r>
    </w:p>
    <w:p>
      <w:pPr>
        <w:tabs>
          <w:tab w:val="left" w:pos="266"/>
        </w:tabs>
        <w:spacing w:before="44" w:line="227" w:lineRule="auto"/>
        <w:rPr>
          <w:rFonts w:hint="eastAsia" w:ascii="宋体" w:hAnsi="宋体" w:eastAsia="宋体" w:cs="宋体"/>
          <w:sz w:val="24"/>
          <w:szCs w:val="24"/>
          <w:u w:val="single" w:color="auto"/>
        </w:rPr>
      </w:pPr>
    </w:p>
    <w:p>
      <w:pPr>
        <w:tabs>
          <w:tab w:val="left" w:pos="266"/>
        </w:tabs>
        <w:spacing w:before="44" w:line="227" w:lineRule="auto"/>
        <w:rPr>
          <w:rFonts w:hint="eastAsia" w:ascii="宋体" w:hAnsi="宋体" w:eastAsia="宋体" w:cs="宋体"/>
          <w:sz w:val="24"/>
          <w:szCs w:val="24"/>
          <w:u w:val="single" w:color="auto"/>
        </w:rPr>
      </w:pPr>
    </w:p>
    <w:p>
      <w:pPr>
        <w:tabs>
          <w:tab w:val="left" w:pos="266"/>
        </w:tabs>
        <w:spacing w:before="44" w:line="227" w:lineRule="auto"/>
        <w:rPr>
          <w:rFonts w:hint="eastAsia" w:ascii="宋体" w:hAnsi="宋体" w:eastAsia="宋体" w:cs="宋体"/>
          <w:sz w:val="24"/>
          <w:szCs w:val="24"/>
          <w:u w:val="single" w:color="auto"/>
        </w:rPr>
      </w:pPr>
    </w:p>
    <w:p>
      <w:pPr>
        <w:pStyle w:val="4"/>
        <w:spacing w:line="275" w:lineRule="auto"/>
        <w:rPr>
          <w:rFonts w:hint="eastAsia" w:ascii="宋体" w:hAnsi="宋体" w:eastAsia="宋体" w:cs="宋体"/>
          <w:sz w:val="24"/>
          <w:szCs w:val="24"/>
        </w:rPr>
      </w:pPr>
    </w:p>
    <w:p>
      <w:pPr>
        <w:spacing w:before="78" w:line="221" w:lineRule="auto"/>
        <w:ind w:left="556"/>
        <w:rPr>
          <w:rFonts w:hint="eastAsia" w:ascii="宋体" w:hAnsi="宋体" w:eastAsia="宋体" w:cs="宋体"/>
          <w:sz w:val="24"/>
          <w:szCs w:val="24"/>
        </w:rPr>
      </w:pPr>
      <w:r>
        <w:rPr>
          <w:rFonts w:hint="eastAsia" w:ascii="宋体" w:hAnsi="宋体" w:eastAsia="宋体" w:cs="宋体"/>
          <w:spacing w:val="-7"/>
          <w:sz w:val="24"/>
          <w:szCs w:val="24"/>
          <w14:textOutline w14:w="3048" w14:cap="flat" w14:cmpd="sng">
            <w14:solidFill>
              <w14:srgbClr w14:val="000000"/>
            </w14:solidFill>
            <w14:prstDash w14:val="solid"/>
            <w14:miter w14:val="0"/>
          </w14:textOutline>
        </w:rPr>
        <w:t>[此页无正文]</w:t>
      </w:r>
    </w:p>
    <w:p>
      <w:pPr>
        <w:pStyle w:val="4"/>
        <w:spacing w:line="252" w:lineRule="auto"/>
        <w:rPr>
          <w:rFonts w:hint="eastAsia" w:ascii="宋体" w:hAnsi="宋体" w:eastAsia="宋体" w:cs="宋体"/>
          <w:sz w:val="24"/>
          <w:szCs w:val="24"/>
        </w:rPr>
      </w:pPr>
    </w:p>
    <w:p>
      <w:pPr>
        <w:pStyle w:val="4"/>
        <w:spacing w:line="252" w:lineRule="auto"/>
        <w:rPr>
          <w:rFonts w:hint="eastAsia" w:ascii="宋体" w:hAnsi="宋体" w:eastAsia="宋体" w:cs="宋体"/>
          <w:sz w:val="24"/>
          <w:szCs w:val="24"/>
        </w:rPr>
      </w:pPr>
    </w:p>
    <w:p>
      <w:pPr>
        <w:pStyle w:val="4"/>
        <w:spacing w:line="252" w:lineRule="auto"/>
        <w:rPr>
          <w:rFonts w:hint="eastAsia" w:ascii="宋体" w:hAnsi="宋体" w:eastAsia="宋体" w:cs="宋体"/>
          <w:sz w:val="24"/>
          <w:szCs w:val="24"/>
        </w:rPr>
      </w:pPr>
    </w:p>
    <w:p>
      <w:pPr>
        <w:pStyle w:val="4"/>
        <w:spacing w:line="252" w:lineRule="auto"/>
        <w:rPr>
          <w:rFonts w:hint="eastAsia" w:ascii="宋体" w:hAnsi="宋体" w:eastAsia="宋体" w:cs="宋体"/>
          <w:sz w:val="24"/>
          <w:szCs w:val="24"/>
        </w:rPr>
      </w:pPr>
    </w:p>
    <w:p>
      <w:pPr>
        <w:pStyle w:val="4"/>
        <w:spacing w:line="253" w:lineRule="auto"/>
        <w:rPr>
          <w:rFonts w:hint="eastAsia" w:ascii="宋体" w:hAnsi="宋体" w:eastAsia="宋体" w:cs="宋体"/>
          <w:sz w:val="24"/>
          <w:szCs w:val="24"/>
        </w:rPr>
      </w:pPr>
    </w:p>
    <w:p>
      <w:pPr>
        <w:pStyle w:val="4"/>
        <w:spacing w:line="253" w:lineRule="auto"/>
        <w:rPr>
          <w:rFonts w:hint="eastAsia" w:ascii="宋体" w:hAnsi="宋体" w:eastAsia="宋体" w:cs="宋体"/>
          <w:sz w:val="24"/>
          <w:szCs w:val="24"/>
        </w:rPr>
      </w:pPr>
    </w:p>
    <w:p>
      <w:pPr>
        <w:pStyle w:val="4"/>
        <w:spacing w:line="253" w:lineRule="auto"/>
        <w:rPr>
          <w:rFonts w:hint="eastAsia" w:ascii="宋体" w:hAnsi="宋体" w:eastAsia="宋体" w:cs="宋体"/>
          <w:sz w:val="24"/>
          <w:szCs w:val="24"/>
        </w:rPr>
      </w:pPr>
    </w:p>
    <w:p>
      <w:pPr>
        <w:pStyle w:val="4"/>
        <w:spacing w:line="253" w:lineRule="auto"/>
        <w:rPr>
          <w:rFonts w:hint="eastAsia" w:ascii="宋体" w:hAnsi="宋体" w:eastAsia="宋体" w:cs="宋体"/>
          <w:sz w:val="24"/>
          <w:szCs w:val="24"/>
        </w:rPr>
      </w:pPr>
    </w:p>
    <w:p>
      <w:pPr>
        <w:pStyle w:val="4"/>
        <w:spacing w:line="253" w:lineRule="auto"/>
        <w:rPr>
          <w:rFonts w:hint="eastAsia" w:ascii="宋体" w:hAnsi="宋体" w:eastAsia="宋体" w:cs="宋体"/>
          <w:sz w:val="24"/>
          <w:szCs w:val="24"/>
        </w:rPr>
      </w:pPr>
    </w:p>
    <w:p>
      <w:pPr>
        <w:pStyle w:val="4"/>
        <w:spacing w:line="253" w:lineRule="auto"/>
        <w:rPr>
          <w:rFonts w:hint="eastAsia" w:ascii="宋体" w:hAnsi="宋体" w:eastAsia="宋体" w:cs="宋体"/>
          <w:sz w:val="24"/>
          <w:szCs w:val="24"/>
        </w:rPr>
      </w:pPr>
    </w:p>
    <w:p>
      <w:pPr>
        <w:pStyle w:val="4"/>
        <w:spacing w:line="253" w:lineRule="auto"/>
        <w:rPr>
          <w:rFonts w:hint="eastAsia" w:ascii="宋体" w:hAnsi="宋体" w:eastAsia="宋体" w:cs="宋体"/>
          <w:sz w:val="24"/>
          <w:szCs w:val="24"/>
        </w:rPr>
      </w:pPr>
    </w:p>
    <w:p>
      <w:pPr>
        <w:pStyle w:val="4"/>
        <w:spacing w:line="253" w:lineRule="auto"/>
        <w:rPr>
          <w:rFonts w:hint="eastAsia" w:ascii="宋体" w:hAnsi="宋体" w:eastAsia="宋体" w:cs="宋体"/>
          <w:sz w:val="24"/>
          <w:szCs w:val="24"/>
        </w:rPr>
      </w:pPr>
    </w:p>
    <w:p>
      <w:pPr>
        <w:pStyle w:val="4"/>
        <w:spacing w:line="253" w:lineRule="auto"/>
        <w:rPr>
          <w:rFonts w:hint="eastAsia" w:ascii="宋体" w:hAnsi="宋体" w:eastAsia="宋体" w:cs="宋体"/>
          <w:sz w:val="24"/>
          <w:szCs w:val="24"/>
        </w:rPr>
      </w:pPr>
    </w:p>
    <w:p>
      <w:pPr>
        <w:pStyle w:val="4"/>
        <w:spacing w:line="253" w:lineRule="auto"/>
        <w:rPr>
          <w:rFonts w:hint="eastAsia" w:ascii="宋体" w:hAnsi="宋体" w:eastAsia="宋体" w:cs="宋体"/>
          <w:sz w:val="24"/>
          <w:szCs w:val="24"/>
        </w:rPr>
      </w:pPr>
    </w:p>
    <w:p>
      <w:pPr>
        <w:spacing w:before="78" w:line="219" w:lineRule="auto"/>
        <w:ind w:left="4147"/>
        <w:rPr>
          <w:rFonts w:hint="eastAsia" w:ascii="宋体" w:hAnsi="宋体" w:eastAsia="宋体" w:cs="宋体"/>
          <w:sz w:val="24"/>
          <w:szCs w:val="24"/>
        </w:rPr>
      </w:pPr>
      <w:r>
        <w:rPr>
          <w:rFonts w:hint="eastAsia" w:ascii="宋体" w:hAnsi="宋体" w:eastAsia="宋体" w:cs="宋体"/>
          <w:spacing w:val="-6"/>
          <w:sz w:val="24"/>
          <w:szCs w:val="24"/>
        </w:rPr>
        <w:t>评估机构法定代表人：</w:t>
      </w:r>
    </w:p>
    <w:p>
      <w:pPr>
        <w:pStyle w:val="4"/>
        <w:spacing w:line="261" w:lineRule="auto"/>
        <w:rPr>
          <w:rFonts w:hint="eastAsia" w:ascii="宋体" w:hAnsi="宋体" w:eastAsia="宋体" w:cs="宋体"/>
          <w:sz w:val="24"/>
          <w:szCs w:val="24"/>
        </w:rPr>
      </w:pPr>
    </w:p>
    <w:p>
      <w:pPr>
        <w:pStyle w:val="4"/>
        <w:spacing w:line="262" w:lineRule="auto"/>
        <w:rPr>
          <w:rFonts w:hint="eastAsia" w:ascii="宋体" w:hAnsi="宋体" w:eastAsia="宋体" w:cs="宋体"/>
          <w:sz w:val="24"/>
          <w:szCs w:val="24"/>
        </w:rPr>
      </w:pPr>
    </w:p>
    <w:p>
      <w:pPr>
        <w:spacing w:before="78" w:line="219" w:lineRule="auto"/>
        <w:ind w:left="4261"/>
        <w:rPr>
          <w:rFonts w:hint="eastAsia" w:ascii="宋体" w:hAnsi="宋体" w:eastAsia="宋体" w:cs="宋体"/>
          <w:sz w:val="24"/>
          <w:szCs w:val="24"/>
        </w:rPr>
      </w:pPr>
      <w:r>
        <w:rPr>
          <w:rFonts w:hint="eastAsia" w:ascii="宋体" w:hAnsi="宋体" w:eastAsia="宋体" w:cs="宋体"/>
          <w:spacing w:val="-8"/>
          <w:sz w:val="24"/>
          <w:szCs w:val="24"/>
        </w:rPr>
        <w:t>中国注册资产评估师：</w:t>
      </w:r>
    </w:p>
    <w:p>
      <w:pPr>
        <w:pStyle w:val="4"/>
        <w:spacing w:line="262" w:lineRule="auto"/>
        <w:ind w:left="0" w:leftChars="0" w:firstLine="0" w:firstLineChars="0"/>
        <w:rPr>
          <w:rFonts w:hint="eastAsia" w:ascii="宋体" w:hAnsi="宋体" w:eastAsia="宋体" w:cs="宋体"/>
          <w:sz w:val="24"/>
          <w:szCs w:val="24"/>
        </w:rPr>
      </w:pPr>
    </w:p>
    <w:p>
      <w:pPr>
        <w:pStyle w:val="4"/>
        <w:spacing w:line="262" w:lineRule="auto"/>
        <w:rPr>
          <w:rFonts w:hint="eastAsia" w:ascii="宋体" w:hAnsi="宋体" w:eastAsia="宋体" w:cs="宋体"/>
          <w:sz w:val="24"/>
          <w:szCs w:val="24"/>
        </w:rPr>
      </w:pPr>
    </w:p>
    <w:p>
      <w:pPr>
        <w:spacing w:before="78" w:line="219" w:lineRule="auto"/>
        <w:ind w:left="4261"/>
        <w:rPr>
          <w:rFonts w:hint="eastAsia" w:ascii="宋体" w:hAnsi="宋体" w:eastAsia="宋体" w:cs="宋体"/>
          <w:sz w:val="24"/>
          <w:szCs w:val="24"/>
        </w:rPr>
      </w:pPr>
      <w:r>
        <w:rPr>
          <w:rFonts w:hint="eastAsia" w:ascii="宋体" w:hAnsi="宋体" w:eastAsia="宋体" w:cs="宋体"/>
          <w:spacing w:val="-8"/>
          <w:sz w:val="24"/>
          <w:szCs w:val="24"/>
        </w:rPr>
        <w:t>中国注册资产评估师：</w:t>
      </w:r>
    </w:p>
    <w:p>
      <w:pPr>
        <w:pStyle w:val="4"/>
        <w:spacing w:line="259" w:lineRule="auto"/>
        <w:rPr>
          <w:rFonts w:hint="eastAsia" w:ascii="宋体" w:hAnsi="宋体" w:eastAsia="宋体" w:cs="宋体"/>
          <w:sz w:val="24"/>
          <w:szCs w:val="24"/>
        </w:rPr>
      </w:pPr>
    </w:p>
    <w:p>
      <w:pPr>
        <w:pStyle w:val="4"/>
        <w:spacing w:line="259" w:lineRule="auto"/>
        <w:rPr>
          <w:rFonts w:hint="eastAsia" w:ascii="宋体" w:hAnsi="宋体" w:eastAsia="宋体" w:cs="宋体"/>
          <w:sz w:val="24"/>
          <w:szCs w:val="24"/>
        </w:rPr>
      </w:pPr>
    </w:p>
    <w:p>
      <w:pPr>
        <w:pStyle w:val="4"/>
        <w:spacing w:line="259" w:lineRule="auto"/>
        <w:rPr>
          <w:rFonts w:hint="eastAsia" w:ascii="宋体" w:hAnsi="宋体" w:eastAsia="宋体" w:cs="宋体"/>
          <w:sz w:val="24"/>
          <w:szCs w:val="24"/>
        </w:rPr>
      </w:pPr>
    </w:p>
    <w:p>
      <w:pPr>
        <w:spacing w:before="78" w:line="624" w:lineRule="exact"/>
        <w:ind w:left="4123"/>
        <w:rPr>
          <w:rFonts w:hint="eastAsia" w:ascii="宋体" w:hAnsi="宋体" w:eastAsia="宋体" w:cs="宋体"/>
          <w:sz w:val="24"/>
          <w:szCs w:val="24"/>
        </w:rPr>
      </w:pPr>
      <w:r>
        <w:rPr>
          <w:rFonts w:hint="eastAsia" w:ascii="宋体" w:hAnsi="宋体" w:eastAsia="宋体" w:cs="宋体"/>
          <w:spacing w:val="-1"/>
          <w:position w:val="29"/>
          <w:sz w:val="24"/>
          <w:szCs w:val="24"/>
        </w:rPr>
        <w:t>北京立道资产评估有限公司</w:t>
      </w:r>
    </w:p>
    <w:p>
      <w:pPr>
        <w:spacing w:line="220" w:lineRule="auto"/>
        <w:ind w:left="4483"/>
        <w:rPr>
          <w:rFonts w:hint="eastAsia" w:ascii="宋体" w:hAnsi="宋体" w:eastAsia="宋体" w:cs="宋体"/>
          <w:sz w:val="24"/>
          <w:szCs w:val="24"/>
        </w:rPr>
      </w:pPr>
      <w:r>
        <w:rPr>
          <w:rFonts w:hint="eastAsia" w:ascii="宋体" w:hAnsi="宋体" w:eastAsia="宋体" w:cs="宋体"/>
          <w:spacing w:val="-2"/>
          <w:sz w:val="24"/>
          <w:szCs w:val="24"/>
        </w:rPr>
        <w:t>二零</w:t>
      </w:r>
      <w:r>
        <w:rPr>
          <w:rFonts w:hint="eastAsia" w:ascii="宋体" w:hAnsi="宋体" w:cs="宋体"/>
          <w:spacing w:val="-2"/>
          <w:sz w:val="24"/>
          <w:szCs w:val="24"/>
          <w:lang w:val="en-US" w:eastAsia="zh-CN"/>
        </w:rPr>
        <w:t>二</w:t>
      </w:r>
      <w:r>
        <w:rPr>
          <w:rFonts w:hint="eastAsia" w:ascii="宋体" w:hAnsi="宋体" w:eastAsia="宋体" w:cs="宋体"/>
          <w:spacing w:val="-2"/>
          <w:sz w:val="24"/>
          <w:szCs w:val="24"/>
        </w:rPr>
        <w:t>四年</w:t>
      </w:r>
      <w:r>
        <w:rPr>
          <w:rFonts w:hint="eastAsia" w:ascii="宋体" w:hAnsi="宋体" w:cs="宋体"/>
          <w:spacing w:val="-2"/>
          <w:sz w:val="24"/>
          <w:szCs w:val="24"/>
          <w:lang w:val="en-US" w:eastAsia="zh-CN"/>
        </w:rPr>
        <w:t>x</w:t>
      </w:r>
      <w:r>
        <w:rPr>
          <w:rFonts w:hint="eastAsia" w:ascii="宋体" w:hAnsi="宋体" w:eastAsia="宋体" w:cs="宋体"/>
          <w:spacing w:val="-2"/>
          <w:sz w:val="24"/>
          <w:szCs w:val="24"/>
        </w:rPr>
        <w:t>月</w:t>
      </w:r>
      <w:r>
        <w:rPr>
          <w:rFonts w:hint="eastAsia" w:ascii="宋体" w:hAnsi="宋体" w:cs="宋体"/>
          <w:spacing w:val="-2"/>
          <w:sz w:val="24"/>
          <w:szCs w:val="24"/>
          <w:lang w:val="en-US" w:eastAsia="zh-CN"/>
        </w:rPr>
        <w:t>x</w:t>
      </w:r>
      <w:r>
        <w:rPr>
          <w:rFonts w:hint="eastAsia" w:ascii="宋体" w:hAnsi="宋体" w:eastAsia="宋体" w:cs="宋体"/>
          <w:spacing w:val="-2"/>
          <w:sz w:val="24"/>
          <w:szCs w:val="24"/>
        </w:rPr>
        <w:t>日</w:t>
      </w:r>
    </w:p>
    <w:p>
      <w:pPr>
        <w:pStyle w:val="4"/>
        <w:spacing w:line="393" w:lineRule="auto"/>
        <w:rPr>
          <w:rFonts w:hint="eastAsia" w:ascii="宋体" w:hAnsi="宋体" w:eastAsia="宋体" w:cs="宋体"/>
          <w:sz w:val="24"/>
          <w:szCs w:val="24"/>
        </w:rPr>
      </w:pPr>
      <w:bookmarkStart w:id="15" w:name="_GoBack"/>
      <w:bookmarkEnd w:id="15"/>
    </w:p>
    <w:p>
      <w:pPr>
        <w:pStyle w:val="4"/>
        <w:spacing w:line="393" w:lineRule="auto"/>
        <w:rPr>
          <w:rFonts w:hint="eastAsia" w:ascii="宋体" w:hAnsi="宋体" w:eastAsia="宋体" w:cs="宋体"/>
          <w:sz w:val="24"/>
          <w:szCs w:val="24"/>
        </w:rPr>
      </w:pPr>
    </w:p>
    <w:p>
      <w:pPr>
        <w:pStyle w:val="4"/>
        <w:spacing w:line="393" w:lineRule="auto"/>
        <w:rPr>
          <w:rFonts w:hint="eastAsia" w:ascii="宋体" w:hAnsi="宋体" w:eastAsia="宋体" w:cs="宋体"/>
          <w:sz w:val="24"/>
          <w:szCs w:val="24"/>
        </w:rPr>
      </w:pPr>
    </w:p>
    <w:p>
      <w:pPr>
        <w:spacing w:before="117" w:line="220" w:lineRule="auto"/>
        <w:ind w:left="0" w:leftChars="0" w:firstLine="0" w:firstLineChars="0"/>
        <w:jc w:val="center"/>
        <w:rPr>
          <w:rFonts w:hint="eastAsia" w:ascii="宋体" w:hAnsi="宋体" w:eastAsia="宋体" w:cs="宋体"/>
          <w:sz w:val="36"/>
          <w:szCs w:val="36"/>
        </w:rPr>
      </w:pPr>
      <w:r>
        <w:rPr>
          <w:rFonts w:hint="eastAsia" w:ascii="宋体" w:hAnsi="宋体" w:eastAsia="宋体" w:cs="宋体"/>
          <w:spacing w:val="-1"/>
          <w:sz w:val="36"/>
          <w:szCs w:val="36"/>
          <w14:textOutline w14:w="4572" w14:cap="flat" w14:cmpd="sng">
            <w14:solidFill>
              <w14:srgbClr w14:val="000000"/>
            </w14:solidFill>
            <w14:prstDash w14:val="solid"/>
            <w14:miter w14:val="0"/>
          </w14:textOutline>
        </w:rPr>
        <w:t>北京清华同衡规划设计研究院有限公司</w:t>
      </w:r>
    </w:p>
    <w:p>
      <w:pPr>
        <w:spacing w:before="196" w:line="220" w:lineRule="auto"/>
        <w:ind w:left="0" w:leftChars="0" w:firstLine="0" w:firstLineChars="0"/>
        <w:jc w:val="center"/>
        <w:rPr>
          <w:rFonts w:hint="eastAsia" w:ascii="宋体" w:hAnsi="宋体" w:eastAsia="宋体" w:cs="宋体"/>
          <w:sz w:val="36"/>
          <w:szCs w:val="36"/>
        </w:rPr>
      </w:pPr>
      <w:r>
        <w:rPr>
          <w:rFonts w:hint="eastAsia" w:ascii="宋体" w:hAnsi="宋体" w:eastAsia="宋体" w:cs="宋体"/>
          <w:spacing w:val="-1"/>
          <w:sz w:val="36"/>
          <w:szCs w:val="36"/>
          <w14:textOutline w14:w="4572" w14:cap="flat" w14:cmpd="sng">
            <w14:solidFill>
              <w14:srgbClr w14:val="000000"/>
            </w14:solidFill>
            <w14:prstDash w14:val="solid"/>
            <w14:miter w14:val="0"/>
          </w14:textOutline>
        </w:rPr>
        <w:t>拥有的软件著作权资产组合项目</w:t>
      </w:r>
    </w:p>
    <w:p>
      <w:pPr>
        <w:spacing w:before="153" w:line="219"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pacing w:val="-5"/>
          <w:sz w:val="44"/>
          <w:szCs w:val="44"/>
          <w14:textOutline w14:w="5587" w14:cap="flat" w14:cmpd="sng">
            <w14:solidFill>
              <w14:srgbClr w14:val="000000"/>
            </w14:solidFill>
            <w14:prstDash w14:val="solid"/>
            <w14:miter w14:val="0"/>
          </w14:textOutline>
        </w:rPr>
        <w:t>资产评估报告书</w:t>
      </w:r>
    </w:p>
    <w:p>
      <w:pPr>
        <w:spacing w:before="125" w:line="220" w:lineRule="auto"/>
        <w:ind w:left="2274"/>
        <w:jc w:val="right"/>
        <w:rPr>
          <w:rFonts w:hint="eastAsia" w:ascii="宋体" w:hAnsi="宋体" w:eastAsia="宋体" w:cs="宋体"/>
          <w:sz w:val="24"/>
          <w:szCs w:val="24"/>
        </w:rPr>
      </w:pPr>
      <w:r>
        <w:rPr>
          <w:rFonts w:hint="eastAsia" w:ascii="宋体" w:hAnsi="宋体" w:eastAsia="宋体" w:cs="宋体"/>
          <w:spacing w:val="-1"/>
          <w:sz w:val="24"/>
          <w:szCs w:val="24"/>
        </w:rPr>
        <w:t>立道评报字【20</w:t>
      </w:r>
      <w:r>
        <w:rPr>
          <w:rFonts w:hint="eastAsia" w:ascii="宋体" w:hAnsi="宋体" w:cs="宋体"/>
          <w:spacing w:val="-1"/>
          <w:sz w:val="24"/>
          <w:szCs w:val="24"/>
          <w:lang w:val="en-US" w:eastAsia="zh-CN"/>
        </w:rPr>
        <w:t>2</w:t>
      </w:r>
      <w:r>
        <w:rPr>
          <w:rFonts w:hint="eastAsia" w:ascii="宋体" w:hAnsi="宋体" w:eastAsia="宋体" w:cs="宋体"/>
          <w:spacing w:val="-1"/>
          <w:sz w:val="24"/>
          <w:szCs w:val="24"/>
        </w:rPr>
        <w:t>4】第</w:t>
      </w:r>
      <w:r>
        <w:rPr>
          <w:rFonts w:hint="eastAsia" w:ascii="宋体" w:hAnsi="宋体" w:eastAsia="宋体" w:cs="宋体"/>
          <w:spacing w:val="-51"/>
          <w:sz w:val="24"/>
          <w:szCs w:val="24"/>
        </w:rPr>
        <w:t xml:space="preserve"> </w:t>
      </w:r>
      <w:r>
        <w:rPr>
          <w:rFonts w:hint="eastAsia" w:ascii="宋体" w:hAnsi="宋体" w:eastAsia="宋体" w:cs="宋体"/>
          <w:spacing w:val="-1"/>
          <w:sz w:val="24"/>
          <w:szCs w:val="24"/>
        </w:rPr>
        <w:t>A1072</w:t>
      </w:r>
      <w:r>
        <w:rPr>
          <w:rFonts w:hint="eastAsia" w:ascii="宋体" w:hAnsi="宋体" w:eastAsia="宋体" w:cs="宋体"/>
          <w:spacing w:val="-45"/>
          <w:sz w:val="24"/>
          <w:szCs w:val="24"/>
        </w:rPr>
        <w:t xml:space="preserve"> </w:t>
      </w:r>
      <w:r>
        <w:rPr>
          <w:rFonts w:hint="eastAsia" w:ascii="宋体" w:hAnsi="宋体" w:eastAsia="宋体" w:cs="宋体"/>
          <w:spacing w:val="-1"/>
          <w:sz w:val="24"/>
          <w:szCs w:val="24"/>
        </w:rPr>
        <w:t>号</w:t>
      </w:r>
    </w:p>
    <w:p>
      <w:pPr>
        <w:spacing w:before="239" w:line="226" w:lineRule="auto"/>
        <w:ind w:left="45"/>
        <w:rPr>
          <w:rFonts w:hint="eastAsia" w:ascii="宋体" w:hAnsi="宋体" w:eastAsia="宋体" w:cs="宋体"/>
          <w:sz w:val="24"/>
          <w:szCs w:val="24"/>
        </w:rPr>
      </w:pPr>
      <w:r>
        <w:rPr>
          <w:rFonts w:hint="eastAsia" w:ascii="宋体" w:hAnsi="宋体" w:eastAsia="宋体" w:cs="宋体"/>
          <w:spacing w:val="-8"/>
          <w:sz w:val="24"/>
          <w:szCs w:val="24"/>
          <w14:textOutline w14:w="3556" w14:cap="flat" w14:cmpd="sng">
            <w14:solidFill>
              <w14:srgbClr w14:val="000000"/>
            </w14:solidFill>
            <w14:prstDash w14:val="solid"/>
            <w14:miter w14:val="0"/>
          </w14:textOutline>
        </w:rPr>
        <w:t>北京清华同衡规划设计研究院有限公司</w:t>
      </w:r>
      <w:r>
        <w:rPr>
          <w:rFonts w:hint="eastAsia" w:ascii="宋体" w:hAnsi="宋体" w:eastAsia="宋体" w:cs="宋体"/>
          <w:spacing w:val="-12"/>
          <w:sz w:val="24"/>
          <w:szCs w:val="24"/>
          <w14:textOutline w14:w="3556" w14:cap="flat" w14:cmpd="sng">
            <w14:solidFill>
              <w14:srgbClr w14:val="000000"/>
            </w14:solidFill>
            <w14:prstDash w14:val="solid"/>
            <w14:miter w14:val="0"/>
          </w14:textOutline>
        </w:rPr>
        <w:t>：</w:t>
      </w:r>
      <w:r>
        <w:rPr>
          <w:rFonts w:hint="eastAsia" w:ascii="宋体" w:hAnsi="宋体" w:eastAsia="宋体" w:cs="宋体"/>
          <w:spacing w:val="88"/>
          <w:sz w:val="24"/>
          <w:szCs w:val="24"/>
        </w:rPr>
        <w:t xml:space="preserve"> </w:t>
      </w:r>
      <w:r>
        <w:rPr>
          <w:rFonts w:hint="eastAsia" w:ascii="宋体" w:hAnsi="宋体" w:eastAsia="宋体" w:cs="宋体"/>
          <w:spacing w:val="-12"/>
          <w:sz w:val="24"/>
          <w:szCs w:val="24"/>
          <w14:textOutline w14:w="3556" w14:cap="flat" w14:cmpd="sng">
            <w14:solidFill>
              <w14:srgbClr w14:val="000000"/>
            </w14:solidFill>
            <w14:prstDash w14:val="solid"/>
            <w14:miter w14:val="0"/>
          </w14:textOutline>
        </w:rPr>
        <w:t>（</w:t>
      </w:r>
      <w:r>
        <w:rPr>
          <w:rFonts w:hint="eastAsia" w:ascii="宋体" w:hAnsi="宋体" w:eastAsia="宋体" w:cs="宋体"/>
          <w:spacing w:val="-8"/>
          <w:sz w:val="24"/>
          <w:szCs w:val="24"/>
          <w14:textOutline w14:w="3556" w14:cap="flat" w14:cmpd="sng">
            <w14:solidFill>
              <w14:srgbClr w14:val="000000"/>
            </w14:solidFill>
            <w14:prstDash w14:val="solid"/>
            <w14:miter w14:val="0"/>
          </w14:textOutline>
        </w:rPr>
        <w:t>简称“清</w:t>
      </w:r>
      <w:r>
        <w:rPr>
          <w:rFonts w:hint="eastAsia" w:ascii="宋体" w:hAnsi="宋体" w:eastAsia="宋体" w:cs="宋体"/>
          <w:spacing w:val="-9"/>
          <w:sz w:val="24"/>
          <w:szCs w:val="24"/>
          <w14:textOutline w14:w="3556" w14:cap="flat" w14:cmpd="sng">
            <w14:solidFill>
              <w14:srgbClr w14:val="000000"/>
            </w14:solidFill>
            <w14:prstDash w14:val="solid"/>
            <w14:miter w14:val="0"/>
          </w14:textOutline>
        </w:rPr>
        <w:t>华同衡”）</w:t>
      </w:r>
    </w:p>
    <w:p>
      <w:pPr>
        <w:spacing w:before="236" w:line="360" w:lineRule="auto"/>
        <w:ind w:left="40" w:right="51" w:firstLine="482"/>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北京观复立道资产评估有限公司（以下简称“观复立道”或我公司） 接受贵 公司的委托， 本着独立、客观、公正的原则， 根据中国资产评估准则和其他相关 法律、法规的要求， 为“清华同衡”拟对北京清控人居环境研究院有限公司投资 之经济行为， 我公司评估人员在履行了必要的评估程序后， 对委托人委托评估的 软件著作权资产组合于评估基准日 20</w:t>
      </w:r>
      <w:r>
        <w:rPr>
          <w:rFonts w:hint="eastAsia" w:ascii="宋体" w:hAnsi="宋体" w:cs="宋体"/>
          <w:color w:val="auto"/>
          <w:kern w:val="2"/>
          <w:sz w:val="24"/>
          <w:szCs w:val="24"/>
          <w:lang w:val="en-US" w:eastAsia="zh-CN" w:bidi="ar-SA"/>
        </w:rPr>
        <w:t>2</w:t>
      </w:r>
      <w:r>
        <w:rPr>
          <w:rFonts w:hint="eastAsia" w:ascii="宋体" w:hAnsi="宋体" w:eastAsia="宋体" w:cs="宋体"/>
          <w:color w:val="auto"/>
          <w:kern w:val="2"/>
          <w:sz w:val="24"/>
          <w:szCs w:val="24"/>
          <w:lang w:val="en-US" w:eastAsia="zh-CN" w:bidi="ar-SA"/>
        </w:rPr>
        <w:t>3 年 12 月 31 日，在持续经营前提下所表</w:t>
      </w:r>
    </w:p>
    <w:p>
      <w:pPr>
        <w:spacing w:before="1" w:line="218" w:lineRule="auto"/>
        <w:ind w:left="41"/>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现的市场价值进行了评估，现将有关评估情况及评估结论报告如下：</w:t>
      </w:r>
    </w:p>
    <w:p>
      <w:pPr>
        <w:spacing w:before="303" w:line="219" w:lineRule="auto"/>
        <w:ind w:left="43"/>
        <w:outlineLvl w:val="0"/>
        <w:rPr>
          <w:rFonts w:hint="eastAsia" w:ascii="宋体" w:hAnsi="宋体" w:eastAsia="宋体" w:cs="宋体"/>
          <w:sz w:val="24"/>
          <w:szCs w:val="24"/>
        </w:rPr>
      </w:pPr>
      <w:r>
        <w:rPr>
          <w:rFonts w:hint="eastAsia" w:ascii="宋体" w:hAnsi="宋体" w:eastAsia="宋体" w:cs="宋体"/>
          <w:spacing w:val="-1"/>
          <w:sz w:val="24"/>
          <w:szCs w:val="24"/>
          <w14:textOutline w14:w="3048" w14:cap="flat" w14:cmpd="sng">
            <w14:solidFill>
              <w14:srgbClr w14:val="000000"/>
            </w14:solidFill>
            <w14:prstDash w14:val="solid"/>
            <w14:miter w14:val="0"/>
          </w14:textOutline>
        </w:rPr>
        <w:t>一、委托方、产权持有者和委托方以外的其他评估报告使用者</w:t>
      </w:r>
    </w:p>
    <w:p>
      <w:pPr>
        <w:spacing w:before="304" w:line="360" w:lineRule="auto"/>
        <w:ind w:left="40" w:right="52" w:firstLine="482"/>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本次资产评估项目的委托方为北京清华同衡规划设计研究院有限公司，委托方以外的其他评估报告使用者为北京清控人居环境研究院有限公司的股东及相关政府审核机关；产权持有者同委托方一致。</w:t>
      </w:r>
    </w:p>
    <w:p>
      <w:pPr>
        <w:spacing w:before="183"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1、委托方概况</w:t>
      </w:r>
    </w:p>
    <w:p>
      <w:pPr>
        <w:spacing w:before="183"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委 托 方：北京清华同衡规划设计研究院有限公司</w:t>
      </w:r>
    </w:p>
    <w:p>
      <w:pPr>
        <w:spacing w:before="183"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注 册 号:110108001274816</w:t>
      </w:r>
    </w:p>
    <w:p>
      <w:pPr>
        <w:spacing w:before="180"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住    所：北京市海淀区清河嘉园东区甲 1 号楼 16 层 1601</w:t>
      </w:r>
    </w:p>
    <w:p>
      <w:pPr>
        <w:spacing w:before="180"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法定代表人姓名：童利斌</w:t>
      </w:r>
    </w:p>
    <w:p>
      <w:pPr>
        <w:spacing w:before="180"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注册资本：3000 万元</w:t>
      </w:r>
    </w:p>
    <w:p>
      <w:pPr>
        <w:spacing w:before="182"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实收资本：3000 万元</w:t>
      </w:r>
    </w:p>
    <w:p>
      <w:pPr>
        <w:spacing w:before="182"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公司类型：有限责任公司（法人独资）</w:t>
      </w:r>
    </w:p>
    <w:p>
      <w:pPr>
        <w:spacing w:before="182"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经营范围：许可经营项目：无</w:t>
      </w:r>
    </w:p>
    <w:p>
      <w:pPr>
        <w:spacing w:before="181" w:line="360" w:lineRule="auto"/>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一般经营项目： 工程和技术研究与试验发展； 工程勘察设计； 技 术开发、技术转让、技术咨询、技术服务；设计、制作、代理、 发布广告； 会议服务；承办展览展示活动； 组织文艺术交流活动（不含演出）；出租办公用房；城市园林绿化；产品设计；</w:t>
      </w:r>
      <w:r>
        <w:rPr>
          <w:rFonts w:hint="eastAsia" w:ascii="宋体" w:hAnsi="宋体" w:eastAsia="宋体" w:cs="宋体"/>
          <w:spacing w:val="-4"/>
          <w:sz w:val="24"/>
          <w:szCs w:val="24"/>
        </w:rPr>
        <w:t>模</w:t>
      </w:r>
      <w:bookmarkStart w:id="1" w:name="bookmark4"/>
      <w:bookmarkEnd w:id="1"/>
      <w:bookmarkStart w:id="2" w:name="bookmark5"/>
      <w:bookmarkEnd w:id="2"/>
      <w:r>
        <w:rPr>
          <w:rFonts w:hint="eastAsia" w:ascii="宋体" w:hAnsi="宋体" w:eastAsia="宋体" w:cs="宋体"/>
          <w:color w:val="auto"/>
          <w:kern w:val="2"/>
          <w:sz w:val="24"/>
          <w:szCs w:val="24"/>
          <w:lang w:val="en-US" w:eastAsia="zh-CN" w:bidi="ar-SA"/>
        </w:rPr>
        <w:t>型设计；展厅的布置设计；电脑动画设计；建设工程项目管理；自然科学研究与试验发展；销售计算机、软件及辅助设备。（未取得行政许可的项目除外）</w:t>
      </w:r>
    </w:p>
    <w:p>
      <w:pPr>
        <w:spacing w:before="182"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成立日期：2000 年 04 月 07 日</w:t>
      </w:r>
    </w:p>
    <w:p>
      <w:pPr>
        <w:spacing w:before="181"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营业期限：自 2012 年 08 月 23 日至 2032 年 08 月 22 日</w:t>
      </w:r>
    </w:p>
    <w:p>
      <w:pPr>
        <w:spacing w:before="181"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2、公司介绍</w:t>
      </w:r>
    </w:p>
    <w:p>
      <w:pPr>
        <w:spacing w:before="182" w:line="360" w:lineRule="auto"/>
        <w:ind w:left="20" w:right="34" w:firstLine="484"/>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北京清华同衡规划设计研究院有限公司系北京市工商行政管理局海淀分局 批准成立有限责任公司，法定代表人童利斌，实收资本叁仟万元整，经营范围： 工程和技术研究与试验发展；工程勘察设计；技术开发、技术转让、技术咨询、 技术服务； 设计、制作、代理、发布广告； 会议服务； 承办展览展示活动； 组织 文化艺术交流活动（不含演出）；出租办公用房；城市园林绿化；产品设计；模 型设计； 展厅的布置设计； 电脑动画设计； 建设工程项目管理； 自然科学研究与试验发展；销售计算机、软件及辅助设备。</w:t>
      </w:r>
    </w:p>
    <w:p>
      <w:pPr>
        <w:spacing w:before="182" w:line="360" w:lineRule="auto"/>
        <w:ind w:left="20" w:right="86" w:firstLine="484"/>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北京清华同衡规划设计研究院有限公司成立于 1993 年（原北京清华城市规 划设计研究院），我院于 2012 年 8 月，由全民所有制改为有限责任公司， 改制完 成后整体划转至清华控股有限公司。北京清华同衡规划设计研究院拥有国家相关 主管部门授予的城市规划设计甲级资质（证书编号 081004），国家旅游规划设计 甲级资质（证书编号： 03-2003），文物保护工程勘察设计甲级资质证书（证书编号：0201SJ0025），风景园林工程设计专项乙级资质证书（证书编号：A211005872）。</w:t>
      </w:r>
    </w:p>
    <w:p>
      <w:pPr>
        <w:spacing w:before="183" w:line="360" w:lineRule="auto"/>
        <w:ind w:left="20" w:firstLine="482"/>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我院植根于清华大学的学习研究环境， 依托于清华大学的人才优势， 一直坚 持城市规划工程实践与科研、教育相结合的发展思想， 通过十余年来企业化发展 逐渐形成了自己的技术优势和突出的学术特色。我院始终坚持专业所的发展架 构， 目前已经形成近三十个专业所， 涵盖五大规划设计方向： （1）城乡规划， 包 括城乡总体规划、详细规划、城市发展策划、文化遗产保护、历史文化名城研究、 建筑与城市遗产研究、城市公共安全、城市更新、住区规划、乡土聚落与乡土建 筑研究等；（2）风景园林， 包括风景园林规划、风景旅游规划等； （3）环境、市 政与交通， 包括生态环境、环境技术、市政规划、声学设计、交通规划、消防科 学技术研究、光环境设计、能源规划、城市建筑环境与能源研究等； （4）科技与传媒，包括文化创意及传播、规划专业软件研发、数字城市及数字展示等； （5）</w:t>
      </w:r>
      <w:bookmarkStart w:id="3" w:name="bookmark6"/>
      <w:bookmarkEnd w:id="3"/>
      <w:r>
        <w:rPr>
          <w:rFonts w:hint="eastAsia" w:ascii="宋体" w:hAnsi="宋体" w:eastAsia="宋体" w:cs="宋体"/>
          <w:color w:val="auto"/>
          <w:kern w:val="2"/>
          <w:sz w:val="24"/>
          <w:szCs w:val="24"/>
          <w:lang w:val="en-US" w:eastAsia="zh-CN" w:bidi="ar-SA"/>
        </w:rPr>
        <w:t>建筑设计， 包括绿色建筑、结构优化、公共与居住建筑设计等。截止 2011 年底，我院共有专业技术人员 700 余人，大部分拥有硕士及以上学历。</w:t>
      </w:r>
    </w:p>
    <w:p>
      <w:pPr>
        <w:spacing w:before="181"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3、委估资产状况</w:t>
      </w:r>
    </w:p>
    <w:p>
      <w:pPr>
        <w:spacing w:before="183" w:line="468" w:lineRule="exact"/>
        <w:ind w:right="69"/>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软件著作权资产组合由北京清华同衡规划设计研究院有限公司开发，包括11 项著作权，具体如下：</w:t>
      </w:r>
    </w:p>
    <w:p>
      <w:pPr>
        <w:spacing w:before="181" w:line="360" w:lineRule="auto"/>
        <w:ind w:left="22" w:right="68" w:firstLine="496"/>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1）环境生态数据库管理信息系统 V1.0： [简称： EnvDBManager],2007 年 03 月 15 日，经国家版权局批准， 取得了编号为软著登字第 BJ7225 号计算机软件著 作权登记证书，软件登记号为 2007SRBJ0253，著作权人为北京清华城市规划设计研究院。</w:t>
      </w:r>
    </w:p>
    <w:p>
      <w:pPr>
        <w:spacing w:before="183" w:line="360" w:lineRule="auto"/>
        <w:ind w:left="20" w:right="68" w:firstLine="483"/>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2）化学品管道输送监控预警系统 V1.0： [简称： Digital Gallery],2010 年 04 月 09 日，经国家版权局批准， 取得了编号为软著登字第 BJ26760 号计算机软 件著作权登记证书，软件登记号为 2010SRBJ1377，著作权人为北京清华城市规划设计研究院。</w:t>
      </w:r>
    </w:p>
    <w:p>
      <w:pPr>
        <w:spacing w:before="183" w:line="360" w:lineRule="auto"/>
        <w:ind w:left="27" w:right="68" w:firstLine="47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3）河网地区城市排水系统运行管理决策支持系统 V1.0： [简称HWDrainage Info],2010 年 08 月 03 日，经国家版权局批准， 取得了编号为软著登字第 BJ28703 号计算机软件著作权登记证书，软件登记号为 2010SRBJ3320，著作权人为北京清华城市规划设计研究院。</w:t>
      </w:r>
    </w:p>
    <w:p>
      <w:pPr>
        <w:spacing w:before="182" w:line="360" w:lineRule="auto"/>
        <w:ind w:left="22" w:right="68" w:firstLine="478"/>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4）城市水环境安全监管信息平台 V1.0：[简称：Env Info],2010 年 08 月 03 日，经国家版权局批准，取得了编号为软著登字第 BJ28701 号计算机软件著 作权登记证书，软件登记号为 2010SRBJ3318，著作权人为北京清华城市规划设计研究院。</w:t>
      </w:r>
    </w:p>
    <w:p>
      <w:pPr>
        <w:spacing w:before="183" w:line="360" w:lineRule="auto"/>
        <w:ind w:left="25" w:right="68" w:firstLine="48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5）城市水环境安全决策支持系统 V1.0：[简称：Env Decision],2010 年 08 月 03 日，经国家版权局批准，取得了编号为软著登字第 BJ28702 号计算机软件 著作权登记证书，软件登记号为 2010SRBJ3319，著作权人为北京清华城市规划设计研究院。</w:t>
      </w:r>
    </w:p>
    <w:p>
      <w:pPr>
        <w:spacing w:before="183" w:line="360" w:lineRule="auto"/>
        <w:ind w:left="22" w:right="68" w:firstLine="48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6）城市水环境信息发布与关联性管理系统V1.0：[简WIRelateInfo],2010 年 09 月 30 日，经国家版权局批准，取得了编号为软著登字第 BJ29881 号计算机 软件著作权登记证书，软件登记号为 2010SRBJ4498，著作权人为北京清华城市规划设计研究院。</w:t>
      </w:r>
    </w:p>
    <w:p>
      <w:pPr>
        <w:spacing w:before="78" w:line="360" w:lineRule="auto"/>
        <w:ind w:left="22" w:right="7" w:firstLine="484"/>
        <w:rPr>
          <w:rFonts w:hint="eastAsia" w:ascii="宋体" w:hAnsi="宋体" w:eastAsia="宋体" w:cs="宋体"/>
          <w:color w:val="auto"/>
          <w:kern w:val="2"/>
          <w:sz w:val="24"/>
          <w:szCs w:val="24"/>
          <w:lang w:val="en-US" w:eastAsia="zh-CN" w:bidi="ar-SA"/>
        </w:rPr>
      </w:pPr>
      <w:bookmarkStart w:id="4" w:name="bookmark8"/>
      <w:bookmarkEnd w:id="4"/>
      <w:bookmarkStart w:id="5" w:name="bookmark7"/>
      <w:bookmarkEnd w:id="5"/>
      <w:r>
        <w:rPr>
          <w:rFonts w:hint="eastAsia" w:ascii="宋体" w:hAnsi="宋体" w:eastAsia="宋体" w:cs="宋体"/>
          <w:color w:val="auto"/>
          <w:kern w:val="2"/>
          <w:sz w:val="24"/>
          <w:szCs w:val="24"/>
          <w:lang w:val="en-US" w:eastAsia="zh-CN" w:bidi="ar-SA"/>
        </w:rPr>
        <w:t>7）城市水环境信息合作记录与管理系统 V1.0：[简称： WICorpLog], 2010 年 09 月 30 日，经国家版权局批准， 取得了编号为软著登字第 BJ29884 号计算机 软件著作权登记证书，软件登记号为 2010SRBJ4501，著作权人为北京清华城市规划设计研究院。</w:t>
      </w:r>
    </w:p>
    <w:p>
      <w:pPr>
        <w:spacing w:before="182" w:line="360" w:lineRule="auto"/>
        <w:ind w:left="20" w:right="7" w:firstLine="481"/>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8）城市水环境多类型用户注册与管理系统 V1.0： [简称： WIUser], 2010 年 09 月 30 日，经国家版权局批准， 取得了编号为软著登字第 BJ29885 号计算机软 件著作权登记证书，软件登记号为 2010SRBJ4502，著作权人为北京清华城市规划设计研究院。</w:t>
      </w:r>
    </w:p>
    <w:p>
      <w:pPr>
        <w:spacing w:before="183" w:line="360" w:lineRule="auto"/>
        <w:ind w:left="21" w:right="7" w:firstLine="48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9）城市给水管网智能管理优化调度分析软件 V1.0：[简称：DWSSOptimizer], 2011 年 11 月 03 日，经国家版权局批准，取得了编号为软著登字第 BJ36518 号 计算机软件著作权登记证书，软件登记号为 2011SRBJ4397，著作权人为北京清华城市规划设计研究院。</w:t>
      </w:r>
    </w:p>
    <w:p>
      <w:pPr>
        <w:spacing w:before="183" w:line="360" w:lineRule="auto"/>
        <w:ind w:left="16" w:right="8" w:firstLine="502"/>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10）城市排水管网数字化管理网络查询分析系统 V1.0 ： [ 简 称 DWDSWebQuerier], 2011 年 11 月 03 日，经国家版权局批准，取得了编号为软著 登字第 BJ36521 号计算机软件著作权登记证书，软件登记号为2011SRBJ4400，著作权人为北京清华城市规划设计研究院。</w:t>
      </w:r>
    </w:p>
    <w:p>
      <w:pPr>
        <w:spacing w:before="182" w:line="360" w:lineRule="auto"/>
        <w:ind w:left="20" w:right="7" w:firstLine="498"/>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11）排水规划与辅助支持系统 V1.0：[简称：DrainageAidSoft], 2007 年 08 月 29 日，经国家版权局批准，取得了编号为软著登字第 BJ9024 号计算机软 件著作权登记证书，软件登记号为 2007SRBJ2052，著作权人为北京清华城市规划设计研究院、北京清大仿通科技有限公司。</w:t>
      </w:r>
    </w:p>
    <w:p>
      <w:pPr>
        <w:spacing w:before="183" w:line="360" w:lineRule="auto"/>
        <w:ind w:left="27" w:right="8" w:firstLine="475"/>
        <w:rPr>
          <w:rFonts w:hint="eastAsia" w:ascii="宋体" w:hAnsi="宋体" w:eastAsia="宋体" w:cs="宋体"/>
          <w:sz w:val="24"/>
          <w:szCs w:val="24"/>
        </w:rPr>
      </w:pPr>
      <w:r>
        <w:rPr>
          <w:rFonts w:hint="eastAsia" w:ascii="宋体" w:hAnsi="宋体" w:eastAsia="宋体" w:cs="宋体"/>
          <w:color w:val="auto"/>
          <w:kern w:val="2"/>
          <w:sz w:val="24"/>
          <w:szCs w:val="24"/>
          <w:lang w:val="en-US" w:eastAsia="zh-CN" w:bidi="ar-SA"/>
        </w:rPr>
        <w:t>上述除第 11 项软件著作权“排水规划与辅助支持系统 V1.0”由北京清华城 市规划设计研究院、北京清大仿通科技有限公司共同持有，其他 10 项软件著作权均由北京清华城市规划设计研究院 100%持有。</w:t>
      </w:r>
    </w:p>
    <w:p>
      <w:pPr>
        <w:spacing w:before="312" w:line="219" w:lineRule="auto"/>
        <w:ind w:left="25"/>
        <w:outlineLvl w:val="0"/>
        <w:rPr>
          <w:rFonts w:hint="eastAsia" w:ascii="宋体" w:hAnsi="宋体" w:eastAsia="宋体" w:cs="宋体"/>
          <w:sz w:val="24"/>
          <w:szCs w:val="24"/>
        </w:rPr>
      </w:pPr>
      <w:r>
        <w:rPr>
          <w:rFonts w:hint="eastAsia" w:ascii="宋体" w:hAnsi="宋体" w:eastAsia="宋体" w:cs="宋体"/>
          <w:spacing w:val="-2"/>
          <w:sz w:val="24"/>
          <w:szCs w:val="24"/>
          <w14:textOutline w14:w="3048" w14:cap="flat" w14:cmpd="sng">
            <w14:solidFill>
              <w14:srgbClr w14:val="000000"/>
            </w14:solidFill>
            <w14:prstDash w14:val="solid"/>
            <w14:miter w14:val="0"/>
          </w14:textOutline>
        </w:rPr>
        <w:t>二、评估目的</w:t>
      </w:r>
    </w:p>
    <w:p>
      <w:pPr>
        <w:spacing w:before="304" w:line="360" w:lineRule="auto"/>
        <w:ind w:left="22" w:right="8" w:firstLine="481"/>
        <w:jc w:val="both"/>
        <w:rPr>
          <w:rFonts w:hint="eastAsia" w:ascii="宋体" w:hAnsi="宋体" w:eastAsia="宋体" w:cs="宋体"/>
          <w:sz w:val="24"/>
          <w:szCs w:val="24"/>
        </w:rPr>
      </w:pPr>
      <w:r>
        <w:rPr>
          <w:rFonts w:hint="eastAsia" w:ascii="宋体" w:hAnsi="宋体" w:eastAsia="宋体" w:cs="宋体"/>
          <w:color w:val="auto"/>
          <w:kern w:val="2"/>
          <w:sz w:val="24"/>
          <w:szCs w:val="24"/>
          <w:lang w:val="en-US" w:eastAsia="zh-CN" w:bidi="ar-SA"/>
        </w:rPr>
        <w:t>确定委托评估资产价值， 为委托方北京清华同衡规划设计研究院有限公司将 其拥有的软件著作权资产组合对北京清控人居环境研究院有限公司进行投资提供价值依据。</w:t>
      </w:r>
    </w:p>
    <w:p>
      <w:pPr>
        <w:spacing w:before="78" w:line="219" w:lineRule="auto"/>
        <w:ind w:left="21"/>
        <w:outlineLvl w:val="0"/>
        <w:rPr>
          <w:rFonts w:hint="eastAsia" w:ascii="宋体" w:hAnsi="宋体" w:eastAsia="宋体" w:cs="宋体"/>
          <w:sz w:val="24"/>
          <w:szCs w:val="24"/>
        </w:rPr>
      </w:pPr>
      <w:bookmarkStart w:id="6" w:name="bookmark9"/>
      <w:bookmarkEnd w:id="6"/>
      <w:r>
        <w:rPr>
          <w:rFonts w:hint="eastAsia" w:ascii="宋体" w:hAnsi="宋体" w:eastAsia="宋体" w:cs="宋体"/>
          <w:spacing w:val="-1"/>
          <w:sz w:val="24"/>
          <w:szCs w:val="24"/>
          <w14:textOutline w14:w="3048" w14:cap="flat" w14:cmpd="sng">
            <w14:solidFill>
              <w14:srgbClr w14:val="000000"/>
            </w14:solidFill>
            <w14:prstDash w14:val="solid"/>
            <w14:miter w14:val="0"/>
          </w14:textOutline>
        </w:rPr>
        <w:t>三、评估对象及评估范围</w:t>
      </w:r>
    </w:p>
    <w:p>
      <w:pPr>
        <w:spacing w:before="303"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（一）本次评估对象为：软件著作权资产组合价值。</w:t>
      </w:r>
    </w:p>
    <w:p>
      <w:pPr>
        <w:spacing w:before="183" w:line="360" w:lineRule="auto"/>
        <w:ind w:left="22" w:right="86" w:firstLine="485"/>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（二）本次评估范围包括著作权 “环境生态数据库管理信息系统 V1.0”、“化 学品管道输送监控预警系统 V1.0”、“河网地区城市排水系统运行管理决策支持 系统 V1.0”、“城市水环境安全监管信息平台 V1.0”、“城市水环境安全决策支持 系统 V1.0”、“城市水环境信息发布与关联性管理系统 V1.0”、“城市水环境信息 合作记录与管理系统 V1.0”、“城市水环境多类型用户注册与管理系统 V1.0”、“城 市给水管网智能管理优化调度分析软件 V1.0”、“城市排水管网数字化管理网络查询分析系统 V1.0”、“排水规划与辅助支持系统 V1.0”，共计 11 项。</w:t>
      </w:r>
    </w:p>
    <w:p>
      <w:pPr>
        <w:spacing w:before="181"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1、委估软件著作权的权利</w:t>
      </w:r>
    </w:p>
    <w:p>
      <w:pPr>
        <w:spacing w:before="183" w:line="360" w:lineRule="auto"/>
        <w:ind w:left="20" w:right="86" w:firstLine="48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根据国内软件著作权保护条例和其他有关知识产权法律、法规的规定， 软件 著作权拥有修改权、复制权、发行权、出租权、信息网络传播权、翻译权、许可 权及转让权等 8 项权利， 并且， 在北京清华同衡规划设计研究院有限公司转让上述软件著作权后，不再享有 8 项权利，软件著作权的权利具体如下：</w:t>
      </w:r>
    </w:p>
    <w:p>
      <w:pPr>
        <w:spacing w:before="183" w:line="360" w:lineRule="auto"/>
        <w:ind w:left="20" w:right="86" w:firstLine="48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 修改权， 即对软件进行增补、删节， 或者改变指令、语句顺序的权利；</w:t>
      </w:r>
    </w:p>
    <w:p>
      <w:pPr>
        <w:spacing w:before="183" w:line="360" w:lineRule="auto"/>
        <w:ind w:left="20" w:right="86" w:firstLine="48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（2）复制权，即将软件制作一份或者多份的权利；</w:t>
      </w:r>
    </w:p>
    <w:p>
      <w:pPr>
        <w:spacing w:before="183" w:line="360" w:lineRule="auto"/>
        <w:ind w:left="20" w:right="86" w:firstLine="48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（3）发行权，即以出售或者赠与方式向公众提供软件的原件或者复印件的权利；</w:t>
      </w:r>
    </w:p>
    <w:p>
      <w:pPr>
        <w:spacing w:before="183" w:line="360" w:lineRule="auto"/>
        <w:ind w:left="20" w:right="86" w:firstLine="48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（4）出租权，即有偿许可他人临时使用软件的权利，但是软件不是出租的主要标的情况除外；</w:t>
      </w:r>
    </w:p>
    <w:p>
      <w:pPr>
        <w:spacing w:before="183" w:line="360" w:lineRule="auto"/>
        <w:ind w:left="20" w:right="86" w:firstLine="48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（5）信息网络传播权,即以有线或者无线方式向公众提供软件， 使公众可在其个人选定的时间和地点获得软件的权利；</w:t>
      </w:r>
    </w:p>
    <w:p>
      <w:pPr>
        <w:spacing w:before="183" w:line="360" w:lineRule="auto"/>
        <w:ind w:left="20" w:right="86" w:firstLine="48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（6）翻译权，即将原软件从一种自然语言文字转换成另一种自然文字的权利；</w:t>
      </w:r>
    </w:p>
    <w:p>
      <w:pPr>
        <w:spacing w:before="183" w:line="360" w:lineRule="auto"/>
        <w:ind w:left="20" w:right="86" w:firstLine="48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（7）许可权，即许可他人行使上述 1-6 项的权利，并获得报酬的权利；</w:t>
      </w:r>
    </w:p>
    <w:p>
      <w:pPr>
        <w:spacing w:before="183" w:line="360" w:lineRule="auto"/>
        <w:ind w:left="20" w:right="86" w:firstLine="48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 转让权， 即全部或者部分转让上述 1-7 项的权利， 并获得报酬的权利。</w:t>
      </w:r>
    </w:p>
    <w:p>
      <w:pPr>
        <w:keepNext w:val="0"/>
        <w:keepLines w:val="0"/>
        <w:pageBreakBefore w:val="0"/>
        <w:widowControl w:val="0"/>
        <w:kinsoku/>
        <w:wordWrap/>
        <w:overflowPunct/>
        <w:topLinePunct w:val="0"/>
        <w:autoSpaceDE/>
        <w:autoSpaceDN/>
        <w:bidi w:val="0"/>
        <w:adjustRightInd w:val="0"/>
        <w:snapToGrid w:val="0"/>
        <w:spacing w:before="1" w:line="300" w:lineRule="auto"/>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2、软件著作权的内容</w:t>
      </w:r>
    </w:p>
    <w:p>
      <w:pPr>
        <w:keepNext w:val="0"/>
        <w:keepLines w:val="0"/>
        <w:pageBreakBefore w:val="0"/>
        <w:widowControl w:val="0"/>
        <w:kinsoku/>
        <w:wordWrap/>
        <w:overflowPunct/>
        <w:topLinePunct w:val="0"/>
        <w:autoSpaceDE/>
        <w:autoSpaceDN/>
        <w:bidi w:val="0"/>
        <w:adjustRightInd w:val="0"/>
        <w:snapToGrid w:val="0"/>
        <w:spacing w:before="182" w:line="300" w:lineRule="auto"/>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（1）软件程序的源程序和目标程序；</w:t>
      </w:r>
    </w:p>
    <w:p>
      <w:pPr>
        <w:keepNext w:val="0"/>
        <w:keepLines w:val="0"/>
        <w:pageBreakBefore w:val="0"/>
        <w:widowControl w:val="0"/>
        <w:kinsoku/>
        <w:wordWrap/>
        <w:overflowPunct/>
        <w:topLinePunct w:val="0"/>
        <w:autoSpaceDE/>
        <w:autoSpaceDN/>
        <w:bidi w:val="0"/>
        <w:adjustRightInd w:val="0"/>
        <w:snapToGrid w:val="0"/>
        <w:spacing w:before="182" w:line="300" w:lineRule="auto"/>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（2）相关文档。即指用来描述程序内容、组成、设计、功能规格、开发情</w:t>
      </w:r>
      <w:bookmarkStart w:id="7" w:name="bookmark10"/>
      <w:bookmarkEnd w:id="7"/>
      <w:r>
        <w:rPr>
          <w:rFonts w:hint="eastAsia" w:ascii="宋体" w:hAnsi="宋体" w:eastAsia="宋体" w:cs="宋体"/>
          <w:color w:val="auto"/>
          <w:kern w:val="2"/>
          <w:sz w:val="24"/>
          <w:szCs w:val="24"/>
          <w:lang w:val="en-US" w:eastAsia="zh-CN" w:bidi="ar-SA"/>
        </w:rPr>
        <w:t>况、测试结果及使用方法的文字资料和图表等，包括程序设计说明书、流程图、用户手册等。北京清华同衡规划设计研究院有限公司转让软件著作权包含将软件的源程序和相关文档一并交与受让方。</w:t>
      </w:r>
    </w:p>
    <w:p>
      <w:pPr>
        <w:keepNext w:val="0"/>
        <w:keepLines w:val="0"/>
        <w:pageBreakBefore w:val="0"/>
        <w:widowControl w:val="0"/>
        <w:kinsoku/>
        <w:wordWrap/>
        <w:overflowPunct/>
        <w:topLinePunct w:val="0"/>
        <w:autoSpaceDE/>
        <w:autoSpaceDN/>
        <w:bidi w:val="0"/>
        <w:adjustRightInd w:val="0"/>
        <w:snapToGrid w:val="0"/>
        <w:spacing w:before="301" w:line="300" w:lineRule="auto"/>
        <w:ind w:left="43"/>
        <w:textAlignment w:val="auto"/>
        <w:outlineLvl w:val="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四、价值类型和定义</w:t>
      </w:r>
    </w:p>
    <w:p>
      <w:pPr>
        <w:keepNext w:val="0"/>
        <w:keepLines w:val="0"/>
        <w:pageBreakBefore w:val="0"/>
        <w:widowControl w:val="0"/>
        <w:kinsoku/>
        <w:wordWrap/>
        <w:overflowPunct/>
        <w:topLinePunct w:val="0"/>
        <w:autoSpaceDE/>
        <w:autoSpaceDN/>
        <w:bidi w:val="0"/>
        <w:adjustRightInd w:val="0"/>
        <w:snapToGrid w:val="0"/>
        <w:spacing w:before="303" w:line="300" w:lineRule="auto"/>
        <w:ind w:left="0" w:leftChars="0" w:right="49"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本次评估采用持续经营前提下的市场价值作为选定的价值类型， 具体定义如下：市场价值是指自愿买方和自愿卖方在各自理性行事且未受任何强迫的情况下，评估对象在评估基准日进行正常公平交易的价值估计数额。</w:t>
      </w:r>
    </w:p>
    <w:p>
      <w:pPr>
        <w:keepNext w:val="0"/>
        <w:keepLines w:val="0"/>
        <w:pageBreakBefore w:val="0"/>
        <w:widowControl w:val="0"/>
        <w:kinsoku/>
        <w:wordWrap/>
        <w:overflowPunct/>
        <w:topLinePunct w:val="0"/>
        <w:autoSpaceDE/>
        <w:autoSpaceDN/>
        <w:bidi w:val="0"/>
        <w:adjustRightInd w:val="0"/>
        <w:snapToGrid w:val="0"/>
        <w:spacing w:before="184" w:line="300" w:lineRule="auto"/>
        <w:ind w:left="20" w:right="52" w:firstLine="483"/>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注册资产评估师执行评估业务的目的仅是对评估对象价值进行估算并发表 专业意见。评估结论系指评估对象在评估基准日的经济环境与市场状况以及其他 评估师所依据的评估前提和假设没有重大变化的情况下， 为满足评估目的而提出的价值估算成果，不能理解为评估对象价值实现的保证或承诺。</w:t>
      </w:r>
    </w:p>
    <w:p>
      <w:pPr>
        <w:keepNext w:val="0"/>
        <w:keepLines w:val="0"/>
        <w:pageBreakBefore w:val="0"/>
        <w:widowControl w:val="0"/>
        <w:kinsoku/>
        <w:wordWrap/>
        <w:overflowPunct/>
        <w:topLinePunct w:val="0"/>
        <w:autoSpaceDE/>
        <w:autoSpaceDN/>
        <w:bidi w:val="0"/>
        <w:adjustRightInd w:val="0"/>
        <w:snapToGrid w:val="0"/>
        <w:spacing w:before="303" w:line="300" w:lineRule="auto"/>
        <w:ind w:left="25"/>
        <w:textAlignment w:val="auto"/>
        <w:outlineLvl w:val="0"/>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五、评估基准日</w:t>
      </w:r>
      <w:r>
        <w:rPr>
          <w:rFonts w:hint="eastAsia" w:ascii="宋体" w:hAnsi="宋体" w:cs="宋体"/>
          <w:color w:val="auto"/>
          <w:kern w:val="2"/>
          <w:sz w:val="24"/>
          <w:szCs w:val="24"/>
          <w:lang w:val="en-US" w:eastAsia="zh-CN" w:bidi="ar-SA"/>
        </w:rPr>
        <w:t xml:space="preserve"> 18056209017</w:t>
      </w:r>
    </w:p>
    <w:p>
      <w:pPr>
        <w:keepNext w:val="0"/>
        <w:keepLines w:val="0"/>
        <w:pageBreakBefore w:val="0"/>
        <w:widowControl w:val="0"/>
        <w:kinsoku/>
        <w:wordWrap/>
        <w:overflowPunct/>
        <w:topLinePunct w:val="0"/>
        <w:autoSpaceDE/>
        <w:autoSpaceDN/>
        <w:bidi w:val="0"/>
        <w:adjustRightInd w:val="0"/>
        <w:snapToGrid w:val="0"/>
        <w:spacing w:before="303" w:line="300" w:lineRule="auto"/>
        <w:textAlignment w:val="auto"/>
        <w:rPr>
          <w:rFonts w:hint="eastAsia" w:ascii="宋体" w:hAnsi="宋体" w:eastAsia="宋体" w:cs="宋体"/>
          <w:spacing w:val="-6"/>
          <w:sz w:val="24"/>
          <w:szCs w:val="24"/>
        </w:rPr>
      </w:pPr>
      <w:r>
        <w:rPr>
          <w:rFonts w:hint="eastAsia" w:ascii="宋体" w:hAnsi="宋体" w:eastAsia="宋体" w:cs="宋体"/>
          <w:spacing w:val="-6"/>
          <w:sz w:val="24"/>
          <w:szCs w:val="24"/>
        </w:rPr>
        <w:t>本次资产评估的基准日为</w:t>
      </w:r>
      <w:r>
        <w:rPr>
          <w:rFonts w:hint="eastAsia" w:ascii="宋体" w:hAnsi="宋体" w:eastAsia="宋体" w:cs="宋体"/>
          <w:spacing w:val="-46"/>
          <w:sz w:val="24"/>
          <w:szCs w:val="24"/>
        </w:rPr>
        <w:t xml:space="preserve"> </w:t>
      </w:r>
      <w:r>
        <w:rPr>
          <w:rFonts w:hint="eastAsia" w:ascii="宋体" w:hAnsi="宋体" w:eastAsia="宋体" w:cs="宋体"/>
          <w:spacing w:val="-6"/>
          <w:sz w:val="24"/>
          <w:szCs w:val="24"/>
        </w:rPr>
        <w:t>2013</w:t>
      </w:r>
      <w:r>
        <w:rPr>
          <w:rFonts w:hint="eastAsia" w:ascii="宋体" w:hAnsi="宋体" w:eastAsia="宋体" w:cs="宋体"/>
          <w:spacing w:val="-50"/>
          <w:sz w:val="24"/>
          <w:szCs w:val="24"/>
        </w:rPr>
        <w:t xml:space="preserve"> </w:t>
      </w:r>
      <w:r>
        <w:rPr>
          <w:rFonts w:hint="eastAsia" w:ascii="宋体" w:hAnsi="宋体" w:eastAsia="宋体" w:cs="宋体"/>
          <w:spacing w:val="-6"/>
          <w:sz w:val="24"/>
          <w:szCs w:val="24"/>
        </w:rPr>
        <w:t>年</w:t>
      </w:r>
      <w:r>
        <w:rPr>
          <w:rFonts w:hint="eastAsia" w:ascii="宋体" w:hAnsi="宋体" w:eastAsia="宋体" w:cs="宋体"/>
          <w:spacing w:val="-33"/>
          <w:sz w:val="24"/>
          <w:szCs w:val="24"/>
        </w:rPr>
        <w:t xml:space="preserve"> </w:t>
      </w:r>
      <w:r>
        <w:rPr>
          <w:rFonts w:hint="eastAsia" w:ascii="宋体" w:hAnsi="宋体" w:eastAsia="宋体" w:cs="宋体"/>
          <w:spacing w:val="-6"/>
          <w:sz w:val="24"/>
          <w:szCs w:val="24"/>
        </w:rPr>
        <w:t>12</w:t>
      </w:r>
      <w:r>
        <w:rPr>
          <w:rFonts w:hint="eastAsia" w:ascii="宋体" w:hAnsi="宋体" w:eastAsia="宋体" w:cs="宋体"/>
          <w:spacing w:val="-45"/>
          <w:sz w:val="24"/>
          <w:szCs w:val="24"/>
        </w:rPr>
        <w:t xml:space="preserve"> </w:t>
      </w:r>
      <w:r>
        <w:rPr>
          <w:rFonts w:hint="eastAsia" w:ascii="宋体" w:hAnsi="宋体" w:eastAsia="宋体" w:cs="宋体"/>
          <w:spacing w:val="-6"/>
          <w:sz w:val="24"/>
          <w:szCs w:val="24"/>
        </w:rPr>
        <w:t>月</w:t>
      </w:r>
      <w:r>
        <w:rPr>
          <w:rFonts w:hint="eastAsia" w:ascii="宋体" w:hAnsi="宋体" w:eastAsia="宋体" w:cs="宋体"/>
          <w:spacing w:val="-45"/>
          <w:sz w:val="24"/>
          <w:szCs w:val="24"/>
        </w:rPr>
        <w:t xml:space="preserve"> </w:t>
      </w:r>
      <w:r>
        <w:rPr>
          <w:rFonts w:hint="eastAsia" w:ascii="宋体" w:hAnsi="宋体" w:eastAsia="宋体" w:cs="宋体"/>
          <w:spacing w:val="-6"/>
          <w:sz w:val="24"/>
          <w:szCs w:val="24"/>
        </w:rPr>
        <w:t>31 日。</w:t>
      </w:r>
    </w:p>
    <w:p>
      <w:pPr>
        <w:keepNext w:val="0"/>
        <w:keepLines w:val="0"/>
        <w:pageBreakBefore w:val="0"/>
        <w:widowControl w:val="0"/>
        <w:kinsoku/>
        <w:wordWrap/>
        <w:overflowPunct/>
        <w:topLinePunct w:val="0"/>
        <w:autoSpaceDE/>
        <w:autoSpaceDN/>
        <w:bidi w:val="0"/>
        <w:adjustRightInd w:val="0"/>
        <w:snapToGrid w:val="0"/>
        <w:spacing w:before="303" w:line="300" w:lineRule="auto"/>
        <w:textAlignment w:val="auto"/>
        <w:rPr>
          <w:rFonts w:hint="eastAsia" w:ascii="宋体" w:hAnsi="宋体" w:eastAsia="宋体" w:cs="宋体"/>
          <w:spacing w:val="-9"/>
          <w:position w:val="17"/>
          <w:sz w:val="24"/>
          <w:szCs w:val="24"/>
        </w:rPr>
      </w:pPr>
      <w:r>
        <w:rPr>
          <w:rFonts w:hint="eastAsia" w:ascii="宋体" w:hAnsi="宋体" w:eastAsia="宋体" w:cs="宋体"/>
          <w:spacing w:val="-8"/>
          <w:position w:val="17"/>
          <w:sz w:val="24"/>
          <w:szCs w:val="24"/>
        </w:rPr>
        <w:t>以上评估基准日是为保证评估所需资料的真实</w:t>
      </w:r>
      <w:r>
        <w:rPr>
          <w:rFonts w:hint="eastAsia" w:ascii="宋体" w:hAnsi="宋体" w:eastAsia="宋体" w:cs="宋体"/>
          <w:spacing w:val="-9"/>
          <w:position w:val="17"/>
          <w:sz w:val="24"/>
          <w:szCs w:val="24"/>
        </w:rPr>
        <w:t>性、完整性、公允性，</w:t>
      </w:r>
      <w:r>
        <w:rPr>
          <w:rFonts w:hint="eastAsia" w:ascii="宋体" w:hAnsi="宋体" w:eastAsia="宋体" w:cs="宋体"/>
          <w:spacing w:val="33"/>
          <w:position w:val="17"/>
          <w:sz w:val="24"/>
          <w:szCs w:val="24"/>
        </w:rPr>
        <w:t xml:space="preserve"> </w:t>
      </w:r>
      <w:r>
        <w:rPr>
          <w:rFonts w:hint="eastAsia" w:ascii="宋体" w:hAnsi="宋体" w:eastAsia="宋体" w:cs="宋体"/>
          <w:spacing w:val="-9"/>
          <w:position w:val="17"/>
          <w:sz w:val="24"/>
          <w:szCs w:val="24"/>
        </w:rPr>
        <w:t>经由委</w:t>
      </w:r>
    </w:p>
    <w:p>
      <w:pPr>
        <w:keepNext w:val="0"/>
        <w:keepLines w:val="0"/>
        <w:pageBreakBefore w:val="0"/>
        <w:widowControl w:val="0"/>
        <w:kinsoku/>
        <w:wordWrap/>
        <w:overflowPunct/>
        <w:topLinePunct w:val="0"/>
        <w:autoSpaceDE/>
        <w:autoSpaceDN/>
        <w:bidi w:val="0"/>
        <w:adjustRightInd w:val="0"/>
        <w:snapToGrid w:val="0"/>
        <w:spacing w:before="303" w:line="300" w:lineRule="auto"/>
        <w:textAlignment w:val="auto"/>
        <w:rPr>
          <w:rFonts w:hint="eastAsia" w:ascii="宋体" w:hAnsi="宋体" w:eastAsia="宋体" w:cs="宋体"/>
          <w:sz w:val="24"/>
          <w:szCs w:val="24"/>
        </w:rPr>
      </w:pPr>
      <w:r>
        <w:rPr>
          <w:rFonts w:hint="eastAsia" w:ascii="宋体" w:hAnsi="宋体" w:eastAsia="宋体" w:cs="宋体"/>
          <w:spacing w:val="-3"/>
          <w:sz w:val="24"/>
          <w:szCs w:val="24"/>
        </w:rPr>
        <w:t>托方、产权持有方及评估机构商定确定的。</w:t>
      </w:r>
    </w:p>
    <w:p>
      <w:pPr>
        <w:spacing w:before="303" w:line="219" w:lineRule="auto"/>
        <w:ind w:left="23"/>
        <w:outlineLvl w:val="0"/>
        <w:rPr>
          <w:rFonts w:hint="eastAsia" w:ascii="宋体" w:hAnsi="宋体" w:eastAsia="宋体" w:cs="宋体"/>
          <w:sz w:val="24"/>
          <w:szCs w:val="24"/>
        </w:rPr>
      </w:pPr>
      <w:r>
        <w:rPr>
          <w:rFonts w:hint="eastAsia" w:ascii="宋体" w:hAnsi="宋体" w:eastAsia="宋体" w:cs="宋体"/>
          <w:spacing w:val="-2"/>
          <w:sz w:val="24"/>
          <w:szCs w:val="24"/>
          <w14:textOutline w14:w="3048" w14:cap="flat" w14:cmpd="sng">
            <w14:solidFill>
              <w14:srgbClr w14:val="000000"/>
            </w14:solidFill>
            <w14:prstDash w14:val="solid"/>
            <w14:miter w14:val="0"/>
          </w14:textOutline>
        </w:rPr>
        <w:t>六、评估依据</w:t>
      </w:r>
    </w:p>
    <w:p>
      <w:pPr>
        <w:spacing w:before="303" w:line="220" w:lineRule="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(一)、</w:t>
      </w:r>
      <w:r>
        <w:rPr>
          <w:rFonts w:hint="eastAsia" w:ascii="宋体" w:hAnsi="宋体" w:eastAsia="宋体" w:cs="宋体"/>
          <w:color w:val="auto"/>
          <w:kern w:val="2"/>
          <w:sz w:val="24"/>
          <w:szCs w:val="24"/>
          <w:lang w:val="en-US" w:eastAsia="zh-CN" w:bidi="ar-SA"/>
        </w:rPr>
        <w:t>经济行为依据</w:t>
      </w:r>
    </w:p>
    <w:p>
      <w:pPr>
        <w:spacing w:before="183" w:line="468" w:lineRule="exac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（1）委托方与受托方签订的资产评估业务委托协议书；</w:t>
      </w:r>
    </w:p>
    <w:p>
      <w:pPr>
        <w:spacing w:before="1" w:line="219" w:lineRule="auto"/>
        <w:ind w:left="503"/>
        <w:rPr>
          <w:rFonts w:hint="eastAsia" w:ascii="宋体" w:hAnsi="宋体" w:cs="宋体"/>
          <w:color w:val="auto"/>
          <w:kern w:val="2"/>
          <w:sz w:val="24"/>
          <w:szCs w:val="24"/>
          <w:lang w:val="en-US" w:eastAsia="zh-CN" w:bidi="ar-SA"/>
        </w:rPr>
      </w:pPr>
    </w:p>
    <w:p>
      <w:pPr>
        <w:spacing w:before="1" w:line="219" w:lineRule="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(二)、</w:t>
      </w:r>
      <w:r>
        <w:rPr>
          <w:rFonts w:hint="eastAsia" w:ascii="宋体" w:hAnsi="宋体" w:eastAsia="宋体" w:cs="宋体"/>
          <w:color w:val="auto"/>
          <w:kern w:val="2"/>
          <w:sz w:val="24"/>
          <w:szCs w:val="24"/>
          <w:lang w:val="en-US" w:eastAsia="zh-CN" w:bidi="ar-SA"/>
        </w:rPr>
        <w:t>法律法规依据</w:t>
      </w:r>
    </w:p>
    <w:p>
      <w:pPr>
        <w:spacing w:before="182" w:line="468" w:lineRule="exact"/>
        <w:ind w:left="0" w:leftChars="0" w:right="58"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1、《中华人民共和国公司法》 （2005 年 10 月 27 日第十届全国人民代表大会常务委员会第十八次会议通过）；</w:t>
      </w:r>
    </w:p>
    <w:p>
      <w:pPr>
        <w:spacing w:before="182" w:line="468" w:lineRule="exact"/>
        <w:ind w:left="0" w:leftChars="0" w:right="50"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 《中华人民共和国增值税暂行条例实施细则》 （财政部、国家税务总局令第 50 号）；</w:t>
      </w:r>
    </w:p>
    <w:p>
      <w:pPr>
        <w:spacing w:before="181" w:line="220" w:lineRule="auto"/>
        <w:ind w:left="0" w:leftChars="0"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 《中华人民共和国企业所得税法》 （中华人民共和国主席令第 63 号）；</w:t>
      </w:r>
    </w:p>
    <w:p>
      <w:pPr>
        <w:spacing w:before="182" w:line="468" w:lineRule="exact"/>
        <w:ind w:left="0" w:leftChars="0" w:right="55" w:firstLine="480" w:firstLineChars="200"/>
        <w:jc w:val="both"/>
        <w:rPr>
          <w:rFonts w:hint="eastAsia" w:ascii="宋体" w:hAnsi="宋体" w:eastAsia="宋体" w:cs="宋体"/>
          <w:sz w:val="24"/>
          <w:szCs w:val="24"/>
        </w:rPr>
      </w:pPr>
      <w:r>
        <w:rPr>
          <w:rFonts w:hint="eastAsia" w:ascii="宋体" w:hAnsi="宋体" w:eastAsia="宋体" w:cs="宋体"/>
          <w:color w:val="auto"/>
          <w:kern w:val="2"/>
          <w:sz w:val="24"/>
          <w:szCs w:val="24"/>
          <w:lang w:val="en-US" w:eastAsia="zh-CN" w:bidi="ar-SA"/>
        </w:rPr>
        <w:t>4、 《中华人民共和国企业所得税法实施条例》 （中华人民共和国国务院令第512 号）；</w:t>
      </w:r>
    </w:p>
    <w:p>
      <w:pPr>
        <w:spacing w:before="78" w:line="468" w:lineRule="exact"/>
        <w:ind w:left="0" w:leftChars="0" w:firstLine="480" w:firstLineChars="200"/>
        <w:rPr>
          <w:rFonts w:hint="eastAsia" w:ascii="宋体" w:hAnsi="宋体" w:eastAsia="宋体" w:cs="宋体"/>
          <w:color w:val="auto"/>
          <w:kern w:val="2"/>
          <w:sz w:val="24"/>
          <w:szCs w:val="24"/>
          <w:lang w:val="en-US" w:eastAsia="zh-CN" w:bidi="ar-SA"/>
        </w:rPr>
      </w:pPr>
      <w:bookmarkStart w:id="8" w:name="bookmark11"/>
      <w:bookmarkEnd w:id="8"/>
      <w:r>
        <w:rPr>
          <w:rFonts w:hint="eastAsia" w:ascii="宋体" w:hAnsi="宋体" w:eastAsia="宋体" w:cs="宋体"/>
          <w:color w:val="auto"/>
          <w:kern w:val="2"/>
          <w:sz w:val="24"/>
          <w:szCs w:val="24"/>
          <w:lang w:val="en-US" w:eastAsia="zh-CN" w:bidi="ar-SA"/>
        </w:rPr>
        <w:t>5、 《中华人民共和国著作权法》 （中华人民共和国主席令第 26 号）；</w:t>
      </w:r>
    </w:p>
    <w:p>
      <w:pPr>
        <w:spacing w:before="78" w:line="468" w:lineRule="exact"/>
        <w:ind w:left="0" w:leftChars="0"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6、有关其他法律、法规、通知文件等。</w:t>
      </w:r>
    </w:p>
    <w:p>
      <w:pPr>
        <w:spacing w:before="181" w:line="219" w:lineRule="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(三)、</w:t>
      </w:r>
      <w:r>
        <w:rPr>
          <w:rFonts w:hint="eastAsia" w:ascii="宋体" w:hAnsi="宋体" w:eastAsia="宋体" w:cs="宋体"/>
          <w:color w:val="auto"/>
          <w:kern w:val="2"/>
          <w:sz w:val="24"/>
          <w:szCs w:val="24"/>
          <w:lang w:val="en-US" w:eastAsia="zh-CN" w:bidi="ar-SA"/>
        </w:rPr>
        <w:t>评估准则依据</w:t>
      </w:r>
    </w:p>
    <w:p>
      <w:pPr>
        <w:spacing w:before="183"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1、《资产评估准则—基本准则》 （财企【2004】20 号）；</w:t>
      </w:r>
    </w:p>
    <w:p>
      <w:pPr>
        <w:spacing w:before="183"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 《资产评估职业道德准则—基本准则》 （财企【2004】20 号）；</w:t>
      </w:r>
    </w:p>
    <w:p>
      <w:pPr>
        <w:spacing w:before="183"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 《资产评估准则—业务约定书》 （中评协【2007】189 号）；</w:t>
      </w:r>
    </w:p>
    <w:p>
      <w:pPr>
        <w:spacing w:before="183"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 《资产评估准则—工作底稿》 （【2007】189 号）；</w:t>
      </w:r>
    </w:p>
    <w:p>
      <w:pPr>
        <w:spacing w:before="183"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 《评估机构业务质量控制指南》 （中评协【2010】214 号）；</w:t>
      </w:r>
    </w:p>
    <w:p>
      <w:pPr>
        <w:spacing w:before="183"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 《著作权资产评估指导意见》 （中评协【2010】215 号）；</w:t>
      </w:r>
    </w:p>
    <w:p>
      <w:pPr>
        <w:spacing w:before="183"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7、中国注册会计师协会《注册资产评估值关注评估对象法律权属指导意见</w:t>
      </w:r>
    </w:p>
    <w:p>
      <w:pPr>
        <w:spacing w:before="183"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（会协【2003】18 号）；</w:t>
      </w:r>
    </w:p>
    <w:p>
      <w:pPr>
        <w:spacing w:before="183" w:line="468" w:lineRule="exac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8、其他准则。</w:t>
      </w:r>
    </w:p>
    <w:p>
      <w:pPr>
        <w:spacing w:before="183" w:line="468" w:lineRule="exact"/>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(四)、</w:t>
      </w:r>
      <w:r>
        <w:rPr>
          <w:rFonts w:hint="eastAsia" w:ascii="宋体" w:hAnsi="宋体" w:eastAsia="宋体" w:cs="宋体"/>
          <w:color w:val="auto"/>
          <w:kern w:val="2"/>
          <w:sz w:val="24"/>
          <w:szCs w:val="24"/>
          <w:lang w:val="en-US" w:eastAsia="zh-CN" w:bidi="ar-SA"/>
        </w:rPr>
        <w:t>产权依据</w:t>
      </w:r>
    </w:p>
    <w:p>
      <w:pPr>
        <w:spacing w:before="182"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1、计算机软件著作权登记证书；</w:t>
      </w:r>
    </w:p>
    <w:p>
      <w:pPr>
        <w:spacing w:before="183" w:line="468" w:lineRule="exac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2、委托方提供的其他相关产权依据。</w:t>
      </w:r>
    </w:p>
    <w:p>
      <w:pPr>
        <w:spacing w:before="183" w:line="468" w:lineRule="exact"/>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(五)、</w:t>
      </w:r>
      <w:r>
        <w:rPr>
          <w:rFonts w:hint="eastAsia" w:ascii="宋体" w:hAnsi="宋体" w:eastAsia="宋体" w:cs="宋体"/>
          <w:color w:val="auto"/>
          <w:kern w:val="2"/>
          <w:sz w:val="24"/>
          <w:szCs w:val="24"/>
          <w:lang w:val="en-US" w:eastAsia="zh-CN" w:bidi="ar-SA"/>
        </w:rPr>
        <w:t>取价依据及参考依据</w:t>
      </w:r>
    </w:p>
    <w:p>
      <w:pPr>
        <w:spacing w:before="183"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1、委托方提供的其他相关资料；</w:t>
      </w:r>
    </w:p>
    <w:p>
      <w:pPr>
        <w:spacing w:before="182"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2、评估人员收集的市场资料及其他资料。</w:t>
      </w:r>
    </w:p>
    <w:p>
      <w:pPr>
        <w:spacing w:before="304" w:line="219" w:lineRule="auto"/>
        <w:ind w:left="20"/>
        <w:outlineLvl w:val="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七、评估方法</w:t>
      </w:r>
    </w:p>
    <w:p>
      <w:pPr>
        <w:spacing w:before="303"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技术的评估方法有三种，即重置成本法、市场比较法和收益现值法。</w:t>
      </w:r>
    </w:p>
    <w:p>
      <w:pPr>
        <w:spacing w:before="183" w:line="360" w:lineRule="auto"/>
        <w:ind w:left="21" w:right="110" w:firstLine="486"/>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一般认为技术的价值特别是高科技成果的价值用重置成本是很难反映其价 值。因为该类资产的价值通常主要表现在高科技人才的创造性智力劳动， 该等劳 动的成果很难以劳动力成本来衡量。基于以上原因， 本次评估我们没有用重置成本法。</w:t>
      </w:r>
    </w:p>
    <w:p>
      <w:pPr>
        <w:spacing w:before="183" w:line="360" w:lineRule="auto"/>
        <w:ind w:right="10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市场比较法在资产评估中， 不管是对有形资产还是无形资产的评估都是可以 采用的， 采用市场比较法的前提条件是要有相同或相似的交易案例， 且交易行为 应该是公平交易。结合本次评估技术的自身特点及市场交易情况， 据我们的市场 调查及有关业内人士的介绍， 目前国内没有类似技术的转让案例， 本次评估由于无法找到可对比的历史交易案例及交易价格数据，故市场发也不适用本次评估。</w:t>
      </w:r>
    </w:p>
    <w:p>
      <w:pPr>
        <w:pStyle w:val="4"/>
        <w:rPr>
          <w:rFonts w:hint="eastAsia" w:ascii="宋体" w:hAnsi="宋体" w:eastAsia="宋体" w:cs="宋体"/>
          <w:sz w:val="24"/>
          <w:szCs w:val="24"/>
          <w:lang w:val="en-US" w:eastAsia="zh-CN"/>
        </w:rPr>
      </w:pPr>
      <w:bookmarkStart w:id="9" w:name="bookmark12"/>
      <w:bookmarkEnd w:id="9"/>
      <w:bookmarkStart w:id="10" w:name="bookmark13"/>
      <w:bookmarkEnd w:id="10"/>
      <w:r>
        <w:rPr>
          <w:rFonts w:hint="eastAsia" w:ascii="宋体" w:hAnsi="宋体" w:eastAsia="宋体" w:cs="宋体"/>
          <w:sz w:val="24"/>
          <w:szCs w:val="24"/>
          <w:lang w:val="en-US" w:eastAsia="zh-CN"/>
        </w:rPr>
        <w:t>由于以上评估方法的局限性， 本次对北京清华同衡规划设计研究院有限公司拥有的软件著作权资产组合的评估采用收益法中的分成率法。</w:t>
      </w:r>
    </w:p>
    <w:p>
      <w:pPr>
        <w:pStyle w:val="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在本次评估所依据的基本假设前提下，鉴于评估对象软件著作权资产组合， 能用货币衡量其未来期望收益及承担的风险， 因此采用收益现值法中的分成率法 进行评估。即： 根据相关行业和国内外宏观经济环境的综合分析， 合理预测企业 将软件著作权资产组合投入市场后， 预计所产生的未来收益情况； 在依据相关行 业特点及企业发展计划确定预测期， 分析风险因素确定折现率； 最后评估人员综 合考虑该非专利技术对于整个收益额的贡献程度， 采用利润分成率测算该非专利 技术的收益额， 即以非专利技术投资产生的收益为基础， 按一定比例（利润分成率）分成确定非专利技术的收益，然后将收益折现，计算该非专利技术的价值。</w:t>
      </w:r>
    </w:p>
    <w:p>
      <w:pPr>
        <w:spacing w:before="258"/>
        <w:ind w:left="1018"/>
        <w:rPr>
          <w:rFonts w:ascii="Times New Roman" w:hAnsi="Times New Roman" w:eastAsia="Times New Roman" w:cs="Times New Roman"/>
          <w:sz w:val="14"/>
          <w:szCs w:val="14"/>
        </w:rPr>
      </w:pPr>
      <w:r>
        <mc:AlternateContent>
          <mc:Choice Requires="wps">
            <w:drawing>
              <wp:anchor distT="0" distB="0" distL="114300" distR="114300" simplePos="0" relativeHeight="251660288" behindDoc="0" locked="0" layoutInCell="1" allowOverlap="1">
                <wp:simplePos x="0" y="0"/>
                <wp:positionH relativeFrom="column">
                  <wp:posOffset>3874135</wp:posOffset>
                </wp:positionH>
                <wp:positionV relativeFrom="paragraph">
                  <wp:posOffset>389890</wp:posOffset>
                </wp:positionV>
                <wp:extent cx="469900" cy="24892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469900" cy="248920"/>
                        </a:xfrm>
                        <a:prstGeom prst="rect">
                          <a:avLst/>
                        </a:prstGeom>
                        <a:noFill/>
                        <a:ln>
                          <a:noFill/>
                        </a:ln>
                      </wps:spPr>
                      <wps:txbx>
                        <w:txbxContent>
                          <w:p>
                            <w:pPr>
                              <w:spacing w:before="19" w:line="232" w:lineRule="auto"/>
                              <w:ind w:left="20"/>
                              <w:rPr>
                                <w:rFonts w:ascii="仿宋" w:hAnsi="仿宋" w:eastAsia="仿宋" w:cs="仿宋"/>
                                <w:sz w:val="28"/>
                                <w:szCs w:val="28"/>
                              </w:rPr>
                            </w:pPr>
                            <w:r>
                              <w:rPr>
                                <w:rFonts w:ascii="仿宋" w:hAnsi="仿宋" w:eastAsia="仿宋" w:cs="仿宋"/>
                                <w:sz w:val="28"/>
                                <w:szCs w:val="28"/>
                              </w:rPr>
                              <w:t>（</w:t>
                            </w:r>
                            <w:r>
                              <w:rPr>
                                <w:rFonts w:ascii="Times New Roman" w:hAnsi="Times New Roman" w:eastAsia="Times New Roman" w:cs="Times New Roman"/>
                                <w:sz w:val="28"/>
                                <w:szCs w:val="28"/>
                              </w:rPr>
                              <w:t>1</w:t>
                            </w:r>
                            <w:r>
                              <w:rPr>
                                <w:rFonts w:ascii="仿宋" w:hAnsi="仿宋" w:eastAsia="仿宋" w:cs="仿宋"/>
                                <w:sz w:val="28"/>
                                <w:szCs w:val="28"/>
                              </w:rPr>
                              <w:t>）</w:t>
                            </w:r>
                          </w:p>
                        </w:txbxContent>
                      </wps:txbx>
                      <wps:bodyPr lIns="0" tIns="0" rIns="0" bIns="0" upright="1"/>
                    </wps:wsp>
                  </a:graphicData>
                </a:graphic>
              </wp:anchor>
            </w:drawing>
          </mc:Choice>
          <mc:Fallback>
            <w:pict>
              <v:shape id="_x0000_s1026" o:spid="_x0000_s1026" o:spt="202" type="#_x0000_t202" style="position:absolute;left:0pt;margin-left:305.05pt;margin-top:30.7pt;height:19.6pt;width:37pt;z-index:251660288;mso-width-relative:page;mso-height-relative:page;" filled="f" stroked="f" coordsize="21600,21600" o:gfxdata="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TCBs/WAAAACgEAAA8AAAAAAAAAAQAgAAAAIgAAAGRycy9kb3ducmV2LnhtbFBLAQIU&#10;ABQAAAAIAIdO4kDRwWgBvAEAAHMDAAAOAAAAAAAAAAEAIAAAACUBAABkcnMvZTJvRG9jLnhtbFBL&#10;BQYAAAAABgAGAFkBAABTBQAAAAA=&#10;">
                <v:fill on="f" focussize="0,0"/>
                <v:stroke on="f"/>
                <v:imagedata o:title=""/>
                <o:lock v:ext="edit" aspectratio="f"/>
                <v:textbox inset="0mm,0mm,0mm,0mm">
                  <w:txbxContent>
                    <w:p>
                      <w:pPr>
                        <w:spacing w:before="19" w:line="232" w:lineRule="auto"/>
                        <w:ind w:left="20"/>
                        <w:rPr>
                          <w:rFonts w:ascii="仿宋" w:hAnsi="仿宋" w:eastAsia="仿宋" w:cs="仿宋"/>
                          <w:sz w:val="28"/>
                          <w:szCs w:val="28"/>
                        </w:rPr>
                      </w:pPr>
                      <w:r>
                        <w:rPr>
                          <w:rFonts w:ascii="仿宋" w:hAnsi="仿宋" w:eastAsia="仿宋" w:cs="仿宋"/>
                          <w:sz w:val="28"/>
                          <w:szCs w:val="28"/>
                        </w:rPr>
                        <w:t>（</w:t>
                      </w:r>
                      <w:r>
                        <w:rPr>
                          <w:rFonts w:ascii="Times New Roman" w:hAnsi="Times New Roman" w:eastAsia="Times New Roman" w:cs="Times New Roman"/>
                          <w:sz w:val="28"/>
                          <w:szCs w:val="28"/>
                        </w:rPr>
                        <w:t>1</w:t>
                      </w:r>
                      <w:r>
                        <w:rPr>
                          <w:rFonts w:ascii="仿宋" w:hAnsi="仿宋" w:eastAsia="仿宋" w:cs="仿宋"/>
                          <w:sz w:val="28"/>
                          <w:szCs w:val="28"/>
                        </w:rPr>
                        <w:t>）</w:t>
                      </w:r>
                    </w:p>
                  </w:txbxContent>
                </v:textbox>
              </v:shape>
            </w:pict>
          </mc:Fallback>
        </mc:AlternateContent>
      </w:r>
      <w:r>
        <w:rPr>
          <w:rFonts w:ascii="Times New Roman" w:hAnsi="Times New Roman" w:eastAsia="Times New Roman" w:cs="Times New Roman"/>
          <w:i/>
          <w:iCs/>
          <w:spacing w:val="-24"/>
          <w:position w:val="9"/>
          <w:sz w:val="24"/>
          <w:szCs w:val="24"/>
        </w:rPr>
        <w:t>P</w:t>
      </w:r>
      <w:r>
        <w:rPr>
          <w:rFonts w:ascii="Times New Roman" w:hAnsi="Times New Roman" w:eastAsia="Times New Roman" w:cs="Times New Roman"/>
          <w:i/>
          <w:iCs/>
          <w:spacing w:val="9"/>
          <w:position w:val="9"/>
          <w:sz w:val="24"/>
          <w:szCs w:val="24"/>
        </w:rPr>
        <w:t xml:space="preserve"> </w:t>
      </w:r>
      <w:r>
        <w:rPr>
          <w:rFonts w:ascii="微软雅黑" w:hAnsi="微软雅黑" w:eastAsia="微软雅黑" w:cs="微软雅黑"/>
          <w:spacing w:val="-24"/>
          <w:position w:val="9"/>
          <w:sz w:val="24"/>
          <w:szCs w:val="24"/>
        </w:rPr>
        <w:t>=</w:t>
      </w:r>
      <w:r>
        <w:rPr>
          <w:rFonts w:ascii="微软雅黑" w:hAnsi="微软雅黑" w:eastAsia="微软雅黑" w:cs="微软雅黑"/>
          <w:spacing w:val="-3"/>
          <w:position w:val="9"/>
          <w:sz w:val="24"/>
          <w:szCs w:val="24"/>
        </w:rPr>
        <w:t xml:space="preserve"> </w:t>
      </w:r>
      <w:r>
        <w:rPr>
          <w:position w:val="-16"/>
          <w:sz w:val="24"/>
          <w:szCs w:val="24"/>
        </w:rPr>
        <w:drawing>
          <wp:inline distT="0" distB="0" distL="0" distR="0">
            <wp:extent cx="321310" cy="369570"/>
            <wp:effectExtent l="0" t="0" r="2540" b="1905"/>
            <wp:docPr id="26" name="IM 4"/>
            <wp:cNvGraphicFramePr/>
            <a:graphic xmlns:a="http://schemas.openxmlformats.org/drawingml/2006/main">
              <a:graphicData uri="http://schemas.openxmlformats.org/drawingml/2006/picture">
                <pic:pic xmlns:pic="http://schemas.openxmlformats.org/drawingml/2006/picture">
                  <pic:nvPicPr>
                    <pic:cNvPr id="26" name="IM 4"/>
                    <pic:cNvPicPr/>
                  </pic:nvPicPr>
                  <pic:blipFill>
                    <a:blip r:embed="rId13"/>
                    <a:stretch>
                      <a:fillRect/>
                    </a:stretch>
                  </pic:blipFill>
                  <pic:spPr>
                    <a:xfrm>
                      <a:off x="0" y="0"/>
                      <a:ext cx="321873" cy="369809"/>
                    </a:xfrm>
                    <a:prstGeom prst="rect">
                      <a:avLst/>
                    </a:prstGeom>
                  </pic:spPr>
                </pic:pic>
              </a:graphicData>
            </a:graphic>
          </wp:inline>
        </w:drawing>
      </w:r>
      <w:r>
        <w:rPr>
          <w:position w:val="-16"/>
          <w:sz w:val="24"/>
          <w:szCs w:val="24"/>
        </w:rPr>
        <w:drawing>
          <wp:inline distT="0" distB="0" distL="0" distR="0">
            <wp:extent cx="235585" cy="369570"/>
            <wp:effectExtent l="0" t="0" r="2540" b="1905"/>
            <wp:docPr id="27" name="IM 6"/>
            <wp:cNvGraphicFramePr/>
            <a:graphic xmlns:a="http://schemas.openxmlformats.org/drawingml/2006/main">
              <a:graphicData uri="http://schemas.openxmlformats.org/drawingml/2006/picture">
                <pic:pic xmlns:pic="http://schemas.openxmlformats.org/drawingml/2006/picture">
                  <pic:nvPicPr>
                    <pic:cNvPr id="27" name="IM 6"/>
                    <pic:cNvPicPr/>
                  </pic:nvPicPr>
                  <pic:blipFill>
                    <a:blip r:embed="rId14"/>
                    <a:stretch>
                      <a:fillRect/>
                    </a:stretch>
                  </pic:blipFill>
                  <pic:spPr>
                    <a:xfrm>
                      <a:off x="0" y="0"/>
                      <a:ext cx="235838" cy="369809"/>
                    </a:xfrm>
                    <a:prstGeom prst="rect">
                      <a:avLst/>
                    </a:prstGeom>
                  </pic:spPr>
                </pic:pic>
              </a:graphicData>
            </a:graphic>
          </wp:inline>
        </w:drawing>
      </w:r>
      <w:r>
        <w:rPr>
          <w:rFonts w:ascii="Times New Roman" w:hAnsi="Times New Roman" w:eastAsia="Times New Roman" w:cs="Times New Roman"/>
          <w:i/>
          <w:iCs/>
          <w:spacing w:val="-5"/>
          <w:w w:val="82"/>
          <w:position w:val="19"/>
          <w:sz w:val="14"/>
          <w:szCs w:val="14"/>
        </w:rPr>
        <w:t>i</w:t>
      </w:r>
      <w:r>
        <w:rPr>
          <w:rFonts w:ascii="Times New Roman" w:hAnsi="Times New Roman" w:eastAsia="Times New Roman" w:cs="Times New Roman"/>
          <w:i/>
          <w:iCs/>
          <w:spacing w:val="-5"/>
          <w:w w:val="82"/>
          <w:position w:val="1"/>
          <w:sz w:val="14"/>
          <w:szCs w:val="14"/>
        </w:rPr>
        <w:t>i</w:t>
      </w:r>
      <w:r>
        <w:rPr>
          <w:rFonts w:ascii="Times New Roman" w:hAnsi="Times New Roman" w:eastAsia="Times New Roman" w:cs="Times New Roman"/>
          <w:i/>
          <w:iCs/>
          <w:strike/>
          <w:position w:val="1"/>
          <w:sz w:val="14"/>
          <w:szCs w:val="14"/>
        </w:rPr>
        <w:t xml:space="preserve">  </w:t>
      </w:r>
    </w:p>
    <w:p>
      <w:pPr>
        <w:pStyle w:val="4"/>
        <w:spacing w:line="244" w:lineRule="auto"/>
      </w:pPr>
    </w:p>
    <w:p>
      <w:pPr>
        <w:spacing w:before="91" w:line="218" w:lineRule="auto"/>
        <w:ind w:left="619"/>
        <w:rPr>
          <w:rFonts w:ascii="仿宋" w:hAnsi="仿宋" w:eastAsia="仿宋" w:cs="仿宋"/>
          <w:sz w:val="28"/>
          <w:szCs w:val="28"/>
        </w:rPr>
      </w:pPr>
      <w:r>
        <w:rPr>
          <w:rFonts w:ascii="仿宋" w:hAnsi="仿宋" w:eastAsia="仿宋" w:cs="仿宋"/>
          <w:spacing w:val="-24"/>
          <w:sz w:val="28"/>
          <w:szCs w:val="28"/>
        </w:rPr>
        <w:t>式中：</w:t>
      </w:r>
    </w:p>
    <w:p>
      <w:pPr>
        <w:spacing w:before="214" w:line="216" w:lineRule="auto"/>
        <w:ind w:left="592"/>
        <w:rPr>
          <w:rFonts w:ascii="仿宋" w:hAnsi="仿宋" w:eastAsia="仿宋" w:cs="仿宋"/>
          <w:sz w:val="28"/>
          <w:szCs w:val="28"/>
        </w:rPr>
      </w:pPr>
      <w:r>
        <w:rPr>
          <w:rFonts w:ascii="Times New Roman" w:hAnsi="Times New Roman" w:eastAsia="Times New Roman" w:cs="Times New Roman"/>
          <w:spacing w:val="-4"/>
          <w:sz w:val="28"/>
          <w:szCs w:val="28"/>
        </w:rPr>
        <w:t>P</w:t>
      </w:r>
      <w:r>
        <w:rPr>
          <w:rFonts w:ascii="仿宋" w:hAnsi="仿宋" w:eastAsia="仿宋" w:cs="仿宋"/>
          <w:spacing w:val="-4"/>
          <w:sz w:val="28"/>
          <w:szCs w:val="28"/>
        </w:rPr>
        <w:t>：待评估软件著作权的评估价值；</w:t>
      </w:r>
    </w:p>
    <w:p>
      <w:pPr>
        <w:spacing w:before="176" w:line="587" w:lineRule="exact"/>
        <w:ind w:left="592"/>
        <w:rPr>
          <w:rFonts w:ascii="仿宋" w:hAnsi="仿宋" w:eastAsia="仿宋" w:cs="仿宋"/>
          <w:sz w:val="28"/>
          <w:szCs w:val="28"/>
        </w:rPr>
      </w:pPr>
      <w:r>
        <w:rPr>
          <w:rFonts w:ascii="Times New Roman" w:hAnsi="Times New Roman" w:eastAsia="Times New Roman" w:cs="Times New Roman"/>
          <w:spacing w:val="-5"/>
          <w:position w:val="18"/>
          <w:sz w:val="28"/>
          <w:szCs w:val="28"/>
        </w:rPr>
        <w:t>R</w:t>
      </w:r>
      <w:r>
        <w:rPr>
          <w:rFonts w:ascii="Times New Roman" w:hAnsi="Times New Roman" w:eastAsia="Times New Roman" w:cs="Times New Roman"/>
          <w:spacing w:val="-5"/>
          <w:position w:val="15"/>
          <w:sz w:val="18"/>
          <w:szCs w:val="18"/>
        </w:rPr>
        <w:t>i</w:t>
      </w:r>
      <w:r>
        <w:rPr>
          <w:rFonts w:ascii="Times New Roman" w:hAnsi="Times New Roman" w:eastAsia="Times New Roman" w:cs="Times New Roman"/>
          <w:spacing w:val="-15"/>
          <w:position w:val="15"/>
          <w:sz w:val="18"/>
          <w:szCs w:val="18"/>
        </w:rPr>
        <w:t xml:space="preserve"> </w:t>
      </w:r>
      <w:r>
        <w:rPr>
          <w:rFonts w:ascii="仿宋" w:hAnsi="仿宋" w:eastAsia="仿宋" w:cs="仿宋"/>
          <w:spacing w:val="-5"/>
          <w:position w:val="18"/>
          <w:sz w:val="28"/>
          <w:szCs w:val="28"/>
        </w:rPr>
        <w:t>：基准日后第</w:t>
      </w:r>
      <w:r>
        <w:rPr>
          <w:rFonts w:ascii="仿宋" w:hAnsi="仿宋" w:eastAsia="仿宋" w:cs="仿宋"/>
          <w:spacing w:val="-37"/>
          <w:position w:val="18"/>
          <w:sz w:val="28"/>
          <w:szCs w:val="28"/>
        </w:rPr>
        <w:t xml:space="preserve"> </w:t>
      </w:r>
      <w:r>
        <w:rPr>
          <w:rFonts w:ascii="Times New Roman" w:hAnsi="Times New Roman" w:eastAsia="Times New Roman" w:cs="Times New Roman"/>
          <w:spacing w:val="-5"/>
          <w:position w:val="18"/>
          <w:sz w:val="28"/>
          <w:szCs w:val="28"/>
        </w:rPr>
        <w:t xml:space="preserve">i </w:t>
      </w:r>
      <w:r>
        <w:rPr>
          <w:rFonts w:ascii="仿宋" w:hAnsi="仿宋" w:eastAsia="仿宋" w:cs="仿宋"/>
          <w:spacing w:val="-5"/>
          <w:position w:val="18"/>
          <w:sz w:val="28"/>
          <w:szCs w:val="28"/>
        </w:rPr>
        <w:t>年预期软件著作权收益；</w:t>
      </w:r>
    </w:p>
    <w:p>
      <w:pPr>
        <w:spacing w:before="1" w:line="217" w:lineRule="auto"/>
        <w:ind w:left="592"/>
        <w:rPr>
          <w:rFonts w:ascii="仿宋" w:hAnsi="仿宋" w:eastAsia="仿宋" w:cs="仿宋"/>
          <w:sz w:val="28"/>
          <w:szCs w:val="28"/>
        </w:rPr>
      </w:pPr>
      <w:r>
        <w:rPr>
          <w:rFonts w:ascii="Times New Roman" w:hAnsi="Times New Roman" w:eastAsia="Times New Roman" w:cs="Times New Roman"/>
          <w:spacing w:val="-5"/>
          <w:sz w:val="28"/>
          <w:szCs w:val="28"/>
        </w:rPr>
        <w:t>K</w:t>
      </w:r>
      <w:r>
        <w:rPr>
          <w:rFonts w:ascii="仿宋" w:hAnsi="仿宋" w:eastAsia="仿宋" w:cs="仿宋"/>
          <w:spacing w:val="-5"/>
          <w:sz w:val="28"/>
          <w:szCs w:val="28"/>
        </w:rPr>
        <w:t>：软件技术综合分成率；</w:t>
      </w:r>
    </w:p>
    <w:p>
      <w:pPr>
        <w:spacing w:before="74" w:line="216" w:lineRule="auto"/>
        <w:ind w:left="589"/>
        <w:rPr>
          <w:rFonts w:ascii="仿宋" w:hAnsi="仿宋" w:eastAsia="仿宋" w:cs="仿宋"/>
          <w:sz w:val="28"/>
          <w:szCs w:val="28"/>
        </w:rPr>
      </w:pPr>
      <w:r>
        <w:rPr>
          <w:rFonts w:ascii="Times New Roman" w:hAnsi="Times New Roman" w:eastAsia="Times New Roman" w:cs="Times New Roman"/>
          <w:sz w:val="28"/>
          <w:szCs w:val="28"/>
        </w:rPr>
        <w:t>n</w:t>
      </w:r>
      <w:r>
        <w:rPr>
          <w:rFonts w:ascii="仿宋" w:hAnsi="仿宋" w:eastAsia="仿宋" w:cs="仿宋"/>
          <w:sz w:val="28"/>
          <w:szCs w:val="28"/>
        </w:rPr>
        <w:t>：待评估软件著作权的未来收益期；</w:t>
      </w:r>
    </w:p>
    <w:p>
      <w:pPr>
        <w:spacing w:before="177" w:line="369" w:lineRule="exact"/>
        <w:ind w:left="596"/>
        <w:rPr>
          <w:rFonts w:ascii="仿宋" w:hAnsi="仿宋" w:eastAsia="仿宋" w:cs="仿宋"/>
          <w:sz w:val="28"/>
          <w:szCs w:val="28"/>
        </w:rPr>
      </w:pPr>
      <w:r>
        <w:rPr>
          <w:rFonts w:ascii="Times New Roman" w:hAnsi="Times New Roman" w:eastAsia="Times New Roman" w:cs="Times New Roman"/>
          <w:spacing w:val="-11"/>
          <w:position w:val="1"/>
          <w:sz w:val="28"/>
          <w:szCs w:val="28"/>
        </w:rPr>
        <w:t>i</w:t>
      </w:r>
      <w:r>
        <w:rPr>
          <w:rFonts w:ascii="仿宋" w:hAnsi="仿宋" w:eastAsia="仿宋" w:cs="仿宋"/>
          <w:spacing w:val="-11"/>
          <w:position w:val="1"/>
          <w:sz w:val="28"/>
          <w:szCs w:val="28"/>
        </w:rPr>
        <w:t>：折现期；</w:t>
      </w:r>
    </w:p>
    <w:p>
      <w:pPr>
        <w:spacing w:before="219" w:line="216" w:lineRule="auto"/>
        <w:ind w:left="589"/>
        <w:rPr>
          <w:rFonts w:ascii="仿宋" w:hAnsi="仿宋" w:eastAsia="仿宋" w:cs="仿宋"/>
          <w:sz w:val="28"/>
          <w:szCs w:val="28"/>
        </w:rPr>
      </w:pPr>
      <w:r>
        <w:rPr>
          <w:rFonts w:ascii="Times New Roman" w:hAnsi="Times New Roman" w:eastAsia="Times New Roman" w:cs="Times New Roman"/>
          <w:spacing w:val="-6"/>
          <w:sz w:val="28"/>
          <w:szCs w:val="28"/>
        </w:rPr>
        <w:t>r</w:t>
      </w:r>
      <w:r>
        <w:rPr>
          <w:rFonts w:ascii="仿宋" w:hAnsi="仿宋" w:eastAsia="仿宋" w:cs="仿宋"/>
          <w:spacing w:val="-6"/>
          <w:sz w:val="28"/>
          <w:szCs w:val="28"/>
        </w:rPr>
        <w:t>：折现率。</w:t>
      </w:r>
    </w:p>
    <w:p>
      <w:pPr>
        <w:spacing w:before="225" w:line="219" w:lineRule="auto"/>
        <w:ind w:left="25"/>
        <w:outlineLvl w:val="0"/>
        <w:rPr>
          <w:rFonts w:hint="eastAsia" w:ascii="宋体" w:hAnsi="宋体" w:eastAsia="宋体" w:cs="宋体"/>
          <w:sz w:val="24"/>
          <w:szCs w:val="24"/>
        </w:rPr>
      </w:pPr>
      <w:r>
        <w:rPr>
          <w:rFonts w:hint="eastAsia" w:ascii="宋体" w:hAnsi="宋体" w:eastAsia="宋体" w:cs="宋体"/>
          <w:spacing w:val="-1"/>
          <w:sz w:val="24"/>
          <w:szCs w:val="24"/>
          <w14:textOutline w14:w="3048" w14:cap="flat" w14:cmpd="sng">
            <w14:solidFill>
              <w14:srgbClr w14:val="000000"/>
            </w14:solidFill>
            <w14:prstDash w14:val="solid"/>
            <w14:miter w14:val="0"/>
          </w14:textOutline>
        </w:rPr>
        <w:t>八、评估程序实施过程和情况</w:t>
      </w:r>
    </w:p>
    <w:p>
      <w:pPr>
        <w:spacing w:before="303" w:line="219" w:lineRule="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（一）</w:t>
      </w:r>
      <w:r>
        <w:rPr>
          <w:rFonts w:hint="eastAsia" w:ascii="宋体" w:hAnsi="宋体" w:eastAsia="宋体" w:cs="宋体"/>
          <w:color w:val="auto"/>
          <w:kern w:val="2"/>
          <w:sz w:val="24"/>
          <w:szCs w:val="24"/>
          <w:lang w:val="en-US" w:eastAsia="zh-CN" w:bidi="ar-SA"/>
        </w:rPr>
        <w:t>、资产评估前期准备工作阶段</w:t>
      </w:r>
    </w:p>
    <w:p>
      <w:pPr>
        <w:spacing w:before="183" w:line="360" w:lineRule="auto"/>
        <w:ind w:left="22" w:right="62" w:firstLine="49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本阶段主要工作是接受委托，明确评估目的和评估范围及对象，选定评估基准日，拟定评估工作方案，制定工作计划。</w:t>
      </w:r>
    </w:p>
    <w:p>
      <w:pPr>
        <w:spacing w:before="183" w:line="360" w:lineRule="auto"/>
        <w:ind w:left="22" w:right="62" w:firstLine="49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（二）</w:t>
      </w:r>
      <w:r>
        <w:rPr>
          <w:rFonts w:hint="eastAsia" w:ascii="宋体" w:hAnsi="宋体" w:eastAsia="宋体" w:cs="宋体"/>
          <w:color w:val="auto"/>
          <w:kern w:val="2"/>
          <w:sz w:val="24"/>
          <w:szCs w:val="24"/>
          <w:lang w:val="en-US" w:eastAsia="zh-CN" w:bidi="ar-SA"/>
        </w:rPr>
        <w:t>、确定评估方法，搜集相关资料</w:t>
      </w:r>
    </w:p>
    <w:p>
      <w:pPr>
        <w:spacing w:before="183" w:line="360" w:lineRule="auto"/>
        <w:ind w:left="22" w:right="62" w:firstLine="49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1、组成专业评估小组，听取资产评估委托方和资产占有方关于委估资产的 开发经过及技术先进性和特点、技术的成熟性和可靠性、历史业绩和成本费用等的详细介绍；</w:t>
      </w:r>
    </w:p>
    <w:p>
      <w:pPr>
        <w:spacing w:before="182" w:line="22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2、对委托方提供的原始资料进行鉴别、分析、整理；</w:t>
      </w:r>
    </w:p>
    <w:p>
      <w:pPr>
        <w:spacing w:before="183" w:line="468" w:lineRule="exact"/>
        <w:ind w:right="62"/>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3、了解委托方拟将委估的知识产权市场规划和设想以及委托方对未来经营情况的预测；</w:t>
      </w:r>
    </w:p>
    <w:p>
      <w:pPr>
        <w:spacing w:before="181" w:line="468" w:lineRule="exact"/>
        <w:ind w:right="62"/>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4、根据对该知识产权的市场现状及未来需求进行的市场调查及咨询，对其市场需求进行了分析预测；</w:t>
      </w:r>
    </w:p>
    <w:p>
      <w:pPr>
        <w:spacing w:before="182" w:line="468" w:lineRule="exac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5、根据委托评估知识产权的实际状况和特点，选用相适应的评估方法，并搜集必要的相关资料。</w:t>
      </w:r>
    </w:p>
    <w:p>
      <w:pPr>
        <w:spacing w:before="182"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w:t>
      </w:r>
      <w:r>
        <w:rPr>
          <w:rFonts w:hint="eastAsia" w:ascii="宋体" w:hAnsi="宋体" w:cs="宋体"/>
          <w:color w:val="auto"/>
          <w:kern w:val="2"/>
          <w:sz w:val="24"/>
          <w:szCs w:val="24"/>
          <w:lang w:val="en-US" w:eastAsia="zh-CN" w:bidi="ar-SA"/>
        </w:rPr>
        <w:t>三</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评定估算、分析整理、撰写并提交报告</w:t>
      </w:r>
    </w:p>
    <w:p>
      <w:pPr>
        <w:spacing w:before="183" w:line="360" w:lineRule="auto"/>
        <w:ind w:left="25" w:right="25" w:firstLine="47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本阶段工作主要是由评估人员进行评定估算，汇总、分析、复核评估结果， 项目负责人提出报告初稿， 部门经理复核， 机构负责人审核定稿， 出具知识产权评估报告书。</w:t>
      </w:r>
    </w:p>
    <w:p>
      <w:pPr>
        <w:spacing w:before="225" w:line="219" w:lineRule="auto"/>
        <w:ind w:left="25"/>
        <w:outlineLvl w:val="0"/>
        <w:rPr>
          <w:rFonts w:hint="eastAsia" w:ascii="宋体" w:hAnsi="宋体" w:eastAsia="宋体" w:cs="宋体"/>
          <w:spacing w:val="-1"/>
          <w:sz w:val="24"/>
          <w:szCs w:val="24"/>
          <w:lang w:val="en-US" w:eastAsia="zh-CN"/>
          <w14:textOutline w14:w="3048" w14:cap="flat" w14:cmpd="sng">
            <w14:solidFill>
              <w14:srgbClr w14:val="000000"/>
            </w14:solidFill>
            <w14:prstDash w14:val="solid"/>
            <w14:miter w14:val="0"/>
          </w14:textOutline>
        </w:rPr>
      </w:pPr>
      <w:r>
        <w:rPr>
          <w:rFonts w:hint="eastAsia" w:ascii="宋体" w:hAnsi="宋体" w:eastAsia="宋体" w:cs="宋体"/>
          <w:spacing w:val="-1"/>
          <w:sz w:val="24"/>
          <w:szCs w:val="24"/>
          <w:lang w:val="en-US" w:eastAsia="zh-CN"/>
          <w14:textOutline w14:w="3048" w14:cap="flat" w14:cmpd="sng">
            <w14:solidFill>
              <w14:srgbClr w14:val="000000"/>
            </w14:solidFill>
            <w14:prstDash w14:val="solid"/>
            <w14:miter w14:val="0"/>
          </w14:textOutline>
        </w:rPr>
        <w:t>九、评估假设</w:t>
      </w:r>
    </w:p>
    <w:p>
      <w:pPr>
        <w:spacing w:before="303" w:line="468" w:lineRule="exac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在资产评估中，评估人员基于以下假设及限制条件作出了专业判断：</w:t>
      </w:r>
    </w:p>
    <w:p>
      <w:pPr>
        <w:spacing w:before="303" w:line="468" w:lineRule="exact"/>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（一）</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一般假设</w:t>
      </w:r>
    </w:p>
    <w:p>
      <w:pPr>
        <w:spacing w:before="183" w:line="468" w:lineRule="exact"/>
        <w:ind w:left="0" w:leftChars="0" w:right="59"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1、假设委托评估对象在 2013 年 12 月 31 日后不改变用途仍继续使用， 通过生产、销售、经营技术产品产生经济效益；</w:t>
      </w:r>
    </w:p>
    <w:p>
      <w:pPr>
        <w:spacing w:before="182" w:line="360" w:lineRule="auto"/>
        <w:ind w:left="0" w:leftChars="0"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2、假设未来该技术项目的经营者是负责的， 且其管理层有能力担当其职务； </w:t>
      </w:r>
    </w:p>
    <w:p>
      <w:pPr>
        <w:spacing w:before="182" w:line="360" w:lineRule="auto"/>
        <w:ind w:left="0" w:leftChars="0"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3、除非另有说明， 假设该技术项目未来公司完全遵守所有有关法律和法规；</w:t>
      </w:r>
    </w:p>
    <w:p>
      <w:pPr>
        <w:spacing w:before="182" w:line="360" w:lineRule="auto"/>
        <w:ind w:left="0" w:leftChars="0"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4、运用该技术产生的产品能达到预期质量保证及预期销售量；</w:t>
      </w:r>
    </w:p>
    <w:p>
      <w:pPr>
        <w:spacing w:before="182" w:line="360" w:lineRule="auto"/>
        <w:ind w:left="0" w:leftChars="0"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5、本评估报告中有关专有技术的内涵及有关经济技术指标的比较资料均由 北京清华同衡规划设计研究院有限公司提供， 我们的责任是对其进行审核并按评估惯例发表专业意见；</w:t>
      </w:r>
    </w:p>
    <w:p>
      <w:pPr>
        <w:spacing w:before="78" w:line="360" w:lineRule="auto"/>
        <w:ind w:left="0" w:leftChars="0" w:right="62" w:firstLine="480" w:firstLineChars="200"/>
        <w:rPr>
          <w:rFonts w:hint="eastAsia" w:ascii="宋体" w:hAnsi="宋体" w:eastAsia="宋体" w:cs="宋体"/>
          <w:color w:val="auto"/>
          <w:kern w:val="2"/>
          <w:sz w:val="24"/>
          <w:szCs w:val="24"/>
          <w:lang w:val="en-US" w:eastAsia="zh-CN" w:bidi="ar-SA"/>
        </w:rPr>
      </w:pPr>
      <w:bookmarkStart w:id="11" w:name="bookmark15"/>
      <w:bookmarkEnd w:id="11"/>
      <w:r>
        <w:rPr>
          <w:rFonts w:hint="eastAsia" w:ascii="宋体" w:hAnsi="宋体" w:eastAsia="宋体" w:cs="宋体"/>
          <w:color w:val="auto"/>
          <w:kern w:val="2"/>
          <w:sz w:val="24"/>
          <w:szCs w:val="24"/>
          <w:lang w:val="en-US" w:eastAsia="zh-CN" w:bidi="ar-SA"/>
        </w:rPr>
        <w:t>6、根据评估委托，本评估报告书的评估结果是对已经由北京清华同衡规划 设计研究院有限公司试用成功的专有技术而进行的， 未对开发中技术是否存在价值做出判断；</w:t>
      </w:r>
    </w:p>
    <w:p>
      <w:pPr>
        <w:spacing w:before="181" w:line="360" w:lineRule="auto"/>
        <w:ind w:left="0" w:leftChars="0" w:right="62"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7、预测收益时已经考虑了运用相关技术对成本的影响，因此我们在预测有 关技术的收益时仅对北京清控人居环境研究院有限公司因使用有关技术而追加产生的利润进行估算。</w:t>
      </w:r>
    </w:p>
    <w:p>
      <w:pPr>
        <w:spacing w:before="182" w:line="220" w:lineRule="auto"/>
        <w:ind w:left="0" w:leftChars="0" w:firstLine="240" w:firstLineChars="100"/>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（二）</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特殊假设</w:t>
      </w:r>
    </w:p>
    <w:p>
      <w:pPr>
        <w:spacing w:before="183" w:line="468" w:lineRule="exact"/>
        <w:ind w:left="0" w:leftChars="0" w:right="62"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1、该项目相关的地区及国家的社会经济环境不产生重大的变更，所遵循的国家现行法律、法规、制度及社会政治和经济政策与现时无重大变化；</w:t>
      </w:r>
    </w:p>
    <w:p>
      <w:pPr>
        <w:spacing w:before="183" w:line="468" w:lineRule="exact"/>
        <w:ind w:left="0" w:leftChars="0" w:right="62"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2、有关信贷利率、汇率、赋税基准及税率， 政策性征收费用等不发生重大变化；</w:t>
      </w:r>
    </w:p>
    <w:p>
      <w:pPr>
        <w:spacing w:before="180" w:line="220" w:lineRule="auto"/>
        <w:ind w:left="0" w:leftChars="0"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3、项目将保持持续性经营，并在经营范围、方式上与现时方向保持一致；</w:t>
      </w:r>
    </w:p>
    <w:p>
      <w:pPr>
        <w:spacing w:before="182" w:line="219" w:lineRule="auto"/>
        <w:ind w:left="0" w:leftChars="0"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4、产成品社会需求将保持一定幅度增长；</w:t>
      </w:r>
    </w:p>
    <w:p>
      <w:pPr>
        <w:spacing w:before="183" w:line="468" w:lineRule="exact"/>
        <w:ind w:left="0" w:leftChars="0"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5、假设折现年限内不会遇到重大的销售货款回收方面的问题（即坏账情况）；</w:t>
      </w:r>
    </w:p>
    <w:p>
      <w:pPr>
        <w:spacing w:before="183" w:line="468" w:lineRule="exact"/>
        <w:ind w:left="0" w:leftChars="0"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6、无其他人力不可抗拒因素及不可预见因素，造成对企业重大不利影响；当这些前提条件因未来经济环境发生较大变化等原因改变时， 评估人员将不承担由于前提条件而推倒出不同评估结果的责任。</w:t>
      </w:r>
    </w:p>
    <w:p>
      <w:pPr>
        <w:spacing w:before="303" w:line="219" w:lineRule="auto"/>
        <w:ind w:left="22"/>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十、评估结论</w:t>
      </w:r>
    </w:p>
    <w:p>
      <w:pPr>
        <w:spacing w:before="303" w:line="375" w:lineRule="auto"/>
        <w:ind w:left="20" w:right="27" w:firstLine="481"/>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本公司评估人员根据评估目的， 坚持客观、公正、合理的原则， 并按照评估 程序采用了科学的评估方法，在认真分析现有资料的基础上，经过周密的计算， 于评估基准日 20</w:t>
      </w:r>
      <w:r>
        <w:rPr>
          <w:rFonts w:hint="eastAsia" w:ascii="宋体" w:hAnsi="宋体" w:cs="宋体"/>
          <w:color w:val="auto"/>
          <w:kern w:val="2"/>
          <w:sz w:val="24"/>
          <w:szCs w:val="24"/>
          <w:lang w:val="en-US" w:eastAsia="zh-CN" w:bidi="ar-SA"/>
        </w:rPr>
        <w:t>2</w:t>
      </w:r>
      <w:r>
        <w:rPr>
          <w:rFonts w:hint="eastAsia" w:ascii="宋体" w:hAnsi="宋体" w:eastAsia="宋体" w:cs="宋体"/>
          <w:color w:val="auto"/>
          <w:kern w:val="2"/>
          <w:sz w:val="24"/>
          <w:szCs w:val="24"/>
          <w:lang w:val="en-US" w:eastAsia="zh-CN" w:bidi="ar-SA"/>
        </w:rPr>
        <w:t>3 年 12 月 31 日，北京清华同衡规划设计研究院有限公司所委托评估的软件著作权资产组合的价值为 400 万元，大写人民币肆佰万元整。其中：北京清华同衡规划设计研究院有限公司拥有该项技术的 100%，即人民币 400 万元，大写肆佰万元整。</w:t>
      </w:r>
    </w:p>
    <w:p>
      <w:pPr>
        <w:spacing w:before="303" w:line="220" w:lineRule="auto"/>
        <w:ind w:left="22"/>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十一、特别事项说明</w:t>
      </w:r>
    </w:p>
    <w:p>
      <w:pPr>
        <w:spacing w:before="302"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本评估报告使用者应注意特别事项对评估结论的影响。</w:t>
      </w:r>
    </w:p>
    <w:p>
      <w:pPr>
        <w:spacing w:before="183" w:line="468" w:lineRule="exact"/>
        <w:ind w:left="0" w:leftChars="0" w:right="62"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对评估对象北京清华同衡规划设计研究院有限公司拥有的软件著作权资产组合价值方面的描述多基于委托方/资产占有方提供的资料；评估测算参考了委托方/资产占有方提供的项目分析报告、收益预测等资料，结合技术产品已经 进入市场及市场未来需求的情况，按照评估行业的规范和评估人员的职业判断， 对部分数据进行了修正。鉴于评估时间和评估人员的技术能力限制， 未对委估技术产品的性能做专业化技术测试。</w:t>
      </w:r>
    </w:p>
    <w:p>
      <w:pPr>
        <w:spacing w:before="181" w:line="360" w:lineRule="auto"/>
        <w:ind w:left="0" w:leftChars="0" w:right="154"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2、本次评估结论系根据上述原则、依据、前提、方法、程序得出的，仅为 本评估目的服务， 是对评估基准日资产公允价值的反映， 只有在上述原则、依据、前提存在的条件下成立。</w:t>
      </w:r>
    </w:p>
    <w:p>
      <w:pPr>
        <w:spacing w:before="181" w:line="360" w:lineRule="auto"/>
        <w:ind w:left="0" w:leftChars="0" w:right="237"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3、本公司及评估人员对该非专有技术的产权界定是依据资产占有方出具的 知识产权证明。委托方和资产占有方对所提供的产权资料的真实性、合法性、完整性承担责任。</w:t>
      </w:r>
    </w:p>
    <w:p>
      <w:pPr>
        <w:spacing w:before="182" w:line="360" w:lineRule="auto"/>
        <w:ind w:left="0" w:leftChars="0"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4、截止评估基准日 20</w:t>
      </w:r>
      <w:r>
        <w:rPr>
          <w:rFonts w:hint="eastAsia" w:ascii="宋体" w:hAnsi="宋体" w:cs="宋体"/>
          <w:color w:val="auto"/>
          <w:kern w:val="2"/>
          <w:sz w:val="24"/>
          <w:szCs w:val="24"/>
          <w:lang w:val="en-US" w:eastAsia="zh-CN" w:bidi="ar-SA"/>
        </w:rPr>
        <w:t>2</w:t>
      </w:r>
      <w:r>
        <w:rPr>
          <w:rFonts w:hint="eastAsia" w:ascii="宋体" w:hAnsi="宋体" w:eastAsia="宋体" w:cs="宋体"/>
          <w:color w:val="auto"/>
          <w:kern w:val="2"/>
          <w:sz w:val="24"/>
          <w:szCs w:val="24"/>
          <w:lang w:val="en-US" w:eastAsia="zh-CN" w:bidi="ar-SA"/>
        </w:rPr>
        <w:t>3 年 12 月 31 日，北京清华同衡规划设计研究院有限   公司拥有的著作权“环境生态数据库管理信息系统 V1.0”、“化学品管道输送监   控预警系统 V1.0”、“河网地区城市排水系统运行管理决策支持系统 V1.0”、“城   市水环境安全监管信息平台 V1.0”、“城市水环境安全决策支持系统 V1.0”、“城   市水环境信息发布与关联性管理系统 V1.0”、“城市水环境信息合作记录与管理   系统 V1.0”、“城市水环境多类型用户注册与管理系统 V1.0”、“城市给水管网智   能管理优化调度分析软件 V1.0”、“城市排水管网数字化管理网络查询分析系统   V1.0”、“排水规划与辅助支持系统 V1.0”，共计 11 项，均已取得《计算机软件   著作权登记证书》。上述除第 11 项软件著作权“排水规划与辅助支持系统 V1.0” 由北京清华城市规划设计研究院、北京清大仿通科技有限公司共同持有，其他10 项软件著作权均由北京清华城市规划设计研究院 100%持有。</w:t>
      </w:r>
    </w:p>
    <w:p>
      <w:pPr>
        <w:spacing w:before="182" w:line="468" w:lineRule="exact"/>
        <w:ind w:left="0" w:leftChars="0"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 本报告所称的“评估值”是指所评估的资产在基准日之状态和外部经济前提下，为本报告所列明的目的而提出的公允估值意见。</w:t>
      </w:r>
    </w:p>
    <w:p>
      <w:pPr>
        <w:spacing w:before="183" w:line="468" w:lineRule="exact"/>
        <w:ind w:left="0" w:leftChars="0"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 本报告所涉及的有关法律证明文件、相关数据资料由委托方与资产占有方提供，其真实性和可靠性由委托方及资产占有方负责， 并承担相应的法律责任。</w:t>
      </w:r>
    </w:p>
    <w:p>
      <w:pPr>
        <w:spacing w:before="183" w:line="468" w:lineRule="exact"/>
        <w:ind w:left="0" w:leftChars="0"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7、基于该项目的保密性， 本次评估对于该项技术的描述未能做更详尽说明，在此请报告使用者给予谅解。</w:t>
      </w:r>
    </w:p>
    <w:p>
      <w:pPr>
        <w:spacing w:before="184" w:line="468" w:lineRule="exact"/>
        <w:ind w:left="0" w:leftChars="0"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8、监于该技术的保密性，使得任何专有技术均没公开的法定产权证明，基于这一特性，评估调查局限于对委托方及资产占有方可能进行的必要核查程序和</w:t>
      </w:r>
      <w:bookmarkStart w:id="12" w:name="bookmark16"/>
      <w:bookmarkEnd w:id="12"/>
      <w:r>
        <w:rPr>
          <w:rFonts w:hint="eastAsia" w:ascii="宋体" w:hAnsi="宋体" w:eastAsia="宋体" w:cs="宋体"/>
          <w:color w:val="auto"/>
          <w:kern w:val="2"/>
          <w:sz w:val="24"/>
          <w:szCs w:val="24"/>
          <w:lang w:val="en-US" w:eastAsia="zh-CN" w:bidi="ar-SA"/>
        </w:rPr>
        <w:t>产权追溯。</w:t>
      </w:r>
    </w:p>
    <w:p>
      <w:pPr>
        <w:spacing w:before="181" w:line="360" w:lineRule="auto"/>
        <w:ind w:left="0" w:leftChars="0" w:right="8"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9、由于该技术尚未进行大规模的工业化生产（使用），评估现场也不具备现 场演示的条件，对该技术的清查核实仅局限于对委托方及资产占有方相关工程人员调查了解和对委托方及资产占有方提供的书面技术材料、可行性研究报告进行的核查。</w:t>
      </w:r>
    </w:p>
    <w:p>
      <w:pPr>
        <w:spacing w:before="180" w:line="468" w:lineRule="exact"/>
        <w:ind w:left="0" w:leftChars="0" w:right="6"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10、本报告含有若干附件， 附件是构成报告之重要组成部分， 与本报告正文具有同等法律效力。</w:t>
      </w:r>
    </w:p>
    <w:p>
      <w:pPr>
        <w:spacing w:before="182" w:line="468" w:lineRule="exact"/>
        <w:ind w:left="0" w:leftChars="0" w:right="9"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11、本报告未考虑通货膨胀、所得税及可能发生的相关税种及税率变化等因素对评估结果的影响。</w:t>
      </w:r>
    </w:p>
    <w:p>
      <w:pPr>
        <w:spacing w:before="304" w:line="219" w:lineRule="auto"/>
        <w:ind w:left="22"/>
        <w:rPr>
          <w:rFonts w:hint="eastAsia" w:ascii="宋体" w:hAnsi="宋体" w:eastAsia="宋体" w:cs="宋体"/>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十二、评估报告使用限制说明</w:t>
      </w:r>
    </w:p>
    <w:p>
      <w:pPr>
        <w:spacing w:before="224" w:line="219"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本评估报告有如下使用限制：</w:t>
      </w:r>
    </w:p>
    <w:p>
      <w:pPr>
        <w:spacing w:before="183" w:line="360" w:lineRule="auto"/>
        <w:ind w:left="20" w:right="7" w:firstLine="498"/>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1、本评估报告只能由评估报告载明的评估报告使用者使用，且只能用于本 评估报告载明的评估目的和用途。评估报告使用者应按有关法律、法规， 以及资 产评估业务约定书的要求正确、恰当地使用本评估报告， 任何不正确或不恰当地使用报告所造成的不便或损失，将由报告使用者自行承担责任。</w:t>
      </w:r>
    </w:p>
    <w:p>
      <w:pPr>
        <w:spacing w:before="184" w:line="360" w:lineRule="auto"/>
        <w:ind w:left="21" w:right="9" w:firstLine="482"/>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2、本评估报告结论的使用有效期原则上为自评估基准日起一年。如果资产 状况、市场状况与评估基准日相关状况相比发生重大变化， 委托方应当委托评估机构执行评估更新业务或重新评估。</w:t>
      </w:r>
    </w:p>
    <w:p>
      <w:pPr>
        <w:spacing w:before="78" w:line="219" w:lineRule="auto"/>
        <w:ind w:left="22"/>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十三、评估报告日</w:t>
      </w:r>
    </w:p>
    <w:p>
      <w:pPr>
        <w:spacing w:before="304" w:line="219" w:lineRule="auto"/>
        <w:ind w:left="504"/>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本评估报告正式提出日期为二零</w:t>
      </w:r>
      <w:r>
        <w:rPr>
          <w:rFonts w:hint="eastAsia" w:ascii="宋体" w:hAnsi="宋体" w:cs="宋体"/>
          <w:color w:val="auto"/>
          <w:kern w:val="2"/>
          <w:sz w:val="24"/>
          <w:szCs w:val="24"/>
          <w:lang w:val="en-US" w:eastAsia="zh-CN" w:bidi="ar-SA"/>
        </w:rPr>
        <w:t>二</w:t>
      </w:r>
      <w:r>
        <w:rPr>
          <w:rFonts w:hint="eastAsia" w:ascii="宋体" w:hAnsi="宋体" w:eastAsia="宋体" w:cs="宋体"/>
          <w:color w:val="auto"/>
          <w:kern w:val="2"/>
          <w:sz w:val="24"/>
          <w:szCs w:val="24"/>
          <w:lang w:val="en-US" w:eastAsia="zh-CN" w:bidi="ar-SA"/>
        </w:rPr>
        <w:t>四年</w:t>
      </w:r>
      <w:r>
        <w:rPr>
          <w:rFonts w:hint="eastAsia" w:ascii="宋体" w:hAnsi="宋体" w:cs="宋体"/>
          <w:color w:val="auto"/>
          <w:kern w:val="2"/>
          <w:sz w:val="24"/>
          <w:szCs w:val="24"/>
          <w:lang w:val="en-US" w:eastAsia="zh-CN" w:bidi="ar-SA"/>
        </w:rPr>
        <w:t>X</w:t>
      </w:r>
      <w:r>
        <w:rPr>
          <w:rFonts w:hint="eastAsia" w:ascii="宋体" w:hAnsi="宋体" w:eastAsia="宋体" w:cs="宋体"/>
          <w:color w:val="auto"/>
          <w:kern w:val="2"/>
          <w:sz w:val="24"/>
          <w:szCs w:val="24"/>
          <w:lang w:val="en-US" w:eastAsia="zh-CN" w:bidi="ar-SA"/>
        </w:rPr>
        <w:t>月</w:t>
      </w:r>
      <w:r>
        <w:rPr>
          <w:rFonts w:hint="eastAsia" w:ascii="宋体" w:hAnsi="宋体" w:cs="宋体"/>
          <w:color w:val="auto"/>
          <w:kern w:val="2"/>
          <w:sz w:val="24"/>
          <w:szCs w:val="24"/>
          <w:lang w:val="en-US" w:eastAsia="zh-CN" w:bidi="ar-SA"/>
        </w:rPr>
        <w:t>X</w:t>
      </w:r>
      <w:r>
        <w:rPr>
          <w:rFonts w:hint="eastAsia" w:ascii="宋体" w:hAnsi="宋体" w:eastAsia="宋体" w:cs="宋体"/>
          <w:color w:val="auto"/>
          <w:kern w:val="2"/>
          <w:sz w:val="24"/>
          <w:szCs w:val="24"/>
          <w:lang w:val="en-US" w:eastAsia="zh-CN" w:bidi="ar-SA"/>
        </w:rPr>
        <w:t>日。</w:t>
      </w:r>
    </w:p>
    <w:p>
      <w:pPr>
        <w:pStyle w:val="4"/>
        <w:spacing w:line="267" w:lineRule="auto"/>
        <w:rPr>
          <w:rFonts w:hint="eastAsia" w:ascii="宋体" w:hAnsi="宋体" w:eastAsia="宋体" w:cs="宋体"/>
          <w:color w:val="auto"/>
          <w:kern w:val="2"/>
          <w:sz w:val="24"/>
          <w:szCs w:val="24"/>
          <w:lang w:val="en-US" w:eastAsia="zh-CN" w:bidi="ar-SA"/>
        </w:rPr>
      </w:pPr>
    </w:p>
    <w:p>
      <w:pPr>
        <w:pStyle w:val="4"/>
        <w:spacing w:line="267" w:lineRule="auto"/>
        <w:rPr>
          <w:rFonts w:hint="eastAsia" w:ascii="宋体" w:hAnsi="宋体" w:eastAsia="宋体" w:cs="宋体"/>
          <w:color w:val="auto"/>
          <w:kern w:val="2"/>
          <w:sz w:val="24"/>
          <w:szCs w:val="24"/>
          <w:lang w:val="en-US" w:eastAsia="zh-CN" w:bidi="ar-SA"/>
        </w:rPr>
      </w:pPr>
    </w:p>
    <w:p>
      <w:pPr>
        <w:pStyle w:val="4"/>
        <w:spacing w:line="267"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pStyle w:val="4"/>
        <w:spacing w:line="268" w:lineRule="auto"/>
        <w:rPr>
          <w:rFonts w:hint="eastAsia" w:ascii="宋体" w:hAnsi="宋体" w:eastAsia="宋体" w:cs="宋体"/>
          <w:color w:val="auto"/>
          <w:kern w:val="2"/>
          <w:sz w:val="24"/>
          <w:szCs w:val="24"/>
          <w:lang w:val="en-US" w:eastAsia="zh-CN" w:bidi="ar-SA"/>
        </w:rPr>
      </w:pPr>
    </w:p>
    <w:p>
      <w:pPr>
        <w:spacing w:before="78" w:line="221" w:lineRule="auto"/>
        <w:ind w:left="541"/>
        <w:rPr>
          <w:rFonts w:hint="eastAsia" w:ascii="宋体" w:hAnsi="宋体" w:eastAsia="宋体" w:cs="宋体"/>
          <w:color w:val="auto"/>
          <w:kern w:val="2"/>
          <w:sz w:val="24"/>
          <w:szCs w:val="24"/>
          <w:lang w:val="en-US" w:eastAsia="zh-CN" w:bidi="ar-SA"/>
        </w:rPr>
      </w:pPr>
      <w:bookmarkStart w:id="13" w:name="bookmark18"/>
      <w:bookmarkEnd w:id="13"/>
      <w:bookmarkStart w:id="14" w:name="bookmark17"/>
      <w:bookmarkEnd w:id="14"/>
      <w:r>
        <w:rPr>
          <w:rFonts w:hint="eastAsia" w:ascii="宋体" w:hAnsi="宋体" w:eastAsia="宋体" w:cs="宋体"/>
          <w:color w:val="auto"/>
          <w:kern w:val="2"/>
          <w:sz w:val="24"/>
          <w:szCs w:val="24"/>
          <w:lang w:val="en-US" w:eastAsia="zh-CN" w:bidi="ar-SA"/>
        </w:rPr>
        <w:t>[此页无正文]</w:t>
      </w:r>
    </w:p>
    <w:p>
      <w:pPr>
        <w:pStyle w:val="4"/>
        <w:spacing w:line="249" w:lineRule="auto"/>
        <w:rPr>
          <w:rFonts w:hint="eastAsia" w:ascii="宋体" w:hAnsi="宋体" w:eastAsia="宋体" w:cs="宋体"/>
          <w:color w:val="auto"/>
          <w:kern w:val="2"/>
          <w:sz w:val="24"/>
          <w:szCs w:val="24"/>
          <w:lang w:val="en-US" w:eastAsia="zh-CN" w:bidi="ar-SA"/>
        </w:rPr>
      </w:pPr>
    </w:p>
    <w:p>
      <w:pPr>
        <w:pStyle w:val="4"/>
        <w:spacing w:line="249" w:lineRule="auto"/>
        <w:rPr>
          <w:rFonts w:hint="eastAsia" w:ascii="宋体" w:hAnsi="宋体" w:eastAsia="宋体" w:cs="宋体"/>
          <w:color w:val="auto"/>
          <w:kern w:val="2"/>
          <w:sz w:val="24"/>
          <w:szCs w:val="24"/>
          <w:lang w:val="en-US" w:eastAsia="zh-CN" w:bidi="ar-SA"/>
        </w:rPr>
      </w:pPr>
    </w:p>
    <w:p>
      <w:pPr>
        <w:pStyle w:val="4"/>
        <w:spacing w:line="249" w:lineRule="auto"/>
        <w:rPr>
          <w:rFonts w:hint="eastAsia" w:ascii="宋体" w:hAnsi="宋体" w:eastAsia="宋体" w:cs="宋体"/>
          <w:color w:val="auto"/>
          <w:kern w:val="2"/>
          <w:sz w:val="24"/>
          <w:szCs w:val="24"/>
          <w:lang w:val="en-US" w:eastAsia="zh-CN" w:bidi="ar-SA"/>
        </w:rPr>
      </w:pPr>
    </w:p>
    <w:p>
      <w:pPr>
        <w:pStyle w:val="4"/>
        <w:spacing w:line="249" w:lineRule="auto"/>
        <w:rPr>
          <w:rFonts w:hint="eastAsia" w:ascii="宋体" w:hAnsi="宋体" w:eastAsia="宋体" w:cs="宋体"/>
          <w:color w:val="auto"/>
          <w:kern w:val="2"/>
          <w:sz w:val="24"/>
          <w:szCs w:val="24"/>
          <w:lang w:val="en-US" w:eastAsia="zh-CN" w:bidi="ar-SA"/>
        </w:rPr>
      </w:pPr>
    </w:p>
    <w:p>
      <w:pPr>
        <w:pStyle w:val="4"/>
        <w:spacing w:line="249" w:lineRule="auto"/>
        <w:rPr>
          <w:rFonts w:hint="eastAsia" w:ascii="宋体" w:hAnsi="宋体" w:eastAsia="宋体" w:cs="宋体"/>
          <w:color w:val="auto"/>
          <w:kern w:val="2"/>
          <w:sz w:val="24"/>
          <w:szCs w:val="24"/>
          <w:lang w:val="en-US" w:eastAsia="zh-CN" w:bidi="ar-SA"/>
        </w:rPr>
      </w:pPr>
    </w:p>
    <w:p>
      <w:pPr>
        <w:pStyle w:val="4"/>
        <w:spacing w:line="249" w:lineRule="auto"/>
        <w:rPr>
          <w:rFonts w:hint="eastAsia" w:ascii="宋体" w:hAnsi="宋体" w:eastAsia="宋体" w:cs="宋体"/>
          <w:color w:val="auto"/>
          <w:kern w:val="2"/>
          <w:sz w:val="24"/>
          <w:szCs w:val="24"/>
          <w:lang w:val="en-US" w:eastAsia="zh-CN" w:bidi="ar-SA"/>
        </w:rPr>
      </w:pPr>
    </w:p>
    <w:p>
      <w:pPr>
        <w:pStyle w:val="4"/>
        <w:spacing w:line="250" w:lineRule="auto"/>
        <w:rPr>
          <w:rFonts w:hint="eastAsia" w:ascii="宋体" w:hAnsi="宋体" w:eastAsia="宋体" w:cs="宋体"/>
          <w:color w:val="auto"/>
          <w:kern w:val="2"/>
          <w:sz w:val="24"/>
          <w:szCs w:val="24"/>
          <w:lang w:val="en-US" w:eastAsia="zh-CN" w:bidi="ar-SA"/>
        </w:rPr>
      </w:pPr>
    </w:p>
    <w:p>
      <w:pPr>
        <w:pStyle w:val="4"/>
        <w:spacing w:line="250" w:lineRule="auto"/>
        <w:rPr>
          <w:rFonts w:hint="eastAsia" w:ascii="宋体" w:hAnsi="宋体" w:eastAsia="宋体" w:cs="宋体"/>
          <w:color w:val="auto"/>
          <w:kern w:val="2"/>
          <w:sz w:val="24"/>
          <w:szCs w:val="24"/>
          <w:lang w:val="en-US" w:eastAsia="zh-CN" w:bidi="ar-SA"/>
        </w:rPr>
      </w:pPr>
    </w:p>
    <w:p>
      <w:pPr>
        <w:pStyle w:val="4"/>
        <w:spacing w:line="250" w:lineRule="auto"/>
        <w:rPr>
          <w:rFonts w:hint="eastAsia" w:ascii="宋体" w:hAnsi="宋体" w:eastAsia="宋体" w:cs="宋体"/>
          <w:color w:val="auto"/>
          <w:kern w:val="2"/>
          <w:sz w:val="24"/>
          <w:szCs w:val="24"/>
          <w:lang w:val="en-US" w:eastAsia="zh-CN" w:bidi="ar-SA"/>
        </w:rPr>
      </w:pPr>
    </w:p>
    <w:p>
      <w:pPr>
        <w:pStyle w:val="4"/>
        <w:spacing w:line="250" w:lineRule="auto"/>
        <w:rPr>
          <w:rFonts w:hint="eastAsia" w:ascii="宋体" w:hAnsi="宋体" w:eastAsia="宋体" w:cs="宋体"/>
          <w:color w:val="auto"/>
          <w:kern w:val="2"/>
          <w:sz w:val="24"/>
          <w:szCs w:val="24"/>
          <w:lang w:val="en-US" w:eastAsia="zh-CN" w:bidi="ar-SA"/>
        </w:rPr>
      </w:pPr>
    </w:p>
    <w:p>
      <w:pPr>
        <w:pStyle w:val="4"/>
        <w:spacing w:line="250" w:lineRule="auto"/>
        <w:rPr>
          <w:rFonts w:hint="eastAsia" w:ascii="宋体" w:hAnsi="宋体" w:eastAsia="宋体" w:cs="宋体"/>
          <w:color w:val="auto"/>
          <w:kern w:val="2"/>
          <w:sz w:val="24"/>
          <w:szCs w:val="24"/>
          <w:lang w:val="en-US" w:eastAsia="zh-CN" w:bidi="ar-SA"/>
        </w:rPr>
      </w:pPr>
    </w:p>
    <w:p>
      <w:pPr>
        <w:pStyle w:val="4"/>
        <w:spacing w:line="250" w:lineRule="auto"/>
        <w:rPr>
          <w:rFonts w:hint="eastAsia" w:ascii="宋体" w:hAnsi="宋体" w:eastAsia="宋体" w:cs="宋体"/>
          <w:color w:val="auto"/>
          <w:kern w:val="2"/>
          <w:sz w:val="24"/>
          <w:szCs w:val="24"/>
          <w:lang w:val="en-US" w:eastAsia="zh-CN" w:bidi="ar-SA"/>
        </w:rPr>
      </w:pPr>
    </w:p>
    <w:p>
      <w:pPr>
        <w:pStyle w:val="4"/>
        <w:spacing w:line="250" w:lineRule="auto"/>
        <w:rPr>
          <w:rFonts w:hint="eastAsia" w:ascii="宋体" w:hAnsi="宋体" w:eastAsia="宋体" w:cs="宋体"/>
          <w:color w:val="auto"/>
          <w:kern w:val="2"/>
          <w:sz w:val="24"/>
          <w:szCs w:val="24"/>
          <w:lang w:val="en-US" w:eastAsia="zh-CN" w:bidi="ar-SA"/>
        </w:rPr>
      </w:pPr>
    </w:p>
    <w:p>
      <w:pPr>
        <w:pStyle w:val="4"/>
        <w:spacing w:line="250" w:lineRule="auto"/>
        <w:rPr>
          <w:rFonts w:hint="eastAsia" w:ascii="宋体" w:hAnsi="宋体" w:eastAsia="宋体" w:cs="宋体"/>
          <w:color w:val="auto"/>
          <w:kern w:val="2"/>
          <w:sz w:val="24"/>
          <w:szCs w:val="24"/>
          <w:lang w:val="en-US" w:eastAsia="zh-CN" w:bidi="ar-SA"/>
        </w:rPr>
      </w:pPr>
    </w:p>
    <w:p>
      <w:pPr>
        <w:pStyle w:val="4"/>
        <w:spacing w:line="250" w:lineRule="auto"/>
        <w:rPr>
          <w:rFonts w:hint="eastAsia" w:ascii="宋体" w:hAnsi="宋体" w:eastAsia="宋体" w:cs="宋体"/>
          <w:color w:val="auto"/>
          <w:kern w:val="2"/>
          <w:sz w:val="24"/>
          <w:szCs w:val="24"/>
          <w:lang w:val="en-US" w:eastAsia="zh-CN" w:bidi="ar-SA"/>
        </w:rPr>
      </w:pPr>
    </w:p>
    <w:p>
      <w:pPr>
        <w:spacing w:before="78" w:line="219" w:lineRule="auto"/>
        <w:ind w:left="4129"/>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评估机构法定代表人：</w:t>
      </w:r>
    </w:p>
    <w:p>
      <w:pPr>
        <w:pStyle w:val="4"/>
        <w:spacing w:line="261" w:lineRule="auto"/>
        <w:rPr>
          <w:rFonts w:hint="eastAsia" w:ascii="宋体" w:hAnsi="宋体" w:eastAsia="宋体" w:cs="宋体"/>
          <w:color w:val="auto"/>
          <w:kern w:val="2"/>
          <w:sz w:val="24"/>
          <w:szCs w:val="24"/>
          <w:lang w:val="en-US" w:eastAsia="zh-CN" w:bidi="ar-SA"/>
        </w:rPr>
      </w:pPr>
    </w:p>
    <w:p>
      <w:pPr>
        <w:spacing w:before="78" w:line="219" w:lineRule="auto"/>
        <w:ind w:left="4243"/>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中国注册资产评估师：</w:t>
      </w:r>
    </w:p>
    <w:p>
      <w:pPr>
        <w:pStyle w:val="4"/>
        <w:spacing w:line="261" w:lineRule="auto"/>
        <w:rPr>
          <w:rFonts w:hint="eastAsia" w:ascii="宋体" w:hAnsi="宋体" w:eastAsia="宋体" w:cs="宋体"/>
          <w:color w:val="auto"/>
          <w:kern w:val="2"/>
          <w:sz w:val="24"/>
          <w:szCs w:val="24"/>
          <w:lang w:val="en-US" w:eastAsia="zh-CN" w:bidi="ar-SA"/>
        </w:rPr>
      </w:pPr>
    </w:p>
    <w:p>
      <w:pPr>
        <w:pStyle w:val="4"/>
        <w:spacing w:line="262" w:lineRule="auto"/>
        <w:rPr>
          <w:rFonts w:hint="eastAsia" w:ascii="宋体" w:hAnsi="宋体" w:eastAsia="宋体" w:cs="宋体"/>
          <w:color w:val="auto"/>
          <w:kern w:val="2"/>
          <w:sz w:val="24"/>
          <w:szCs w:val="24"/>
          <w:lang w:val="en-US" w:eastAsia="zh-CN" w:bidi="ar-SA"/>
        </w:rPr>
      </w:pPr>
    </w:p>
    <w:p>
      <w:pPr>
        <w:spacing w:before="78" w:line="219" w:lineRule="auto"/>
        <w:ind w:left="4243"/>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中国注册资产评估师：</w:t>
      </w:r>
    </w:p>
    <w:p>
      <w:pPr>
        <w:pStyle w:val="4"/>
        <w:spacing w:line="247" w:lineRule="auto"/>
        <w:rPr>
          <w:rFonts w:hint="eastAsia" w:ascii="宋体" w:hAnsi="宋体" w:eastAsia="宋体" w:cs="宋体"/>
          <w:color w:val="auto"/>
          <w:kern w:val="2"/>
          <w:sz w:val="24"/>
          <w:szCs w:val="24"/>
          <w:lang w:val="en-US" w:eastAsia="zh-CN" w:bidi="ar-SA"/>
        </w:rPr>
      </w:pPr>
    </w:p>
    <w:p>
      <w:pPr>
        <w:pStyle w:val="4"/>
        <w:spacing w:line="247" w:lineRule="auto"/>
        <w:rPr>
          <w:rFonts w:hint="eastAsia" w:ascii="宋体" w:hAnsi="宋体" w:eastAsia="宋体" w:cs="宋体"/>
          <w:color w:val="auto"/>
          <w:kern w:val="2"/>
          <w:sz w:val="24"/>
          <w:szCs w:val="24"/>
          <w:lang w:val="en-US" w:eastAsia="zh-CN" w:bidi="ar-SA"/>
        </w:rPr>
      </w:pPr>
    </w:p>
    <w:p>
      <w:pPr>
        <w:spacing w:before="78" w:line="468" w:lineRule="exact"/>
        <w:ind w:left="4225"/>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北京立道资产评估有限公司</w:t>
      </w:r>
    </w:p>
    <w:p>
      <w:pPr>
        <w:spacing w:line="220" w:lineRule="auto"/>
        <w:ind w:left="4827"/>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二零</w:t>
      </w:r>
      <w:r>
        <w:rPr>
          <w:rFonts w:hint="eastAsia" w:ascii="宋体" w:hAnsi="宋体" w:cs="宋体"/>
          <w:color w:val="auto"/>
          <w:kern w:val="2"/>
          <w:sz w:val="24"/>
          <w:szCs w:val="24"/>
          <w:lang w:val="en-US" w:eastAsia="zh-CN" w:bidi="ar-SA"/>
        </w:rPr>
        <w:t>二</w:t>
      </w:r>
      <w:r>
        <w:rPr>
          <w:rFonts w:hint="eastAsia" w:ascii="宋体" w:hAnsi="宋体" w:eastAsia="宋体" w:cs="宋体"/>
          <w:color w:val="auto"/>
          <w:kern w:val="2"/>
          <w:sz w:val="24"/>
          <w:szCs w:val="24"/>
          <w:lang w:val="en-US" w:eastAsia="zh-CN" w:bidi="ar-SA"/>
        </w:rPr>
        <w:t>四年</w:t>
      </w:r>
      <w:r>
        <w:rPr>
          <w:rFonts w:hint="eastAsia" w:ascii="宋体" w:hAnsi="宋体" w:cs="宋体"/>
          <w:color w:val="auto"/>
          <w:kern w:val="2"/>
          <w:sz w:val="24"/>
          <w:szCs w:val="24"/>
          <w:lang w:val="en-US" w:eastAsia="zh-CN" w:bidi="ar-SA"/>
        </w:rPr>
        <w:t>X</w:t>
      </w:r>
      <w:r>
        <w:rPr>
          <w:rFonts w:hint="eastAsia" w:ascii="宋体" w:hAnsi="宋体" w:eastAsia="宋体" w:cs="宋体"/>
          <w:color w:val="auto"/>
          <w:kern w:val="2"/>
          <w:sz w:val="24"/>
          <w:szCs w:val="24"/>
          <w:lang w:val="en-US" w:eastAsia="zh-CN" w:bidi="ar-SA"/>
        </w:rPr>
        <w:t>月</w:t>
      </w:r>
      <w:r>
        <w:rPr>
          <w:rFonts w:hint="eastAsia" w:ascii="宋体" w:hAnsi="宋体" w:cs="宋体"/>
          <w:color w:val="auto"/>
          <w:kern w:val="2"/>
          <w:sz w:val="24"/>
          <w:szCs w:val="24"/>
          <w:lang w:val="en-US" w:eastAsia="zh-CN" w:bidi="ar-SA"/>
        </w:rPr>
        <w:t>X</w:t>
      </w:r>
      <w:r>
        <w:rPr>
          <w:rFonts w:hint="eastAsia" w:ascii="宋体" w:hAnsi="宋体" w:eastAsia="宋体" w:cs="宋体"/>
          <w:color w:val="auto"/>
          <w:kern w:val="2"/>
          <w:sz w:val="24"/>
          <w:szCs w:val="24"/>
          <w:lang w:val="en-US" w:eastAsia="zh-CN" w:bidi="ar-SA"/>
        </w:rPr>
        <w:t>日</w:t>
      </w:r>
    </w:p>
    <w:p>
      <w:pPr>
        <w:pStyle w:val="4"/>
        <w:rPr>
          <w:rFonts w:hint="eastAsia" w:ascii="Times New Roman" w:hAnsi="Times New Roman" w:eastAsia="宋体" w:cs="Times New Roman"/>
          <w:color w:val="auto"/>
          <w:kern w:val="2"/>
          <w:sz w:val="24"/>
          <w:szCs w:val="28"/>
          <w:lang w:val="en-US" w:eastAsia="zh-CN" w:bidi="ar-SA"/>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default"/>
          <w:lang w:val="en-US" w:eastAsia="zh-CN"/>
        </w:rPr>
      </w:pPr>
      <w:r>
        <w:rPr>
          <w:rFonts w:hint="eastAsia"/>
          <w:lang w:val="en-US" w:eastAsia="zh-CN"/>
        </w:rPr>
        <w:t>总结：</w:t>
      </w:r>
    </w:p>
    <w:p>
      <w:pPr>
        <w:pStyle w:val="4"/>
        <w:rPr>
          <w:rFonts w:hint="eastAsia"/>
        </w:rPr>
      </w:pPr>
      <w:r>
        <w:rPr>
          <w:rFonts w:hint="eastAsia"/>
          <w:lang w:val="en-US" w:eastAsia="zh-CN"/>
        </w:rPr>
        <w:t>1、</w:t>
      </w:r>
      <w:r>
        <w:rPr>
          <w:rFonts w:hint="eastAsia"/>
        </w:rPr>
        <w:t>软件著作权涵义</w:t>
      </w:r>
    </w:p>
    <w:p>
      <w:pPr>
        <w:pStyle w:val="4"/>
        <w:rPr>
          <w:rFonts w:hint="eastAsia"/>
          <w:lang w:val="en-US" w:eastAsia="zh-CN"/>
        </w:rPr>
      </w:pPr>
      <w:r>
        <w:rPr>
          <w:rFonts w:hint="eastAsia"/>
          <w:lang w:val="en-US" w:eastAsia="zh-CN"/>
        </w:rPr>
        <w:t>2、价值影响因素</w:t>
      </w:r>
    </w:p>
    <w:p>
      <w:pPr>
        <w:pStyle w:val="4"/>
        <w:rPr>
          <w:rFonts w:hint="default" w:eastAsia="宋体"/>
          <w:lang w:val="en-US" w:eastAsia="zh-CN"/>
        </w:rPr>
      </w:pPr>
      <w:r>
        <w:rPr>
          <w:rFonts w:hint="eastAsia"/>
          <w:lang w:val="en-US" w:eastAsia="zh-CN"/>
        </w:rPr>
        <w:t>3、</w:t>
      </w:r>
      <w:r>
        <w:rPr>
          <w:rFonts w:hint="eastAsia"/>
        </w:rPr>
        <w:t>软件著作权</w:t>
      </w:r>
      <w:r>
        <w:rPr>
          <w:rFonts w:hint="eastAsia"/>
          <w:lang w:val="en-US" w:eastAsia="zh-CN"/>
        </w:rPr>
        <w:t>评估概述</w:t>
      </w:r>
    </w:p>
    <w:p>
      <w:pPr>
        <w:pStyle w:val="4"/>
        <w:rPr>
          <w:rFonts w:hint="default"/>
          <w:lang w:val="en-US" w:eastAsia="zh-CN"/>
        </w:rPr>
      </w:pPr>
      <w:r>
        <w:rPr>
          <w:rFonts w:hint="eastAsia"/>
          <w:lang w:val="en-US" w:eastAsia="zh-CN"/>
        </w:rPr>
        <w:t>4、评估方法</w:t>
      </w:r>
    </w:p>
    <w:p>
      <w:pPr>
        <w:pStyle w:val="4"/>
        <w:rPr>
          <w:rFonts w:hint="eastAsia" w:eastAsia="宋体"/>
          <w:lang w:val="en-US" w:eastAsia="zh-CN"/>
        </w:rPr>
      </w:pPr>
      <w:r>
        <w:rPr>
          <w:rFonts w:hint="eastAsia"/>
          <w:lang w:val="en-US" w:eastAsia="zh-CN"/>
        </w:rPr>
        <w:t>5、案例分析</w:t>
      </w:r>
    </w:p>
    <w:p>
      <w:pPr>
        <w:pStyle w:val="4"/>
        <w:rPr>
          <w:rFonts w:hint="default" w:eastAsia="宋体"/>
          <w:lang w:val="en-US" w:eastAsia="zh-CN"/>
        </w:rPr>
      </w:pPr>
      <w:r>
        <w:rPr>
          <w:rFonts w:hint="eastAsia"/>
          <w:lang w:val="en-US" w:eastAsia="zh-CN"/>
        </w:rPr>
        <w:t>6、评估报告书</w:t>
      </w:r>
    </w:p>
    <w:p>
      <w:pPr>
        <w:pStyle w:val="4"/>
        <w:rPr>
          <w:rFonts w:hint="default"/>
          <w:lang w:val="en-US" w:eastAsia="zh-CN"/>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098"/>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80"/>
      </w:pPr>
      <w:r>
        <w:separator/>
      </w:r>
    </w:p>
  </w:footnote>
  <w:footnote w:type="continuationSeparator" w:id="1">
    <w:p>
      <w:pPr>
        <w:spacing w:line="30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54062A"/>
    <w:multiLevelType w:val="singleLevel"/>
    <w:tmpl w:val="7454062A"/>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mOTc2ZjQzOGQzNjA4YzkyYjZkNmVjMzdlMGI0YjMifQ=="/>
  </w:docVars>
  <w:rsids>
    <w:rsidRoot w:val="00000000"/>
    <w:rsid w:val="03604B36"/>
    <w:rsid w:val="08C571E9"/>
    <w:rsid w:val="0C590374"/>
    <w:rsid w:val="12F47048"/>
    <w:rsid w:val="136E2957"/>
    <w:rsid w:val="14D81DF3"/>
    <w:rsid w:val="1BE51C24"/>
    <w:rsid w:val="1C163621"/>
    <w:rsid w:val="221E379A"/>
    <w:rsid w:val="22761828"/>
    <w:rsid w:val="2A9245FA"/>
    <w:rsid w:val="2BA83E49"/>
    <w:rsid w:val="2C5C1A8E"/>
    <w:rsid w:val="2F6C023B"/>
    <w:rsid w:val="337E26E3"/>
    <w:rsid w:val="3542559A"/>
    <w:rsid w:val="362A257C"/>
    <w:rsid w:val="36A414C9"/>
    <w:rsid w:val="375E599D"/>
    <w:rsid w:val="39E82BB3"/>
    <w:rsid w:val="3A683CF4"/>
    <w:rsid w:val="3BB8284B"/>
    <w:rsid w:val="3DDB658B"/>
    <w:rsid w:val="3DEA29AB"/>
    <w:rsid w:val="3FDF6807"/>
    <w:rsid w:val="439F01C4"/>
    <w:rsid w:val="44E4666D"/>
    <w:rsid w:val="4ADF3B5F"/>
    <w:rsid w:val="513F717A"/>
    <w:rsid w:val="5588569D"/>
    <w:rsid w:val="56E101E0"/>
    <w:rsid w:val="5A61633E"/>
    <w:rsid w:val="5FC11757"/>
    <w:rsid w:val="68DE4FFE"/>
    <w:rsid w:val="6B15076E"/>
    <w:rsid w:val="6B6D10E7"/>
    <w:rsid w:val="71614A1E"/>
    <w:rsid w:val="787D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00" w:lineRule="auto"/>
      <w:ind w:firstLine="200" w:firstLineChars="200"/>
      <w:jc w:val="left"/>
    </w:pPr>
    <w:rPr>
      <w:rFonts w:ascii="Times New Roman" w:hAnsi="Times New Roman" w:eastAsia="宋体" w:cs="Times New Roman"/>
      <w:color w:val="auto"/>
      <w:kern w:val="2"/>
      <w:sz w:val="24"/>
      <w:szCs w:val="28"/>
      <w:lang w:val="en-US" w:eastAsia="zh-CN" w:bidi="ar-SA"/>
    </w:rPr>
  </w:style>
  <w:style w:type="paragraph" w:styleId="2">
    <w:name w:val="heading 3"/>
    <w:basedOn w:val="1"/>
    <w:next w:val="1"/>
    <w:autoRedefine/>
    <w:semiHidden/>
    <w:unhideWhenUsed/>
    <w:qFormat/>
    <w:uiPriority w:val="0"/>
    <w:pPr>
      <w:keepNext/>
      <w:keepLines/>
      <w:adjustRightInd w:val="0"/>
      <w:spacing w:beforeLines="0" w:beforeAutospacing="0" w:afterLines="0" w:afterAutospacing="0" w:line="240" w:lineRule="auto"/>
      <w:jc w:val="left"/>
      <w:outlineLvl w:val="9"/>
    </w:pPr>
    <w:rPr>
      <w:rFonts w:ascii="Times New Roman" w:hAnsi="Times New Roman"/>
      <w:b/>
      <w:sz w:val="32"/>
    </w:rPr>
  </w:style>
  <w:style w:type="character" w:default="1" w:styleId="8">
    <w:name w:val="Default Paragraph Font"/>
    <w:autoRedefine/>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caption"/>
    <w:basedOn w:val="1"/>
    <w:next w:val="1"/>
    <w:autoRedefine/>
    <w:semiHidden/>
    <w:unhideWhenUsed/>
    <w:qFormat/>
    <w:uiPriority w:val="0"/>
    <w:pPr>
      <w:jc w:val="center"/>
    </w:pPr>
    <w:rPr>
      <w:rFonts w:ascii="Arial" w:hAnsi="Arial" w:eastAsia="宋体"/>
      <w:sz w:val="24"/>
    </w:rPr>
  </w:style>
  <w:style w:type="paragraph" w:styleId="4">
    <w:name w:val="Body Text"/>
    <w:basedOn w:val="1"/>
    <w:autoRedefine/>
    <w:qFormat/>
    <w:uiPriority w:val="0"/>
    <w:pPr>
      <w:spacing w:after="120" w:afterLines="0" w:afterAutospacing="0"/>
      <w:jc w:val="left"/>
    </w:pPr>
    <w:rPr>
      <w:rFonts w:ascii="Times New Roman" w:hAnsi="Times New Roman"/>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Table Text"/>
    <w:basedOn w:val="1"/>
    <w:autoRedefine/>
    <w:semiHidden/>
    <w:qFormat/>
    <w:uiPriority w:val="0"/>
    <w:rPr>
      <w:rFonts w:ascii="宋体" w:hAnsi="宋体" w:eastAsia="宋体" w:cs="宋体"/>
      <w:sz w:val="18"/>
      <w:szCs w:val="18"/>
      <w:lang w:val="en-US" w:eastAsia="en-US" w:bidi="ar-SA"/>
    </w:rPr>
  </w:style>
  <w:style w:type="table" w:customStyle="1" w:styleId="1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footnotes" Target="footnotes.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Office_12.1.0.16309_F1E327BC-269C-435d-A152-05C5408002CA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2022-03-09T01:45:00Z</dcterms:created>
  <dc:creator>lzn</dc:creator>
  <cp:lastModifiedBy>小明</cp:lastModifiedBy>
  <dcterms:modified xsi:type="dcterms:W3CDTF">2024-02-03T09:45:51Z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2052-12.1.0.16309</vt:lpwstr>
  </property>
  <property fmtid="{D5CDD505-2E9C-101B-9397-08002B2CF9AE}" pid="3" name="ICV">
    <vt:lpwstr>406ACA1396FB417780F7BCDE70AD1A55</vt:lpwstr>
  </property>
</Properties>
</file>