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71C13">
      <w:pPr>
        <w:jc w:val="center"/>
        <w:outlineLvl w:val="0"/>
        <w:rPr>
          <w:rFonts w:hint="eastAsia" w:ascii="宋体" w:hAnsi="宋体"/>
          <w:b/>
          <w:bCs/>
          <w:sz w:val="44"/>
          <w:szCs w:val="44"/>
        </w:rPr>
      </w:pPr>
    </w:p>
    <w:p w14:paraId="4F7DF9DF">
      <w:pPr>
        <w:snapToGrid w:val="0"/>
        <w:spacing w:line="480" w:lineRule="auto"/>
        <w:rPr>
          <w:rFonts w:ascii="楷体_GB2312" w:eastAsia="楷体_GB2312"/>
          <w:b/>
          <w:sz w:val="48"/>
          <w:szCs w:val="48"/>
        </w:rPr>
      </w:pPr>
    </w:p>
    <w:p w14:paraId="5FD483DE">
      <w:pPr>
        <w:snapToGrid w:val="0"/>
        <w:spacing w:line="480" w:lineRule="auto"/>
        <w:jc w:val="center"/>
        <w:rPr>
          <w:rFonts w:hint="eastAsia" w:ascii="楷体_GB2312" w:eastAsia="楷体_GB2312"/>
          <w:b/>
          <w:sz w:val="56"/>
          <w:szCs w:val="48"/>
        </w:rPr>
      </w:pPr>
      <w:r>
        <w:rPr>
          <w:rFonts w:hint="eastAsia" w:ascii="楷体_GB2312" w:eastAsia="楷体_GB2312"/>
          <w:b/>
          <w:sz w:val="56"/>
          <w:szCs w:val="48"/>
        </w:rPr>
        <w:t>《</w:t>
      </w:r>
      <w:r>
        <w:rPr>
          <w:rFonts w:hint="eastAsia" w:ascii="楷体_GB2312" w:eastAsia="楷体_GB2312"/>
          <w:b/>
          <w:sz w:val="56"/>
          <w:szCs w:val="48"/>
          <w:lang w:val="en-US" w:eastAsia="zh-CN"/>
        </w:rPr>
        <w:t>著作权资产评估</w:t>
      </w:r>
      <w:r>
        <w:rPr>
          <w:rFonts w:hint="eastAsia" w:ascii="楷体_GB2312" w:eastAsia="楷体_GB2312"/>
          <w:b/>
          <w:sz w:val="56"/>
          <w:szCs w:val="48"/>
        </w:rPr>
        <w:t>》教案设计</w:t>
      </w:r>
    </w:p>
    <w:p w14:paraId="1AE57BC7">
      <w:pPr>
        <w:spacing w:line="480" w:lineRule="auto"/>
        <w:jc w:val="center"/>
        <w:rPr>
          <w:rFonts w:hint="eastAsia" w:ascii="楷体_GB2312" w:eastAsia="楷体_GB2312"/>
          <w:sz w:val="48"/>
          <w:szCs w:val="48"/>
        </w:rPr>
      </w:pPr>
    </w:p>
    <w:p w14:paraId="17CECE04">
      <w:pPr>
        <w:spacing w:line="480" w:lineRule="auto"/>
        <w:jc w:val="center"/>
        <w:rPr>
          <w:rFonts w:hint="eastAsia" w:ascii="楷体_GB2312" w:eastAsia="楷体_GB2312"/>
          <w:sz w:val="48"/>
          <w:szCs w:val="48"/>
        </w:rPr>
      </w:pPr>
    </w:p>
    <w:p w14:paraId="59EF8CAD">
      <w:pPr>
        <w:spacing w:line="480" w:lineRule="auto"/>
        <w:jc w:val="center"/>
        <w:rPr>
          <w:rFonts w:hint="eastAsia" w:ascii="楷体_GB2312" w:eastAsia="楷体_GB2312"/>
          <w:sz w:val="48"/>
          <w:szCs w:val="48"/>
        </w:rPr>
      </w:pPr>
    </w:p>
    <w:p w14:paraId="0DC0D81D">
      <w:pPr>
        <w:spacing w:line="480" w:lineRule="auto"/>
        <w:jc w:val="center"/>
        <w:rPr>
          <w:rFonts w:hint="eastAsia" w:ascii="楷体_GB2312" w:eastAsia="楷体_GB2312"/>
          <w:sz w:val="48"/>
          <w:szCs w:val="48"/>
        </w:rPr>
      </w:pPr>
      <w:bookmarkStart w:id="0" w:name="_GoBack"/>
      <w:bookmarkEnd w:id="0"/>
    </w:p>
    <w:p w14:paraId="23B5DF2A">
      <w:pPr>
        <w:spacing w:line="480" w:lineRule="auto"/>
        <w:jc w:val="center"/>
        <w:rPr>
          <w:rFonts w:hint="eastAsia" w:ascii="楷体_GB2312" w:eastAsia="楷体_GB2312"/>
          <w:sz w:val="48"/>
          <w:szCs w:val="48"/>
        </w:rPr>
      </w:pPr>
    </w:p>
    <w:p w14:paraId="2977F814">
      <w:pPr>
        <w:spacing w:line="480" w:lineRule="auto"/>
        <w:jc w:val="center"/>
        <w:rPr>
          <w:rFonts w:hint="eastAsia" w:ascii="楷体_GB2312" w:eastAsia="楷体_GB2312"/>
          <w:sz w:val="48"/>
          <w:szCs w:val="48"/>
        </w:rPr>
      </w:pPr>
    </w:p>
    <w:p w14:paraId="6C1D87A9">
      <w:pPr>
        <w:tabs>
          <w:tab w:val="left" w:pos="0"/>
        </w:tabs>
        <w:rPr>
          <w:rFonts w:hint="eastAsia" w:ascii="楷体_GB2312" w:eastAsia="楷体_GB2312"/>
          <w:b/>
          <w:sz w:val="32"/>
          <w:szCs w:val="30"/>
        </w:rPr>
      </w:pPr>
      <w:r>
        <w:rPr>
          <w:rFonts w:hint="eastAsia"/>
          <w:b/>
          <w:bCs/>
          <w:sz w:val="32"/>
        </w:rPr>
        <w:t xml:space="preserve">         </w:t>
      </w:r>
      <w:r>
        <w:rPr>
          <w:rFonts w:hint="eastAsia" w:ascii="楷体_GB2312" w:eastAsia="楷体_GB2312"/>
          <w:b/>
          <w:sz w:val="30"/>
          <w:szCs w:val="30"/>
        </w:rPr>
        <w:t xml:space="preserve"> </w:t>
      </w:r>
      <w:r>
        <w:rPr>
          <w:rFonts w:hint="eastAsia" w:ascii="楷体_GB2312" w:eastAsia="楷体_GB2312"/>
          <w:b/>
          <w:sz w:val="30"/>
          <w:szCs w:val="30"/>
          <w:lang w:val="en-US" w:eastAsia="zh-CN"/>
        </w:rPr>
        <w:t xml:space="preserve">     </w:t>
      </w:r>
      <w:r>
        <w:rPr>
          <w:rFonts w:hint="eastAsia" w:ascii="楷体_GB2312" w:eastAsia="楷体_GB2312"/>
          <w:b/>
          <w:sz w:val="32"/>
          <w:szCs w:val="30"/>
        </w:rPr>
        <w:t xml:space="preserve">所属学科 </w:t>
      </w:r>
      <w:r>
        <w:rPr>
          <w:rFonts w:hint="eastAsia" w:ascii="楷体_GB2312" w:eastAsia="楷体_GB2312"/>
          <w:b/>
          <w:sz w:val="32"/>
          <w:szCs w:val="30"/>
          <w:u w:val="single"/>
        </w:rPr>
        <w:t xml:space="preserve">         </w:t>
      </w:r>
      <w:r>
        <w:rPr>
          <w:rFonts w:hint="eastAsia" w:ascii="楷体_GB2312" w:eastAsia="楷体_GB2312"/>
          <w:b/>
          <w:sz w:val="32"/>
          <w:szCs w:val="30"/>
          <w:u w:val="single"/>
          <w:lang w:val="en-US" w:eastAsia="zh-CN"/>
        </w:rPr>
        <w:t>资产评估</w:t>
      </w:r>
      <w:r>
        <w:rPr>
          <w:rFonts w:hint="eastAsia" w:ascii="楷体_GB2312" w:eastAsia="楷体_GB2312"/>
          <w:b/>
          <w:sz w:val="32"/>
          <w:szCs w:val="30"/>
          <w:u w:val="single"/>
        </w:rPr>
        <w:t xml:space="preserve">          </w:t>
      </w:r>
      <w:r>
        <w:rPr>
          <w:rFonts w:hint="eastAsia" w:ascii="楷体_GB2312" w:eastAsia="楷体_GB2312"/>
          <w:b/>
          <w:sz w:val="32"/>
          <w:szCs w:val="30"/>
        </w:rPr>
        <w:t xml:space="preserve">     </w:t>
      </w:r>
    </w:p>
    <w:p w14:paraId="5C2894D5">
      <w:pPr>
        <w:ind w:left="4008" w:leftChars="771" w:hanging="2389"/>
        <w:rPr>
          <w:rFonts w:hint="eastAsia" w:ascii="楷体_GB2312" w:eastAsia="楷体_GB2312"/>
          <w:b/>
          <w:sz w:val="32"/>
          <w:szCs w:val="30"/>
        </w:rPr>
      </w:pPr>
      <w:r>
        <w:rPr>
          <w:rFonts w:hint="eastAsia" w:ascii="楷体_GB2312" w:eastAsia="楷体_GB2312"/>
          <w:b/>
          <w:sz w:val="32"/>
          <w:szCs w:val="30"/>
        </w:rPr>
        <w:t xml:space="preserve">课程名称 </w:t>
      </w:r>
      <w:r>
        <w:rPr>
          <w:rFonts w:hint="eastAsia" w:ascii="楷体_GB2312" w:eastAsia="楷体_GB2312"/>
          <w:b/>
          <w:sz w:val="32"/>
          <w:szCs w:val="30"/>
          <w:u w:val="single"/>
        </w:rPr>
        <w:t xml:space="preserve"> </w:t>
      </w:r>
      <w:r>
        <w:rPr>
          <w:rFonts w:ascii="楷体_GB2312" w:eastAsia="楷体_GB2312"/>
          <w:b/>
          <w:sz w:val="32"/>
          <w:szCs w:val="30"/>
          <w:u w:val="single"/>
        </w:rPr>
        <w:t xml:space="preserve">  </w:t>
      </w:r>
      <w:r>
        <w:rPr>
          <w:rFonts w:hint="eastAsia"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著作权资产评估</w:t>
      </w:r>
      <w:r>
        <w:rPr>
          <w:rFonts w:hint="eastAsia"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w:t>
      </w:r>
      <w:r>
        <w:rPr>
          <w:rFonts w:hint="eastAsia"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w:t>
      </w:r>
    </w:p>
    <w:p w14:paraId="362B5306">
      <w:pPr>
        <w:ind w:left="3826" w:leftChars="771" w:hanging="2207"/>
        <w:rPr>
          <w:rFonts w:hint="eastAsia" w:ascii="楷体_GB2312" w:eastAsia="楷体_GB2312"/>
          <w:b/>
          <w:sz w:val="32"/>
          <w:szCs w:val="30"/>
        </w:rPr>
      </w:pPr>
      <w:r>
        <w:rPr>
          <w:rFonts w:hint="eastAsia" w:ascii="楷体_GB2312" w:eastAsia="楷体_GB2312"/>
          <w:b/>
          <w:sz w:val="32"/>
          <w:szCs w:val="30"/>
        </w:rPr>
        <w:t xml:space="preserve">授课对象 </w:t>
      </w:r>
      <w:r>
        <w:rPr>
          <w:rFonts w:hint="eastAsia"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资产评估班本科三年级</w:t>
      </w:r>
      <w:r>
        <w:rPr>
          <w:rFonts w:hint="eastAsia"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w:t>
      </w:r>
    </w:p>
    <w:p w14:paraId="32745D28">
      <w:pPr>
        <w:ind w:left="3826" w:leftChars="771" w:hanging="2207"/>
        <w:rPr>
          <w:rFonts w:ascii="楷体_GB2312" w:eastAsia="楷体_GB2312"/>
          <w:b/>
          <w:sz w:val="32"/>
          <w:szCs w:val="30"/>
          <w:u w:val="single"/>
        </w:rPr>
      </w:pPr>
      <w:r>
        <w:rPr>
          <w:rFonts w:hint="eastAsia" w:ascii="楷体_GB2312" w:eastAsia="楷体_GB2312"/>
          <w:b/>
          <w:sz w:val="32"/>
          <w:szCs w:val="30"/>
        </w:rPr>
        <w:t xml:space="preserve">授课时长 </w:t>
      </w:r>
      <w:r>
        <w:rPr>
          <w:rFonts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w:t>
      </w:r>
      <w:r>
        <w:rPr>
          <w:rFonts w:hint="eastAsia"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8</w:t>
      </w:r>
      <w:r>
        <w:rPr>
          <w:rFonts w:hint="eastAsia" w:ascii="楷体_GB2312" w:eastAsia="楷体_GB2312"/>
          <w:b/>
          <w:sz w:val="32"/>
          <w:szCs w:val="30"/>
          <w:u w:val="single"/>
        </w:rPr>
        <w:t xml:space="preserve">课时  </w:t>
      </w:r>
      <w:r>
        <w:rPr>
          <w:rFonts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w:t>
      </w:r>
      <w:r>
        <w:rPr>
          <w:rFonts w:ascii="楷体_GB2312" w:eastAsia="楷体_GB2312"/>
          <w:b/>
          <w:sz w:val="32"/>
          <w:szCs w:val="30"/>
          <w:u w:val="single"/>
        </w:rPr>
        <w:t xml:space="preserve">  </w:t>
      </w:r>
      <w:r>
        <w:rPr>
          <w:rFonts w:hint="eastAsia" w:ascii="楷体_GB2312" w:eastAsia="楷体_GB2312"/>
          <w:b/>
          <w:sz w:val="32"/>
          <w:szCs w:val="30"/>
          <w:u w:val="single"/>
          <w:lang w:val="en-US" w:eastAsia="zh-CN"/>
        </w:rPr>
        <w:t xml:space="preserve">  </w:t>
      </w:r>
      <w:r>
        <w:rPr>
          <w:rFonts w:ascii="楷体_GB2312" w:eastAsia="楷体_GB2312"/>
          <w:b/>
          <w:sz w:val="32"/>
          <w:szCs w:val="30"/>
          <w:u w:val="single"/>
        </w:rPr>
        <w:t xml:space="preserve"> </w:t>
      </w:r>
    </w:p>
    <w:p w14:paraId="67863D7A">
      <w:pPr>
        <w:ind w:left="3826" w:leftChars="771" w:hanging="2207"/>
        <w:rPr>
          <w:rFonts w:ascii="楷体_GB2312" w:eastAsia="楷体_GB2312"/>
          <w:b/>
          <w:sz w:val="30"/>
          <w:szCs w:val="30"/>
          <w:u w:val="single"/>
        </w:rPr>
      </w:pPr>
    </w:p>
    <w:p w14:paraId="47C0F42C">
      <w:pPr>
        <w:jc w:val="center"/>
        <w:outlineLvl w:val="0"/>
        <w:rPr>
          <w:rFonts w:hint="eastAsia" w:ascii="宋体" w:hAnsi="宋体"/>
          <w:b/>
          <w:bCs/>
          <w:sz w:val="36"/>
          <w:szCs w:val="36"/>
        </w:rPr>
      </w:pPr>
    </w:p>
    <w:p w14:paraId="662CD00A">
      <w:pPr>
        <w:jc w:val="center"/>
        <w:outlineLvl w:val="0"/>
        <w:rPr>
          <w:rFonts w:hint="eastAsia" w:ascii="宋体" w:hAnsi="宋体"/>
          <w:b/>
          <w:bCs/>
          <w:sz w:val="36"/>
          <w:szCs w:val="36"/>
        </w:rPr>
      </w:pPr>
    </w:p>
    <w:p w14:paraId="48BA9591">
      <w:pPr>
        <w:jc w:val="center"/>
        <w:outlineLvl w:val="0"/>
        <w:rPr>
          <w:rFonts w:hint="eastAsia" w:ascii="宋体" w:hAnsi="宋体"/>
          <w:b/>
          <w:bCs/>
          <w:sz w:val="36"/>
          <w:szCs w:val="36"/>
        </w:rPr>
      </w:pPr>
    </w:p>
    <w:p w14:paraId="2C2B4362">
      <w:pPr>
        <w:jc w:val="center"/>
        <w:outlineLvl w:val="0"/>
        <w:rPr>
          <w:rFonts w:hint="eastAsia" w:ascii="宋体" w:hAnsi="宋体"/>
          <w:b/>
          <w:bCs/>
          <w:sz w:val="36"/>
          <w:szCs w:val="36"/>
        </w:rPr>
      </w:pPr>
    </w:p>
    <w:p w14:paraId="5045F7AE">
      <w:pPr>
        <w:spacing w:line="360" w:lineRule="auto"/>
        <w:rPr>
          <w:rFonts w:hint="eastAsia"/>
          <w:sz w:val="24"/>
        </w:rPr>
      </w:pPr>
    </w:p>
    <w:p w14:paraId="1F47CF83">
      <w:pPr>
        <w:spacing w:line="427" w:lineRule="auto"/>
        <w:jc w:val="center"/>
        <w:rPr>
          <w:rFonts w:hint="eastAsia" w:eastAsia="宋体"/>
          <w:color w:val="auto"/>
          <w:sz w:val="21"/>
          <w:lang w:val="en-US" w:eastAsia="zh-CN"/>
        </w:rPr>
      </w:pPr>
    </w:p>
    <w:p w14:paraId="5357AAA3">
      <w:pPr>
        <w:spacing w:line="427" w:lineRule="auto"/>
        <w:ind w:firstLine="632" w:firstLineChars="300"/>
        <w:rPr>
          <w:rFonts w:ascii="Arial"/>
          <w:b/>
          <w:bCs/>
          <w:color w:val="auto"/>
          <w:sz w:val="21"/>
        </w:rPr>
      </w:pPr>
      <w:r>
        <w:rPr>
          <w:rFonts w:hint="eastAsia" w:eastAsia="宋体"/>
          <w:b/>
          <w:bCs/>
          <w:color w:val="auto"/>
          <w:sz w:val="21"/>
          <w:lang w:val="en-US" w:eastAsia="zh-CN"/>
        </w:rPr>
        <w:t>一、著作权资产相关知识与著作权资产评估概述</w:t>
      </w:r>
    </w:p>
    <w:p w14:paraId="36AB68A5">
      <w:pPr>
        <w:pStyle w:val="2"/>
        <w:spacing w:before="125" w:line="375" w:lineRule="exact"/>
        <w:ind w:left="574"/>
        <w:rPr>
          <w:color w:val="auto"/>
        </w:rPr>
      </w:pPr>
      <w:r>
        <w:rPr>
          <w:color w:val="auto"/>
          <w:spacing w:val="-3"/>
          <w:position w:val="12"/>
        </w:rPr>
        <w:t>（一）著作权与相关联作品</w:t>
      </w:r>
    </w:p>
    <w:p w14:paraId="7B757CC0">
      <w:pPr>
        <w:pStyle w:val="2"/>
        <w:spacing w:line="220" w:lineRule="auto"/>
        <w:ind w:left="584"/>
        <w:rPr>
          <w:color w:val="auto"/>
        </w:rPr>
      </w:pPr>
      <w:r>
        <w:rPr>
          <w:color w:val="auto"/>
          <w:spacing w:val="-5"/>
        </w:rPr>
        <w:t>1.著作权</w:t>
      </w:r>
    </w:p>
    <w:p w14:paraId="2644B5FD">
      <w:pPr>
        <w:pStyle w:val="2"/>
        <w:spacing w:before="124" w:line="376" w:lineRule="exact"/>
        <w:ind w:left="572"/>
        <w:rPr>
          <w:color w:val="auto"/>
        </w:rPr>
      </w:pPr>
      <w:r>
        <w:rPr>
          <w:color w:val="auto"/>
          <w:spacing w:val="-5"/>
          <w:position w:val="12"/>
        </w:rPr>
        <w:t>著作权也称版权， 是指文学、艺术作品和科学作品的创作者依照法律规定对这些作品所享有的各项</w:t>
      </w:r>
    </w:p>
    <w:p w14:paraId="1A723A78">
      <w:pPr>
        <w:pStyle w:val="2"/>
        <w:spacing w:line="220" w:lineRule="auto"/>
        <w:ind w:left="150"/>
        <w:rPr>
          <w:color w:val="auto"/>
        </w:rPr>
      </w:pPr>
      <w:r>
        <w:rPr>
          <w:color w:val="auto"/>
          <w:spacing w:val="-7"/>
        </w:rPr>
        <w:t>专有权利。</w:t>
      </w:r>
    </w:p>
    <w:p w14:paraId="120376AA">
      <w:pPr>
        <w:pStyle w:val="2"/>
        <w:spacing w:before="124" w:line="220" w:lineRule="auto"/>
        <w:ind w:left="572"/>
        <w:rPr>
          <w:color w:val="auto"/>
        </w:rPr>
      </w:pPr>
      <w:r>
        <w:rPr>
          <w:color w:val="auto"/>
          <w:spacing w:val="-5"/>
        </w:rPr>
        <w:t>著作权主要具有以下特征：</w:t>
      </w:r>
    </w:p>
    <w:p w14:paraId="60102048">
      <w:pPr>
        <w:pStyle w:val="2"/>
        <w:spacing w:before="125" w:line="329" w:lineRule="auto"/>
        <w:ind w:left="568"/>
        <w:rPr>
          <w:color w:val="auto"/>
        </w:rPr>
      </w:pPr>
      <w:r>
        <w:rPr>
          <w:color w:val="auto"/>
          <w:spacing w:val="-6"/>
        </w:rPr>
        <w:t>①著作权因作品的创作而自动产生。专利权、商标权的获得必须经过申请和审批，</w:t>
      </w:r>
      <w:r>
        <w:rPr>
          <w:color w:val="auto"/>
          <w:spacing w:val="55"/>
        </w:rPr>
        <w:t xml:space="preserve"> </w:t>
      </w:r>
      <w:r>
        <w:rPr>
          <w:color w:val="auto"/>
          <w:spacing w:val="-6"/>
        </w:rPr>
        <w:t>由主管部门授权</w:t>
      </w:r>
    </w:p>
    <w:p w14:paraId="37F916CF">
      <w:pPr>
        <w:pStyle w:val="2"/>
        <w:spacing w:before="1" w:line="219" w:lineRule="auto"/>
        <w:ind w:left="150"/>
        <w:rPr>
          <w:color w:val="auto"/>
        </w:rPr>
      </w:pPr>
      <w:r>
        <w:rPr>
          <w:color w:val="auto"/>
          <w:spacing w:val="-2"/>
        </w:rPr>
        <w:t>后才能产生，而著作权则因作品的创作完成而自动产生。</w:t>
      </w:r>
    </w:p>
    <w:p w14:paraId="6E8CFDE3">
      <w:pPr>
        <w:pStyle w:val="2"/>
        <w:spacing w:before="126" w:line="329" w:lineRule="auto"/>
        <w:ind w:left="567"/>
        <w:rPr>
          <w:color w:val="auto"/>
        </w:rPr>
      </w:pPr>
      <w:r>
        <w:rPr>
          <w:color w:val="auto"/>
          <w:spacing w:val="-6"/>
        </w:rPr>
        <w:t>②著作权突出对人身权的保护。著作权与作品的创作密切联系，</w:t>
      </w:r>
      <w:r>
        <w:rPr>
          <w:color w:val="auto"/>
          <w:spacing w:val="-38"/>
        </w:rPr>
        <w:t xml:space="preserve"> </w:t>
      </w:r>
      <w:r>
        <w:rPr>
          <w:color w:val="auto"/>
          <w:spacing w:val="-6"/>
        </w:rPr>
        <w:t>因此在著作权</w:t>
      </w:r>
      <w:r>
        <w:rPr>
          <w:color w:val="auto"/>
          <w:spacing w:val="-7"/>
        </w:rPr>
        <w:t>中， 保护作者对作品</w:t>
      </w:r>
    </w:p>
    <w:p w14:paraId="0A43401A">
      <w:pPr>
        <w:pStyle w:val="2"/>
        <w:spacing w:line="220" w:lineRule="auto"/>
        <w:ind w:left="166"/>
        <w:rPr>
          <w:color w:val="auto"/>
        </w:rPr>
      </w:pPr>
      <w:r>
        <w:rPr>
          <w:color w:val="auto"/>
          <w:spacing w:val="-4"/>
        </w:rPr>
        <w:t>的人身权利是其重要的内容。</w:t>
      </w:r>
    </w:p>
    <w:p w14:paraId="6E99985A">
      <w:pPr>
        <w:pStyle w:val="2"/>
        <w:spacing w:before="124" w:line="220" w:lineRule="auto"/>
        <w:ind w:left="571"/>
        <w:rPr>
          <w:color w:val="auto"/>
        </w:rPr>
      </w:pPr>
      <w:r>
        <w:rPr>
          <w:color w:val="auto"/>
          <w:spacing w:val="-2"/>
        </w:rPr>
        <w:t>2.著作权内容</w:t>
      </w:r>
    </w:p>
    <w:p w14:paraId="00061101">
      <w:pPr>
        <w:spacing w:line="254" w:lineRule="auto"/>
        <w:rPr>
          <w:rFonts w:ascii="Arial"/>
          <w:color w:val="auto"/>
          <w:sz w:val="21"/>
        </w:rPr>
      </w:pPr>
    </w:p>
    <w:p w14:paraId="5719D92E">
      <w:pPr>
        <w:spacing w:line="4737" w:lineRule="exact"/>
        <w:ind w:firstLine="725"/>
        <w:rPr>
          <w:color w:val="auto"/>
        </w:rPr>
      </w:pPr>
      <w:r>
        <w:rPr>
          <w:color w:val="auto"/>
          <w:position w:val="-94"/>
        </w:rPr>
        <w:drawing>
          <wp:inline distT="0" distB="0" distL="0" distR="0">
            <wp:extent cx="4464685" cy="300799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8"/>
                    <a:stretch>
                      <a:fillRect/>
                    </a:stretch>
                  </pic:blipFill>
                  <pic:spPr>
                    <a:xfrm>
                      <a:off x="0" y="0"/>
                      <a:ext cx="4465041" cy="3008235"/>
                    </a:xfrm>
                    <a:prstGeom prst="rect">
                      <a:avLst/>
                    </a:prstGeom>
                  </pic:spPr>
                </pic:pic>
              </a:graphicData>
            </a:graphic>
          </wp:inline>
        </w:drawing>
      </w:r>
    </w:p>
    <w:p w14:paraId="7D1763E0">
      <w:pPr>
        <w:pStyle w:val="2"/>
        <w:spacing w:before="125" w:line="329" w:lineRule="auto"/>
        <w:ind w:left="568"/>
        <w:rPr>
          <w:color w:val="auto"/>
          <w:spacing w:val="-6"/>
        </w:rPr>
      </w:pPr>
      <w:r>
        <w:rPr>
          <w:color w:val="auto"/>
          <w:spacing w:val="-5"/>
        </w:rPr>
        <w:t>人身权以人格利益为内容，</w:t>
      </w:r>
      <w:r>
        <w:rPr>
          <w:color w:val="auto"/>
          <w:spacing w:val="62"/>
        </w:rPr>
        <w:t xml:space="preserve"> </w:t>
      </w:r>
      <w:r>
        <w:rPr>
          <w:color w:val="auto"/>
          <w:spacing w:val="-6"/>
        </w:rPr>
        <w:t>一般不能继承、转让、强制执行，无期限限制。</w:t>
      </w:r>
    </w:p>
    <w:p w14:paraId="72D5F670">
      <w:pPr>
        <w:pStyle w:val="2"/>
        <w:spacing w:before="125" w:line="329" w:lineRule="auto"/>
        <w:ind w:left="568"/>
        <w:rPr>
          <w:color w:val="auto"/>
          <w:spacing w:val="-6"/>
        </w:rPr>
      </w:pPr>
      <w:r>
        <w:rPr>
          <w:color w:val="auto"/>
          <w:spacing w:val="-6"/>
        </w:rPr>
        <w:t>财产权可以转让、继承、交易。</w:t>
      </w:r>
    </w:p>
    <w:p w14:paraId="24BFBEE8">
      <w:pPr>
        <w:pStyle w:val="2"/>
        <w:spacing w:before="124" w:line="220" w:lineRule="auto"/>
        <w:ind w:left="574"/>
        <w:rPr>
          <w:color w:val="auto"/>
        </w:rPr>
      </w:pPr>
      <w:r>
        <w:rPr>
          <w:color w:val="auto"/>
          <w:spacing w:val="-4"/>
        </w:rPr>
        <w:t>（1）发表权</w:t>
      </w:r>
    </w:p>
    <w:p w14:paraId="2CDD5309">
      <w:pPr>
        <w:pStyle w:val="2"/>
        <w:spacing w:before="125" w:line="220" w:lineRule="auto"/>
        <w:ind w:left="584"/>
        <w:rPr>
          <w:color w:val="auto"/>
        </w:rPr>
      </w:pPr>
      <w:r>
        <w:rPr>
          <w:color w:val="auto"/>
          <w:spacing w:val="-4"/>
        </w:rPr>
        <w:t>即决定作品是否公之于众的权利。</w:t>
      </w:r>
    </w:p>
    <w:p w14:paraId="36ADF67C">
      <w:pPr>
        <w:pStyle w:val="2"/>
        <w:spacing w:before="124" w:line="220" w:lineRule="auto"/>
        <w:ind w:left="574"/>
        <w:rPr>
          <w:color w:val="auto"/>
        </w:rPr>
      </w:pPr>
      <w:r>
        <w:rPr>
          <w:color w:val="auto"/>
          <w:spacing w:val="-4"/>
        </w:rPr>
        <w:t>（2）署名权</w:t>
      </w:r>
    </w:p>
    <w:p w14:paraId="2CAB470A">
      <w:pPr>
        <w:pStyle w:val="2"/>
        <w:spacing w:before="125" w:line="329" w:lineRule="auto"/>
        <w:ind w:left="584"/>
        <w:rPr>
          <w:color w:val="auto"/>
        </w:rPr>
      </w:pPr>
      <w:r>
        <w:rPr>
          <w:color w:val="auto"/>
          <w:spacing w:val="-12"/>
        </w:rPr>
        <w:t>即表明作者身份，</w:t>
      </w:r>
      <w:r>
        <w:rPr>
          <w:color w:val="auto"/>
          <w:spacing w:val="43"/>
        </w:rPr>
        <w:t xml:space="preserve"> </w:t>
      </w:r>
      <w:r>
        <w:rPr>
          <w:color w:val="auto"/>
          <w:spacing w:val="-12"/>
        </w:rPr>
        <w:t>在作品上署名的权利。包括决定是否署名</w:t>
      </w:r>
      <w:r>
        <w:rPr>
          <w:color w:val="auto"/>
          <w:spacing w:val="-6"/>
        </w:rPr>
        <w:t>、 署名的方式（</w:t>
      </w:r>
      <w:r>
        <w:rPr>
          <w:color w:val="auto"/>
          <w:spacing w:val="-12"/>
        </w:rPr>
        <w:t>真名或笔名等） 、署名</w:t>
      </w:r>
    </w:p>
    <w:p w14:paraId="40566897">
      <w:pPr>
        <w:pStyle w:val="2"/>
        <w:spacing w:line="219" w:lineRule="auto"/>
        <w:ind w:left="150"/>
        <w:rPr>
          <w:color w:val="auto"/>
        </w:rPr>
      </w:pPr>
      <w:r>
        <w:rPr>
          <w:color w:val="auto"/>
          <w:spacing w:val="-2"/>
        </w:rPr>
        <w:t>顺序、禁止未参加创作的人在作品上署名、禁止他人假冒署名。</w:t>
      </w:r>
    </w:p>
    <w:p w14:paraId="37F451E6">
      <w:pPr>
        <w:pStyle w:val="2"/>
        <w:spacing w:before="125" w:line="220" w:lineRule="auto"/>
        <w:ind w:left="574"/>
        <w:rPr>
          <w:color w:val="auto"/>
        </w:rPr>
      </w:pPr>
      <w:r>
        <w:rPr>
          <w:color w:val="auto"/>
          <w:spacing w:val="-4"/>
        </w:rPr>
        <w:t>（3）修改权</w:t>
      </w:r>
    </w:p>
    <w:p w14:paraId="08B92B75">
      <w:pPr>
        <w:pStyle w:val="2"/>
        <w:spacing w:before="125" w:line="375" w:lineRule="exact"/>
        <w:ind w:left="584"/>
        <w:rPr>
          <w:color w:val="auto"/>
        </w:rPr>
      </w:pPr>
      <w:r>
        <w:rPr>
          <w:color w:val="auto"/>
          <w:spacing w:val="-4"/>
          <w:position w:val="12"/>
        </w:rPr>
        <w:t>即指作者对其作品进行修改或者授权他人进行修改的权利，</w:t>
      </w:r>
      <w:r>
        <w:rPr>
          <w:color w:val="auto"/>
          <w:spacing w:val="-41"/>
          <w:position w:val="12"/>
        </w:rPr>
        <w:t xml:space="preserve"> </w:t>
      </w:r>
      <w:r>
        <w:rPr>
          <w:color w:val="auto"/>
          <w:spacing w:val="-4"/>
          <w:position w:val="12"/>
        </w:rPr>
        <w:t>报社和期刊杂志</w:t>
      </w:r>
      <w:r>
        <w:rPr>
          <w:color w:val="auto"/>
          <w:spacing w:val="-5"/>
          <w:position w:val="12"/>
        </w:rPr>
        <w:t>社编辑出于版面要求有</w:t>
      </w:r>
    </w:p>
    <w:p w14:paraId="79973F55">
      <w:pPr>
        <w:pStyle w:val="2"/>
        <w:spacing w:line="220" w:lineRule="auto"/>
        <w:ind w:left="152"/>
        <w:rPr>
          <w:color w:val="auto"/>
        </w:rPr>
      </w:pPr>
      <w:r>
        <w:rPr>
          <w:color w:val="auto"/>
          <w:spacing w:val="-5"/>
        </w:rPr>
        <w:t>一定的文字修改权。</w:t>
      </w:r>
    </w:p>
    <w:p w14:paraId="6F9A2610">
      <w:pPr>
        <w:pStyle w:val="2"/>
        <w:spacing w:before="125" w:line="220" w:lineRule="auto"/>
        <w:ind w:left="574"/>
        <w:rPr>
          <w:color w:val="auto"/>
        </w:rPr>
      </w:pPr>
      <w:r>
        <w:rPr>
          <w:color w:val="auto"/>
          <w:spacing w:val="-3"/>
        </w:rPr>
        <w:t>（4）保护作品完整权</w:t>
      </w:r>
    </w:p>
    <w:p w14:paraId="4F60FC00">
      <w:pPr>
        <w:pStyle w:val="2"/>
        <w:spacing w:before="125" w:line="220" w:lineRule="auto"/>
        <w:ind w:left="584"/>
        <w:rPr>
          <w:color w:val="auto"/>
        </w:rPr>
      </w:pPr>
      <w:r>
        <w:rPr>
          <w:color w:val="auto"/>
          <w:spacing w:val="-4"/>
        </w:rPr>
        <w:t>即保护作品不受歪曲、篡改的权利。</w:t>
      </w:r>
    </w:p>
    <w:p w14:paraId="1F294240">
      <w:pPr>
        <w:pStyle w:val="2"/>
        <w:spacing w:before="125" w:line="220" w:lineRule="auto"/>
        <w:ind w:left="574"/>
        <w:rPr>
          <w:color w:val="auto"/>
        </w:rPr>
      </w:pPr>
      <w:r>
        <w:rPr>
          <w:color w:val="auto"/>
          <w:spacing w:val="-4"/>
        </w:rPr>
        <w:t>（5）复制权</w:t>
      </w:r>
    </w:p>
    <w:p w14:paraId="68E43668">
      <w:pPr>
        <w:pStyle w:val="2"/>
        <w:spacing w:before="124" w:line="329" w:lineRule="auto"/>
        <w:ind w:left="584"/>
        <w:rPr>
          <w:color w:val="auto"/>
        </w:rPr>
      </w:pPr>
      <w:r>
        <w:rPr>
          <w:color w:val="auto"/>
          <w:spacing w:val="-7"/>
        </w:rPr>
        <w:t>即以印刷、复印、拓印、录音、录像、翻录、翻拍、</w:t>
      </w:r>
      <w:r>
        <w:rPr>
          <w:color w:val="auto"/>
          <w:spacing w:val="-6"/>
        </w:rPr>
        <w:t xml:space="preserve"> 数字化等方式将作品制作一份或者多份</w:t>
      </w:r>
      <w:r>
        <w:rPr>
          <w:color w:val="auto"/>
          <w:spacing w:val="-7"/>
        </w:rPr>
        <w:t>的权利；</w:t>
      </w:r>
    </w:p>
    <w:p w14:paraId="219D4CA9">
      <w:pPr>
        <w:pStyle w:val="2"/>
        <w:spacing w:before="1" w:line="220" w:lineRule="auto"/>
        <w:ind w:left="154"/>
        <w:rPr>
          <w:color w:val="auto"/>
        </w:rPr>
      </w:pPr>
      <w:r>
        <w:rPr>
          <w:color w:val="auto"/>
          <w:spacing w:val="-7"/>
        </w:rPr>
        <w:t>（盗版）。</w:t>
      </w:r>
    </w:p>
    <w:p w14:paraId="4478E5F6">
      <w:pPr>
        <w:pStyle w:val="2"/>
        <w:spacing w:before="124" w:line="220" w:lineRule="auto"/>
        <w:ind w:left="574"/>
        <w:rPr>
          <w:color w:val="auto"/>
        </w:rPr>
      </w:pPr>
      <w:r>
        <w:rPr>
          <w:color w:val="auto"/>
          <w:spacing w:val="-4"/>
        </w:rPr>
        <w:t>（6）发行权</w:t>
      </w:r>
    </w:p>
    <w:p w14:paraId="3FF9028F">
      <w:pPr>
        <w:pStyle w:val="2"/>
        <w:spacing w:before="124" w:line="220" w:lineRule="auto"/>
        <w:ind w:left="584"/>
        <w:rPr>
          <w:color w:val="auto"/>
        </w:rPr>
      </w:pPr>
      <w:r>
        <w:rPr>
          <w:color w:val="auto"/>
          <w:spacing w:val="-2"/>
        </w:rPr>
        <w:t>即以出售或者赠与方式向公众提供作品</w:t>
      </w:r>
      <w:r>
        <w:rPr>
          <w:color w:val="auto"/>
          <w:spacing w:val="-6"/>
        </w:rPr>
        <w:t>的原件或者复制件</w:t>
      </w:r>
      <w:r>
        <w:rPr>
          <w:color w:val="auto"/>
          <w:spacing w:val="-2"/>
        </w:rPr>
        <w:t>的权利</w:t>
      </w:r>
      <w:r>
        <w:rPr>
          <w:color w:val="auto"/>
          <w:spacing w:val="7"/>
        </w:rPr>
        <w:t>；（</w:t>
      </w:r>
      <w:r>
        <w:rPr>
          <w:color w:val="auto"/>
          <w:spacing w:val="-2"/>
        </w:rPr>
        <w:t>有偿发行</w:t>
      </w:r>
      <w:r>
        <w:rPr>
          <w:color w:val="auto"/>
          <w:spacing w:val="-35"/>
        </w:rPr>
        <w:t xml:space="preserve"> </w:t>
      </w:r>
      <w:r>
        <w:rPr>
          <w:color w:val="auto"/>
          <w:spacing w:val="-2"/>
        </w:rPr>
        <w:t>CD</w:t>
      </w:r>
      <w:r>
        <w:rPr>
          <w:color w:val="auto"/>
          <w:spacing w:val="-41"/>
        </w:rPr>
        <w:t xml:space="preserve"> </w:t>
      </w:r>
      <w:r>
        <w:rPr>
          <w:color w:val="auto"/>
          <w:spacing w:val="-2"/>
        </w:rPr>
        <w:t>或图书）。</w:t>
      </w:r>
    </w:p>
    <w:p w14:paraId="2E62BE92">
      <w:pPr>
        <w:pStyle w:val="2"/>
        <w:spacing w:before="126" w:line="220" w:lineRule="auto"/>
        <w:ind w:left="574"/>
        <w:rPr>
          <w:color w:val="auto"/>
        </w:rPr>
      </w:pPr>
      <w:r>
        <w:rPr>
          <w:color w:val="auto"/>
          <w:spacing w:val="-4"/>
        </w:rPr>
        <w:t>（7）出租权</w:t>
      </w:r>
    </w:p>
    <w:p w14:paraId="612281FE">
      <w:pPr>
        <w:pStyle w:val="2"/>
        <w:spacing w:before="124" w:line="374" w:lineRule="exact"/>
        <w:ind w:left="584"/>
        <w:rPr>
          <w:color w:val="auto"/>
        </w:rPr>
      </w:pPr>
      <w:r>
        <w:rPr>
          <w:color w:val="auto"/>
          <w:spacing w:val="-5"/>
          <w:position w:val="12"/>
        </w:rPr>
        <w:t>即有偿许可他人临时使用视听作品、计算机软件的原件或者复制件的权利， 计算机软件不是</w:t>
      </w:r>
      <w:r>
        <w:rPr>
          <w:color w:val="auto"/>
          <w:spacing w:val="-6"/>
          <w:position w:val="12"/>
        </w:rPr>
        <w:t>出租的</w:t>
      </w:r>
    </w:p>
    <w:p w14:paraId="6DAF3C61">
      <w:pPr>
        <w:pStyle w:val="2"/>
        <w:spacing w:line="220" w:lineRule="auto"/>
        <w:ind w:left="150"/>
        <w:rPr>
          <w:color w:val="auto"/>
        </w:rPr>
      </w:pPr>
      <w:r>
        <w:rPr>
          <w:color w:val="auto"/>
          <w:spacing w:val="-5"/>
        </w:rPr>
        <w:t>主要标的的除外。</w:t>
      </w:r>
    </w:p>
    <w:p w14:paraId="528D4EC0">
      <w:pPr>
        <w:pStyle w:val="2"/>
        <w:spacing w:before="125" w:line="220" w:lineRule="auto"/>
        <w:ind w:left="573"/>
        <w:rPr>
          <w:color w:val="auto"/>
        </w:rPr>
      </w:pPr>
      <w:r>
        <w:rPr>
          <w:color w:val="auto"/>
          <w:spacing w:val="-8"/>
        </w:rPr>
        <w:t>思考：出租图书算侵犯出租权吗？</w:t>
      </w:r>
    </w:p>
    <w:p w14:paraId="5716A468">
      <w:pPr>
        <w:pStyle w:val="2"/>
        <w:spacing w:before="125" w:line="220" w:lineRule="auto"/>
        <w:ind w:left="574"/>
        <w:rPr>
          <w:color w:val="auto"/>
        </w:rPr>
      </w:pPr>
      <w:r>
        <w:rPr>
          <w:color w:val="auto"/>
          <w:spacing w:val="-4"/>
        </w:rPr>
        <w:t>（8）展览权</w:t>
      </w:r>
    </w:p>
    <w:p w14:paraId="3AA6B114">
      <w:pPr>
        <w:pStyle w:val="2"/>
        <w:spacing w:before="124" w:line="220" w:lineRule="auto"/>
        <w:ind w:left="584"/>
        <w:rPr>
          <w:color w:val="auto"/>
        </w:rPr>
      </w:pPr>
      <w:r>
        <w:rPr>
          <w:color w:val="auto"/>
          <w:spacing w:val="-2"/>
        </w:rPr>
        <w:t>即公开陈</w:t>
      </w:r>
      <w:r>
        <w:rPr>
          <w:color w:val="auto"/>
          <w:spacing w:val="-6"/>
        </w:rPr>
        <w:t>列美术作品、摄影作品的</w:t>
      </w:r>
      <w:r>
        <w:rPr>
          <w:color w:val="auto"/>
          <w:spacing w:val="-2"/>
        </w:rPr>
        <w:t>原件或者复制件的权利。</w:t>
      </w:r>
    </w:p>
    <w:p w14:paraId="6E16BDFF">
      <w:pPr>
        <w:pStyle w:val="2"/>
        <w:spacing w:before="125" w:line="220" w:lineRule="auto"/>
        <w:ind w:left="575"/>
        <w:rPr>
          <w:color w:val="auto"/>
        </w:rPr>
      </w:pPr>
      <w:r>
        <w:rPr>
          <w:color w:val="auto"/>
          <w:spacing w:val="-4"/>
        </w:rPr>
        <w:t>（9）表演权</w:t>
      </w:r>
    </w:p>
    <w:p w14:paraId="14D052A5">
      <w:pPr>
        <w:pStyle w:val="2"/>
        <w:spacing w:before="125" w:line="220" w:lineRule="auto"/>
        <w:ind w:left="584"/>
        <w:rPr>
          <w:color w:val="auto"/>
        </w:rPr>
      </w:pPr>
      <w:r>
        <w:rPr>
          <w:color w:val="auto"/>
          <w:spacing w:val="-2"/>
        </w:rPr>
        <w:t>即公开表演作品，以及用各种手段公开播送作品的表演的权利。</w:t>
      </w:r>
    </w:p>
    <w:p w14:paraId="598522F6">
      <w:pPr>
        <w:pStyle w:val="2"/>
        <w:spacing w:before="243" w:line="374" w:lineRule="exact"/>
        <w:ind w:left="584"/>
        <w:rPr>
          <w:color w:val="auto"/>
          <w:spacing w:val="-3"/>
        </w:rPr>
      </w:pPr>
      <w:r>
        <w:rPr>
          <w:color w:val="auto"/>
          <w:spacing w:val="-3"/>
        </w:rPr>
        <w:t>（10）放映权</w:t>
      </w:r>
    </w:p>
    <w:p w14:paraId="10F60301">
      <w:pPr>
        <w:pStyle w:val="2"/>
        <w:spacing w:before="243" w:line="374" w:lineRule="exact"/>
        <w:ind w:left="584"/>
        <w:rPr>
          <w:color w:val="auto"/>
        </w:rPr>
      </w:pPr>
      <w:r>
        <w:rPr>
          <w:color w:val="auto"/>
          <w:spacing w:val="-2"/>
          <w:position w:val="12"/>
        </w:rPr>
        <w:t>即通过放映机、幻灯机等技术设备公开再现美术、摄影、视听作品等的权利。</w:t>
      </w:r>
    </w:p>
    <w:p w14:paraId="05D1ABF3">
      <w:pPr>
        <w:pStyle w:val="2"/>
        <w:spacing w:line="220" w:lineRule="auto"/>
        <w:ind w:left="574"/>
        <w:rPr>
          <w:color w:val="auto"/>
        </w:rPr>
      </w:pPr>
      <w:r>
        <w:rPr>
          <w:color w:val="auto"/>
          <w:spacing w:val="-3"/>
        </w:rPr>
        <w:t>（11）广播权</w:t>
      </w:r>
    </w:p>
    <w:p w14:paraId="74113E7C">
      <w:pPr>
        <w:pStyle w:val="2"/>
        <w:spacing w:before="123" w:line="376" w:lineRule="exact"/>
        <w:ind w:left="584"/>
        <w:rPr>
          <w:color w:val="auto"/>
        </w:rPr>
      </w:pPr>
      <w:r>
        <w:rPr>
          <w:color w:val="auto"/>
          <w:spacing w:val="-6"/>
          <w:position w:val="12"/>
        </w:rPr>
        <w:t>即以有线或者无线方式公开传播或者转播作品，</w:t>
      </w:r>
      <w:r>
        <w:rPr>
          <w:color w:val="auto"/>
          <w:spacing w:val="46"/>
          <w:position w:val="12"/>
        </w:rPr>
        <w:t xml:space="preserve"> </w:t>
      </w:r>
      <w:r>
        <w:rPr>
          <w:color w:val="auto"/>
          <w:spacing w:val="-6"/>
          <w:position w:val="12"/>
        </w:rPr>
        <w:t>以及通过扩音器或者其</w:t>
      </w:r>
      <w:r>
        <w:rPr>
          <w:color w:val="auto"/>
          <w:spacing w:val="-7"/>
          <w:position w:val="12"/>
        </w:rPr>
        <w:t>他传送符号、声音、图像的</w:t>
      </w:r>
    </w:p>
    <w:p w14:paraId="4473B1A9">
      <w:pPr>
        <w:pStyle w:val="2"/>
        <w:spacing w:line="219" w:lineRule="auto"/>
        <w:ind w:left="149"/>
        <w:rPr>
          <w:color w:val="auto"/>
        </w:rPr>
      </w:pPr>
      <w:r>
        <w:rPr>
          <w:color w:val="auto"/>
          <w:spacing w:val="-1"/>
        </w:rPr>
        <w:t>类似工具向公众传播广播的作品的权利，但不包括本款第十二项规定</w:t>
      </w:r>
      <w:r>
        <w:rPr>
          <w:color w:val="auto"/>
          <w:spacing w:val="-2"/>
        </w:rPr>
        <w:t>的权利。</w:t>
      </w:r>
    </w:p>
    <w:p w14:paraId="2EA77D45">
      <w:pPr>
        <w:pStyle w:val="2"/>
        <w:spacing w:before="124" w:line="376" w:lineRule="exact"/>
        <w:ind w:left="574"/>
        <w:rPr>
          <w:color w:val="auto"/>
        </w:rPr>
      </w:pPr>
      <w:r>
        <w:rPr>
          <w:color w:val="auto"/>
          <w:spacing w:val="-3"/>
          <w:position w:val="12"/>
        </w:rPr>
        <w:t>（文字作品也可以通过广播传播）。</w:t>
      </w:r>
    </w:p>
    <w:p w14:paraId="453FE887">
      <w:pPr>
        <w:pStyle w:val="2"/>
        <w:spacing w:before="1" w:line="219" w:lineRule="auto"/>
        <w:ind w:left="574"/>
        <w:rPr>
          <w:color w:val="auto"/>
        </w:rPr>
      </w:pPr>
      <w:r>
        <w:rPr>
          <w:color w:val="auto"/>
          <w:spacing w:val="-2"/>
        </w:rPr>
        <w:t>（12）信息网络传播权</w:t>
      </w:r>
    </w:p>
    <w:p w14:paraId="1A53C936">
      <w:pPr>
        <w:pStyle w:val="2"/>
        <w:spacing w:before="124" w:line="376" w:lineRule="exact"/>
        <w:ind w:left="584"/>
        <w:rPr>
          <w:color w:val="auto"/>
        </w:rPr>
      </w:pPr>
      <w:r>
        <w:rPr>
          <w:color w:val="auto"/>
          <w:spacing w:val="-1"/>
          <w:position w:val="12"/>
        </w:rPr>
        <w:t>即以有线或者无线方式向公众提供作品，使公众可以在其个人选定的时间</w:t>
      </w:r>
      <w:r>
        <w:rPr>
          <w:color w:val="auto"/>
          <w:spacing w:val="-2"/>
          <w:position w:val="12"/>
        </w:rPr>
        <w:t>和地点获得作品的权利。</w:t>
      </w:r>
    </w:p>
    <w:p w14:paraId="4ED6EF2D">
      <w:pPr>
        <w:pStyle w:val="2"/>
        <w:spacing w:line="220" w:lineRule="auto"/>
        <w:ind w:left="574"/>
        <w:rPr>
          <w:color w:val="auto"/>
        </w:rPr>
      </w:pPr>
      <w:r>
        <w:rPr>
          <w:color w:val="auto"/>
          <w:spacing w:val="-3"/>
        </w:rPr>
        <w:t>（13）摄制权</w:t>
      </w:r>
    </w:p>
    <w:p w14:paraId="2DA400E7">
      <w:pPr>
        <w:pStyle w:val="2"/>
        <w:spacing w:before="124" w:line="375" w:lineRule="exact"/>
        <w:ind w:left="584"/>
        <w:rPr>
          <w:color w:val="auto"/>
        </w:rPr>
      </w:pPr>
      <w:r>
        <w:rPr>
          <w:color w:val="auto"/>
          <w:spacing w:val="-2"/>
          <w:position w:val="12"/>
        </w:rPr>
        <w:t>即以摄制视听作品的方法将作品固定在载体</w:t>
      </w:r>
      <w:r>
        <w:rPr>
          <w:color w:val="auto"/>
          <w:spacing w:val="-3"/>
          <w:position w:val="12"/>
        </w:rPr>
        <w:t>上的权利。</w:t>
      </w:r>
    </w:p>
    <w:p w14:paraId="448B4744">
      <w:pPr>
        <w:pStyle w:val="2"/>
        <w:spacing w:line="220" w:lineRule="auto"/>
        <w:ind w:left="574"/>
        <w:rPr>
          <w:color w:val="auto"/>
        </w:rPr>
      </w:pPr>
      <w:r>
        <w:rPr>
          <w:color w:val="auto"/>
          <w:spacing w:val="-3"/>
        </w:rPr>
        <w:t>（14）改编权</w:t>
      </w:r>
    </w:p>
    <w:p w14:paraId="480E8540">
      <w:pPr>
        <w:pStyle w:val="2"/>
        <w:spacing w:before="125" w:line="375" w:lineRule="exact"/>
        <w:ind w:left="584"/>
        <w:rPr>
          <w:color w:val="auto"/>
        </w:rPr>
      </w:pPr>
      <w:r>
        <w:rPr>
          <w:color w:val="auto"/>
          <w:spacing w:val="-4"/>
          <w:position w:val="12"/>
        </w:rPr>
        <w:t>即改变作品，创作出具有独创性的新作品的权利；</w:t>
      </w:r>
    </w:p>
    <w:p w14:paraId="2B7B496C">
      <w:pPr>
        <w:pStyle w:val="2"/>
        <w:spacing w:line="220" w:lineRule="auto"/>
        <w:ind w:left="570"/>
        <w:rPr>
          <w:color w:val="auto"/>
        </w:rPr>
      </w:pPr>
      <w:r>
        <w:rPr>
          <w:color w:val="auto"/>
          <w:spacing w:val="-1"/>
        </w:rPr>
        <w:t>作者</w:t>
      </w:r>
      <w:r>
        <w:rPr>
          <w:color w:val="auto"/>
          <w:spacing w:val="-2"/>
        </w:rPr>
        <w:t>－－－</w:t>
      </w:r>
      <w:r>
        <w:rPr>
          <w:color w:val="auto"/>
          <w:spacing w:val="-1"/>
        </w:rPr>
        <w:t>改编</w:t>
      </w:r>
      <w:r>
        <w:rPr>
          <w:color w:val="auto"/>
          <w:spacing w:val="-2"/>
        </w:rPr>
        <w:t>－－－</w:t>
      </w:r>
      <w:r>
        <w:rPr>
          <w:color w:val="auto"/>
          <w:spacing w:val="-1"/>
        </w:rPr>
        <w:t>摄制（一系列产业链）。</w:t>
      </w:r>
    </w:p>
    <w:p w14:paraId="728C50D0">
      <w:pPr>
        <w:pStyle w:val="2"/>
        <w:spacing w:before="125" w:line="220" w:lineRule="auto"/>
        <w:ind w:left="574"/>
        <w:rPr>
          <w:color w:val="auto"/>
        </w:rPr>
      </w:pPr>
      <w:r>
        <w:rPr>
          <w:color w:val="auto"/>
          <w:spacing w:val="-3"/>
        </w:rPr>
        <w:t>（15）翻译权</w:t>
      </w:r>
    </w:p>
    <w:p w14:paraId="51572ADE">
      <w:pPr>
        <w:pStyle w:val="2"/>
        <w:spacing w:before="124" w:line="375" w:lineRule="exact"/>
        <w:ind w:left="584"/>
        <w:rPr>
          <w:color w:val="auto"/>
        </w:rPr>
      </w:pPr>
      <w:r>
        <w:rPr>
          <w:color w:val="auto"/>
          <w:spacing w:val="-2"/>
          <w:position w:val="12"/>
        </w:rPr>
        <w:t>即将作品从一种语言文字转换成另一种语言文字的权</w:t>
      </w:r>
      <w:r>
        <w:rPr>
          <w:color w:val="auto"/>
          <w:spacing w:val="-3"/>
          <w:position w:val="12"/>
        </w:rPr>
        <w:t>利。</w:t>
      </w:r>
    </w:p>
    <w:p w14:paraId="65A9324A">
      <w:pPr>
        <w:pStyle w:val="2"/>
        <w:spacing w:line="220" w:lineRule="auto"/>
        <w:ind w:left="574"/>
        <w:rPr>
          <w:color w:val="auto"/>
        </w:rPr>
      </w:pPr>
      <w:r>
        <w:rPr>
          <w:color w:val="auto"/>
          <w:spacing w:val="-3"/>
        </w:rPr>
        <w:t>（16）汇编权</w:t>
      </w:r>
    </w:p>
    <w:p w14:paraId="53B0307B">
      <w:pPr>
        <w:pStyle w:val="2"/>
        <w:spacing w:before="125" w:line="374" w:lineRule="exact"/>
        <w:ind w:left="584"/>
        <w:rPr>
          <w:color w:val="auto"/>
        </w:rPr>
      </w:pPr>
      <w:r>
        <w:rPr>
          <w:color w:val="auto"/>
          <w:spacing w:val="-1"/>
          <w:position w:val="12"/>
        </w:rPr>
        <w:t>即将作品或者作品的片段通过选择或者编排，汇</w:t>
      </w:r>
      <w:r>
        <w:rPr>
          <w:color w:val="auto"/>
          <w:spacing w:val="-2"/>
          <w:position w:val="12"/>
        </w:rPr>
        <w:t>集成新作品的权利</w:t>
      </w:r>
      <w:r>
        <w:rPr>
          <w:color w:val="auto"/>
          <w:spacing w:val="-1"/>
          <w:position w:val="12"/>
        </w:rPr>
        <w:t>；（</w:t>
      </w:r>
      <w:r>
        <w:rPr>
          <w:color w:val="auto"/>
          <w:spacing w:val="-2"/>
          <w:position w:val="12"/>
        </w:rPr>
        <w:t>唐诗三百首）。</w:t>
      </w:r>
    </w:p>
    <w:p w14:paraId="6444B700">
      <w:pPr>
        <w:pStyle w:val="2"/>
        <w:spacing w:before="1" w:line="220" w:lineRule="auto"/>
        <w:ind w:left="574"/>
        <w:rPr>
          <w:color w:val="auto"/>
        </w:rPr>
      </w:pPr>
      <w:r>
        <w:rPr>
          <w:color w:val="auto"/>
          <w:spacing w:val="-3"/>
        </w:rPr>
        <w:t>（17）应当由著作权人享有的其他权利。</w:t>
      </w:r>
    </w:p>
    <w:p w14:paraId="3F614E58">
      <w:pPr>
        <w:pStyle w:val="2"/>
        <w:spacing w:before="125" w:line="374" w:lineRule="exact"/>
        <w:ind w:left="535"/>
        <w:rPr>
          <w:color w:val="auto"/>
        </w:rPr>
      </w:pPr>
      <w:r>
        <w:rPr>
          <w:color w:val="auto"/>
          <w:spacing w:val="-8"/>
          <w:position w:val="12"/>
        </w:rPr>
        <w:t>【提示】从价值评估角度，</w:t>
      </w:r>
      <w:r>
        <w:rPr>
          <w:color w:val="auto"/>
          <w:spacing w:val="31"/>
          <w:position w:val="12"/>
        </w:rPr>
        <w:t xml:space="preserve"> </w:t>
      </w:r>
      <w:r>
        <w:rPr>
          <w:color w:val="auto"/>
          <w:spacing w:val="-8"/>
          <w:position w:val="12"/>
        </w:rPr>
        <w:t>按照与传播相关还是与使用方式相关，</w:t>
      </w:r>
      <w:r>
        <w:rPr>
          <w:color w:val="auto"/>
          <w:spacing w:val="31"/>
          <w:position w:val="12"/>
        </w:rPr>
        <w:t xml:space="preserve"> </w:t>
      </w:r>
      <w:r>
        <w:rPr>
          <w:color w:val="auto"/>
          <w:spacing w:val="-8"/>
          <w:position w:val="12"/>
        </w:rPr>
        <w:t>可以对著作权资产</w:t>
      </w:r>
      <w:r>
        <w:rPr>
          <w:color w:val="auto"/>
          <w:spacing w:val="-9"/>
          <w:position w:val="12"/>
        </w:rPr>
        <w:t>财产权进行分</w:t>
      </w:r>
    </w:p>
    <w:p w14:paraId="59669B12">
      <w:pPr>
        <w:pStyle w:val="2"/>
        <w:spacing w:before="1" w:line="220" w:lineRule="auto"/>
        <w:ind w:left="149"/>
        <w:rPr>
          <w:color w:val="auto"/>
        </w:rPr>
      </w:pPr>
      <w:r>
        <w:rPr>
          <w:color w:val="auto"/>
          <w:spacing w:val="-15"/>
        </w:rPr>
        <w:t>类：</w:t>
      </w:r>
    </w:p>
    <w:p w14:paraId="03D9BC21">
      <w:pPr>
        <w:pStyle w:val="2"/>
        <w:spacing w:before="125" w:line="329" w:lineRule="auto"/>
        <w:ind w:left="568"/>
        <w:rPr>
          <w:color w:val="auto"/>
          <w:spacing w:val="-6"/>
        </w:rPr>
      </w:pPr>
      <w:r>
        <w:rPr>
          <w:color w:val="auto"/>
          <w:spacing w:val="-1"/>
        </w:rPr>
        <w:t>（1）发行权、出租权、展览权、表演权、放映权、广播权、信息网络传</w:t>
      </w:r>
      <w:r>
        <w:rPr>
          <w:color w:val="auto"/>
          <w:spacing w:val="-6"/>
        </w:rPr>
        <w:t>播权 7 类权利均涉及作品</w:t>
      </w:r>
    </w:p>
    <w:p w14:paraId="3A933FEF">
      <w:pPr>
        <w:pStyle w:val="2"/>
        <w:spacing w:before="125" w:line="329" w:lineRule="auto"/>
        <w:ind w:left="568"/>
        <w:rPr>
          <w:color w:val="auto"/>
          <w:spacing w:val="-6"/>
        </w:rPr>
      </w:pPr>
      <w:r>
        <w:rPr>
          <w:color w:val="auto"/>
          <w:spacing w:val="-6"/>
        </w:rPr>
        <w:t>的传播方式， 而作品的传播也是著作权价值得以实现的手段和途径， 我们称其为“作品传播相关权利”。</w:t>
      </w:r>
    </w:p>
    <w:p w14:paraId="40C05739">
      <w:pPr>
        <w:pStyle w:val="2"/>
        <w:spacing w:before="125" w:line="329" w:lineRule="auto"/>
        <w:ind w:left="568"/>
        <w:rPr>
          <w:color w:val="auto"/>
        </w:rPr>
      </w:pPr>
      <w:r>
        <w:rPr>
          <w:color w:val="auto"/>
          <w:spacing w:val="-6"/>
        </w:rPr>
        <w:t>（2）复制权、摄制权、改编权、翻译权、汇编权 5 类权利，主要涉及作品表</w:t>
      </w:r>
      <w:r>
        <w:rPr>
          <w:color w:val="auto"/>
          <w:spacing w:val="-4"/>
        </w:rPr>
        <w:t>现和使用形式的变化，</w:t>
      </w:r>
      <w:r>
        <w:rPr>
          <w:color w:val="auto"/>
        </w:rPr>
        <w:t xml:space="preserve"> </w:t>
      </w:r>
      <w:r>
        <w:rPr>
          <w:color w:val="auto"/>
          <w:spacing w:val="-5"/>
        </w:rPr>
        <w:t>我们称其为“作品使用方式相关权利”，行使这些权利的目</w:t>
      </w:r>
      <w:r>
        <w:rPr>
          <w:color w:val="auto"/>
          <w:spacing w:val="-6"/>
        </w:rPr>
        <w:t>的也是为进行传播，</w:t>
      </w:r>
      <w:r>
        <w:rPr>
          <w:color w:val="auto"/>
          <w:spacing w:val="34"/>
        </w:rPr>
        <w:t xml:space="preserve"> </w:t>
      </w:r>
      <w:r>
        <w:rPr>
          <w:color w:val="auto"/>
          <w:spacing w:val="-6"/>
        </w:rPr>
        <w:t>并需要通过上述各种传</w:t>
      </w:r>
    </w:p>
    <w:p w14:paraId="6FB8100C">
      <w:pPr>
        <w:pStyle w:val="2"/>
        <w:spacing w:line="218" w:lineRule="auto"/>
        <w:ind w:left="150"/>
        <w:rPr>
          <w:color w:val="auto"/>
        </w:rPr>
      </w:pPr>
      <w:r>
        <w:rPr>
          <w:color w:val="auto"/>
          <w:spacing w:val="-3"/>
        </w:rPr>
        <w:t>播相关权利来实现著作权价值。</w:t>
      </w:r>
    </w:p>
    <w:p w14:paraId="1782C549">
      <w:pPr>
        <w:pStyle w:val="2"/>
        <w:spacing w:before="117" w:line="222" w:lineRule="auto"/>
        <w:ind w:left="600"/>
        <w:rPr>
          <w:color w:val="auto"/>
          <w:sz w:val="23"/>
          <w:szCs w:val="23"/>
        </w:rPr>
      </w:pPr>
      <w:r>
        <w:rPr>
          <w:rFonts w:ascii="黑体" w:hAnsi="黑体" w:eastAsia="黑体" w:cs="黑体"/>
          <w:color w:val="auto"/>
          <w:spacing w:val="-3"/>
          <w:sz w:val="23"/>
          <w:szCs w:val="23"/>
        </w:rPr>
        <w:t>【单项题】</w:t>
      </w:r>
      <w:r>
        <w:rPr>
          <w:color w:val="auto"/>
          <w:spacing w:val="-3"/>
          <w:sz w:val="23"/>
          <w:szCs w:val="23"/>
        </w:rPr>
        <w:t>著作权财产使用权中不属于作</w:t>
      </w:r>
      <w:r>
        <w:rPr>
          <w:color w:val="auto"/>
          <w:spacing w:val="-4"/>
          <w:sz w:val="23"/>
          <w:szCs w:val="23"/>
        </w:rPr>
        <w:t>品使用方式相关的权利是</w:t>
      </w:r>
      <w:r>
        <w:rPr>
          <w:color w:val="auto"/>
          <w:spacing w:val="-34"/>
          <w:sz w:val="23"/>
          <w:szCs w:val="23"/>
        </w:rPr>
        <w:t>（</w:t>
      </w:r>
      <w:r>
        <w:rPr>
          <w:color w:val="auto"/>
          <w:spacing w:val="34"/>
          <w:sz w:val="23"/>
          <w:szCs w:val="23"/>
        </w:rPr>
        <w:t xml:space="preserve">  </w:t>
      </w:r>
      <w:r>
        <w:rPr>
          <w:color w:val="auto"/>
          <w:spacing w:val="-34"/>
          <w:sz w:val="23"/>
          <w:szCs w:val="23"/>
        </w:rPr>
        <w:t>）</w:t>
      </w:r>
      <w:r>
        <w:rPr>
          <w:color w:val="auto"/>
          <w:spacing w:val="-4"/>
          <w:sz w:val="23"/>
          <w:szCs w:val="23"/>
        </w:rPr>
        <w:t>。</w:t>
      </w:r>
    </w:p>
    <w:p w14:paraId="293C8385">
      <w:pPr>
        <w:pStyle w:val="2"/>
        <w:spacing w:before="98" w:line="374" w:lineRule="exact"/>
        <w:ind w:left="603"/>
        <w:rPr>
          <w:color w:val="auto"/>
          <w:sz w:val="23"/>
          <w:szCs w:val="23"/>
        </w:rPr>
      </w:pPr>
      <w:r>
        <w:rPr>
          <w:color w:val="auto"/>
          <w:position w:val="10"/>
          <w:sz w:val="23"/>
          <w:szCs w:val="23"/>
        </w:rPr>
        <w:t>A.复制权</w:t>
      </w:r>
    </w:p>
    <w:p w14:paraId="3C22B6A1">
      <w:pPr>
        <w:pStyle w:val="2"/>
        <w:spacing w:before="1" w:line="220" w:lineRule="auto"/>
        <w:ind w:left="605"/>
        <w:rPr>
          <w:color w:val="auto"/>
          <w:sz w:val="23"/>
          <w:szCs w:val="23"/>
        </w:rPr>
      </w:pPr>
      <w:r>
        <w:rPr>
          <w:color w:val="auto"/>
          <w:spacing w:val="-1"/>
          <w:sz w:val="23"/>
          <w:szCs w:val="23"/>
        </w:rPr>
        <w:t>B.翻译权</w:t>
      </w:r>
    </w:p>
    <w:p w14:paraId="30D44C20">
      <w:pPr>
        <w:pStyle w:val="2"/>
        <w:spacing w:before="100" w:line="221" w:lineRule="auto"/>
        <w:ind w:left="609"/>
        <w:rPr>
          <w:color w:val="auto"/>
          <w:sz w:val="23"/>
          <w:szCs w:val="23"/>
        </w:rPr>
      </w:pPr>
      <w:r>
        <w:rPr>
          <w:color w:val="auto"/>
          <w:spacing w:val="-2"/>
          <w:sz w:val="23"/>
          <w:szCs w:val="23"/>
        </w:rPr>
        <w:t>C.摄制权</w:t>
      </w:r>
    </w:p>
    <w:p w14:paraId="7EF5F5A6">
      <w:pPr>
        <w:pStyle w:val="2"/>
        <w:spacing w:before="99" w:line="221" w:lineRule="auto"/>
        <w:ind w:left="606"/>
        <w:rPr>
          <w:color w:val="auto"/>
          <w:sz w:val="23"/>
          <w:szCs w:val="23"/>
        </w:rPr>
      </w:pPr>
      <w:r>
        <w:rPr>
          <w:color w:val="auto"/>
          <w:spacing w:val="-1"/>
          <w:sz w:val="23"/>
          <w:szCs w:val="23"/>
        </w:rPr>
        <w:t>D.放映权</w:t>
      </w:r>
    </w:p>
    <w:p w14:paraId="0D312BA3">
      <w:pPr>
        <w:pStyle w:val="2"/>
        <w:spacing w:before="101" w:line="221" w:lineRule="auto"/>
        <w:ind w:left="626"/>
        <w:rPr>
          <w:color w:val="auto"/>
          <w:sz w:val="23"/>
          <w:szCs w:val="23"/>
        </w:rPr>
      </w:pPr>
      <w:r>
        <w:rPr>
          <w:color w:val="auto"/>
          <w:spacing w:val="-17"/>
          <w:sz w:val="23"/>
          <w:szCs w:val="23"/>
        </w:rPr>
        <w:t>『正确答案』 D</w:t>
      </w:r>
    </w:p>
    <w:p w14:paraId="77296951">
      <w:pPr>
        <w:pStyle w:val="2"/>
        <w:spacing w:before="99" w:line="260" w:lineRule="auto"/>
        <w:ind w:left="149" w:right="313" w:firstLine="465"/>
        <w:rPr>
          <w:color w:val="auto"/>
          <w:sz w:val="23"/>
          <w:szCs w:val="23"/>
        </w:rPr>
      </w:pPr>
      <w:r>
        <w:rPr>
          <w:color w:val="auto"/>
          <w:spacing w:val="-3"/>
          <w:sz w:val="23"/>
          <w:szCs w:val="23"/>
        </w:rPr>
        <w:t>『答案解析』著作权财产权中，与作品使用方式相关的权利包括：复制权、摄制权、改编</w:t>
      </w:r>
      <w:r>
        <w:rPr>
          <w:color w:val="auto"/>
          <w:spacing w:val="10"/>
          <w:sz w:val="23"/>
          <w:szCs w:val="23"/>
        </w:rPr>
        <w:t xml:space="preserve"> </w:t>
      </w:r>
      <w:r>
        <w:rPr>
          <w:color w:val="auto"/>
          <w:spacing w:val="-2"/>
          <w:sz w:val="23"/>
          <w:szCs w:val="23"/>
        </w:rPr>
        <w:t>权、翻译权和汇编权。放映权属于作品传播相关权利。</w:t>
      </w:r>
    </w:p>
    <w:p w14:paraId="3A26A1CB">
      <w:pPr>
        <w:pStyle w:val="2"/>
        <w:spacing w:before="113" w:line="220" w:lineRule="auto"/>
        <w:ind w:left="573"/>
        <w:rPr>
          <w:color w:val="auto"/>
        </w:rPr>
      </w:pPr>
      <w:r>
        <w:rPr>
          <w:color w:val="auto"/>
          <w:spacing w:val="-2"/>
        </w:rPr>
        <w:t>3.著作权相关联作品</w:t>
      </w:r>
    </w:p>
    <w:p w14:paraId="66524CA7">
      <w:pPr>
        <w:pStyle w:val="2"/>
        <w:spacing w:before="123" w:line="376" w:lineRule="exact"/>
        <w:ind w:left="572"/>
        <w:rPr>
          <w:color w:val="auto"/>
        </w:rPr>
      </w:pPr>
      <w:r>
        <w:rPr>
          <w:color w:val="auto"/>
          <w:spacing w:val="-2"/>
          <w:position w:val="12"/>
        </w:rPr>
        <w:t>著作权的客体为作品。作品是指文学、艺术和科学</w:t>
      </w:r>
      <w:r>
        <w:rPr>
          <w:color w:val="auto"/>
          <w:spacing w:val="-3"/>
          <w:position w:val="12"/>
        </w:rPr>
        <w:t>领域内具有独创性并能以一定形式表现的智力成</w:t>
      </w:r>
    </w:p>
    <w:p w14:paraId="6CF0D6C6">
      <w:pPr>
        <w:pStyle w:val="2"/>
        <w:spacing w:before="1" w:line="220" w:lineRule="auto"/>
        <w:ind w:left="153"/>
        <w:rPr>
          <w:color w:val="auto"/>
        </w:rPr>
      </w:pPr>
      <w:r>
        <w:rPr>
          <w:color w:val="auto"/>
          <w:spacing w:val="-11"/>
        </w:rPr>
        <w:t>果。</w:t>
      </w:r>
    </w:p>
    <w:p w14:paraId="32A4D17D">
      <w:pPr>
        <w:pStyle w:val="2"/>
        <w:spacing w:before="124" w:line="220" w:lineRule="auto"/>
        <w:ind w:left="570"/>
        <w:rPr>
          <w:color w:val="auto"/>
        </w:rPr>
      </w:pPr>
      <w:r>
        <w:rPr>
          <w:color w:val="auto"/>
          <w:spacing w:val="-10"/>
        </w:rPr>
        <w:t>作品特征：</w:t>
      </w:r>
    </w:p>
    <w:p w14:paraId="17282FFF">
      <w:pPr>
        <w:pStyle w:val="2"/>
        <w:spacing w:before="124" w:line="220" w:lineRule="auto"/>
        <w:ind w:left="574"/>
        <w:rPr>
          <w:color w:val="auto"/>
        </w:rPr>
      </w:pPr>
      <w:r>
        <w:rPr>
          <w:color w:val="auto"/>
          <w:spacing w:val="-2"/>
        </w:rPr>
        <w:t>（1）作品是一</w:t>
      </w:r>
      <w:r>
        <w:rPr>
          <w:color w:val="auto"/>
          <w:spacing w:val="-6"/>
        </w:rPr>
        <w:t>种智力成果</w:t>
      </w:r>
      <w:r>
        <w:rPr>
          <w:color w:val="auto"/>
          <w:spacing w:val="-2"/>
        </w:rPr>
        <w:t>。作品必须是自然人劳动创作的。</w:t>
      </w:r>
    </w:p>
    <w:p w14:paraId="7099553C">
      <w:pPr>
        <w:pStyle w:val="2"/>
        <w:spacing w:before="125" w:line="329" w:lineRule="auto"/>
        <w:ind w:left="546"/>
        <w:rPr>
          <w:color w:val="auto"/>
        </w:rPr>
      </w:pPr>
      <w:r>
        <w:rPr>
          <w:color w:val="auto"/>
          <w:spacing w:val="-7"/>
        </w:rPr>
        <w:t>（2）作品具有</w:t>
      </w:r>
      <w:r>
        <w:rPr>
          <w:color w:val="auto"/>
          <w:spacing w:val="-6"/>
        </w:rPr>
        <w:t>独创性</w:t>
      </w:r>
      <w:r>
        <w:rPr>
          <w:color w:val="auto"/>
          <w:spacing w:val="-7"/>
        </w:rPr>
        <w:t>。独创性是智力创作成果成为作品最重要的构成条件，</w:t>
      </w:r>
      <w:r>
        <w:rPr>
          <w:color w:val="auto"/>
          <w:spacing w:val="28"/>
        </w:rPr>
        <w:t xml:space="preserve"> </w:t>
      </w:r>
      <w:r>
        <w:rPr>
          <w:color w:val="auto"/>
          <w:spacing w:val="-7"/>
        </w:rPr>
        <w:t>是区别“</w:t>
      </w:r>
      <w:r>
        <w:rPr>
          <w:color w:val="auto"/>
          <w:spacing w:val="-8"/>
        </w:rPr>
        <w:t>作品”与“制</w:t>
      </w:r>
    </w:p>
    <w:p w14:paraId="637F6CFD">
      <w:pPr>
        <w:pStyle w:val="2"/>
        <w:spacing w:before="243" w:line="220" w:lineRule="auto"/>
        <w:ind w:left="570"/>
        <w:rPr>
          <w:color w:val="auto"/>
        </w:rPr>
      </w:pPr>
      <w:r>
        <w:rPr>
          <w:color w:val="auto"/>
          <w:spacing w:val="-8"/>
        </w:rPr>
        <w:t>品”的标准。</w:t>
      </w:r>
      <w:r>
        <w:rPr>
          <w:color w:val="auto"/>
          <w:spacing w:val="-2"/>
        </w:rPr>
        <w:t>作品受著作权保护，制品受与著作权有关的权利保护。</w:t>
      </w:r>
    </w:p>
    <w:p w14:paraId="1051F2F9">
      <w:pPr>
        <w:pStyle w:val="2"/>
        <w:spacing w:before="124" w:line="329" w:lineRule="auto"/>
        <w:ind w:left="574"/>
        <w:rPr>
          <w:color w:val="auto"/>
        </w:rPr>
      </w:pPr>
      <w:r>
        <w:rPr>
          <w:color w:val="auto"/>
          <w:spacing w:val="-1"/>
        </w:rPr>
        <w:t>（3）作品具有一</w:t>
      </w:r>
      <w:r>
        <w:rPr>
          <w:color w:val="auto"/>
          <w:spacing w:val="-6"/>
        </w:rPr>
        <w:t>定表现形式。</w:t>
      </w:r>
      <w:r>
        <w:rPr>
          <w:color w:val="auto"/>
          <w:spacing w:val="-1"/>
        </w:rPr>
        <w:t>作品必须能以一定形式表现。通常作品</w:t>
      </w:r>
      <w:r>
        <w:rPr>
          <w:color w:val="auto"/>
          <w:spacing w:val="-2"/>
        </w:rPr>
        <w:t>的表现形式具有可复制性，</w:t>
      </w:r>
    </w:p>
    <w:p w14:paraId="14853D4E">
      <w:pPr>
        <w:pStyle w:val="2"/>
        <w:spacing w:line="219" w:lineRule="auto"/>
        <w:ind w:left="150"/>
        <w:rPr>
          <w:color w:val="auto"/>
        </w:rPr>
      </w:pPr>
      <w:r>
        <w:rPr>
          <w:color w:val="auto"/>
          <w:spacing w:val="-2"/>
        </w:rPr>
        <w:t>可以较低成本实现再现、传播，产生效益，从而需要保护。</w:t>
      </w:r>
    </w:p>
    <w:p w14:paraId="15F5AC08">
      <w:pPr>
        <w:pStyle w:val="2"/>
        <w:spacing w:before="125" w:line="330" w:lineRule="auto"/>
        <w:ind w:left="150" w:right="235" w:firstLine="379"/>
        <w:rPr>
          <w:color w:val="auto"/>
        </w:rPr>
      </w:pPr>
      <w:r>
        <w:rPr>
          <w:color w:val="auto"/>
          <w:spacing w:val="-11"/>
        </w:rPr>
        <w:t>《著作权法》对与著作权相关联作品的形式进行了界定， 通常包括以下几种：</w:t>
      </w:r>
      <w:r>
        <w:rPr>
          <w:color w:val="auto"/>
          <w:spacing w:val="-12"/>
        </w:rPr>
        <w:t xml:space="preserve"> 文字作品， 口述作品，</w:t>
      </w:r>
      <w:r>
        <w:rPr>
          <w:color w:val="auto"/>
        </w:rPr>
        <w:t xml:space="preserve"> </w:t>
      </w:r>
      <w:r>
        <w:rPr>
          <w:color w:val="auto"/>
          <w:spacing w:val="-12"/>
        </w:rPr>
        <w:t>音乐、戏剧、曲艺、舞蹈、杂技艺术作品，</w:t>
      </w:r>
      <w:r>
        <w:rPr>
          <w:color w:val="auto"/>
          <w:spacing w:val="46"/>
        </w:rPr>
        <w:t xml:space="preserve"> </w:t>
      </w:r>
      <w:r>
        <w:rPr>
          <w:color w:val="auto"/>
          <w:spacing w:val="-12"/>
        </w:rPr>
        <w:t>美术、建筑作品，</w:t>
      </w:r>
      <w:r>
        <w:rPr>
          <w:color w:val="auto"/>
          <w:spacing w:val="44"/>
        </w:rPr>
        <w:t xml:space="preserve"> </w:t>
      </w:r>
      <w:r>
        <w:rPr>
          <w:color w:val="auto"/>
          <w:spacing w:val="-12"/>
        </w:rPr>
        <w:t>摄</w:t>
      </w:r>
      <w:r>
        <w:rPr>
          <w:color w:val="auto"/>
          <w:spacing w:val="-13"/>
        </w:rPr>
        <w:t>影作品、视听作品，</w:t>
      </w:r>
      <w:r>
        <w:rPr>
          <w:color w:val="auto"/>
          <w:spacing w:val="46"/>
        </w:rPr>
        <w:t xml:space="preserve"> </w:t>
      </w:r>
      <w:r>
        <w:rPr>
          <w:color w:val="auto"/>
          <w:spacing w:val="-13"/>
        </w:rPr>
        <w:t>工程设计图、产品</w:t>
      </w:r>
    </w:p>
    <w:p w14:paraId="66D78F08">
      <w:pPr>
        <w:pStyle w:val="2"/>
        <w:spacing w:line="219" w:lineRule="auto"/>
        <w:ind w:left="152"/>
        <w:rPr>
          <w:color w:val="auto"/>
        </w:rPr>
      </w:pPr>
      <w:r>
        <w:rPr>
          <w:color w:val="auto"/>
          <w:spacing w:val="-1"/>
        </w:rPr>
        <w:t>设计图、地图、示意图等图形作品和模型作品，计算机软件，符合作品特征的其他智力成果。</w:t>
      </w:r>
    </w:p>
    <w:p w14:paraId="2A13E819">
      <w:pPr>
        <w:pStyle w:val="2"/>
        <w:spacing w:before="125" w:line="329" w:lineRule="auto"/>
        <w:ind w:left="568"/>
        <w:rPr>
          <w:color w:val="auto"/>
          <w:spacing w:val="-6"/>
        </w:rPr>
      </w:pPr>
      <w:r>
        <w:rPr>
          <w:color w:val="auto"/>
          <w:spacing w:val="-6"/>
        </w:rPr>
        <w:t>政府文件，单纯事实消息，历法、通用数表、通用表格和公式等作品不受著作权法保护。</w:t>
      </w:r>
    </w:p>
    <w:p w14:paraId="5A892518">
      <w:pPr>
        <w:pStyle w:val="2"/>
        <w:spacing w:before="125" w:line="329" w:lineRule="auto"/>
        <w:ind w:left="568"/>
        <w:rPr>
          <w:color w:val="auto"/>
        </w:rPr>
      </w:pPr>
      <w:r>
        <w:rPr>
          <w:color w:val="auto"/>
          <w:spacing w:val="-6"/>
        </w:rPr>
        <w:t>4.与著作权</w:t>
      </w:r>
      <w:r>
        <w:rPr>
          <w:color w:val="auto"/>
          <w:spacing w:val="-1"/>
        </w:rPr>
        <w:t>有关的权利</w:t>
      </w:r>
    </w:p>
    <w:p w14:paraId="6732A236">
      <w:pPr>
        <w:pStyle w:val="2"/>
        <w:spacing w:before="124" w:line="374" w:lineRule="exact"/>
        <w:ind w:left="573"/>
        <w:rPr>
          <w:color w:val="auto"/>
        </w:rPr>
      </w:pPr>
      <w:r>
        <w:rPr>
          <w:color w:val="auto"/>
          <w:spacing w:val="-5"/>
          <w:position w:val="12"/>
        </w:rPr>
        <w:t>也称作品传播者权， 指作品传播者等因其在传播作品过程中所做出的创造性劳动、投资或其他贡献</w:t>
      </w:r>
    </w:p>
    <w:p w14:paraId="2A282096">
      <w:pPr>
        <w:pStyle w:val="2"/>
        <w:spacing w:line="220" w:lineRule="auto"/>
        <w:ind w:left="150"/>
        <w:rPr>
          <w:color w:val="auto"/>
        </w:rPr>
      </w:pPr>
      <w:r>
        <w:rPr>
          <w:color w:val="auto"/>
          <w:spacing w:val="-4"/>
        </w:rPr>
        <w:t>而被法律赋予的权利。</w:t>
      </w:r>
    </w:p>
    <w:p w14:paraId="7C28436C">
      <w:pPr>
        <w:pStyle w:val="2"/>
        <w:spacing w:before="125" w:line="220" w:lineRule="auto"/>
        <w:ind w:left="574"/>
        <w:rPr>
          <w:color w:val="auto"/>
        </w:rPr>
      </w:pPr>
      <w:r>
        <w:rPr>
          <w:color w:val="auto"/>
          <w:spacing w:val="-3"/>
        </w:rPr>
        <w:t>（1）出版者对其出版的图书和期刊的版式设计享有的权利；</w:t>
      </w:r>
    </w:p>
    <w:p w14:paraId="7381D644">
      <w:pPr>
        <w:pStyle w:val="2"/>
        <w:spacing w:before="125" w:line="220" w:lineRule="auto"/>
        <w:ind w:left="574"/>
        <w:rPr>
          <w:color w:val="auto"/>
        </w:rPr>
      </w:pPr>
      <w:r>
        <w:rPr>
          <w:color w:val="auto"/>
          <w:spacing w:val="-4"/>
        </w:rPr>
        <w:t>（2）表演者对其表演享有的权利；</w:t>
      </w:r>
    </w:p>
    <w:p w14:paraId="2BA30613">
      <w:pPr>
        <w:pStyle w:val="2"/>
        <w:spacing w:before="125" w:line="220" w:lineRule="auto"/>
        <w:ind w:left="574"/>
        <w:rPr>
          <w:color w:val="auto"/>
        </w:rPr>
      </w:pPr>
      <w:r>
        <w:rPr>
          <w:color w:val="auto"/>
          <w:spacing w:val="-3"/>
        </w:rPr>
        <w:t>（3）录音录像制作者对其制作的录音录像制品享有的权利；</w:t>
      </w:r>
    </w:p>
    <w:p w14:paraId="56519591">
      <w:pPr>
        <w:pStyle w:val="2"/>
        <w:spacing w:before="125" w:line="220" w:lineRule="auto"/>
        <w:ind w:left="574"/>
        <w:rPr>
          <w:color w:val="auto"/>
        </w:rPr>
      </w:pPr>
      <w:r>
        <w:rPr>
          <w:color w:val="auto"/>
          <w:spacing w:val="-2"/>
        </w:rPr>
        <w:t>（4）广播电台、电视台对其播放的广播、电视节目享有的权利。</w:t>
      </w:r>
    </w:p>
    <w:p w14:paraId="1701C498">
      <w:pPr>
        <w:pStyle w:val="2"/>
        <w:spacing w:before="124" w:line="220" w:lineRule="auto"/>
        <w:ind w:left="573"/>
        <w:rPr>
          <w:color w:val="auto"/>
        </w:rPr>
      </w:pPr>
      <w:r>
        <w:rPr>
          <w:color w:val="auto"/>
          <w:spacing w:val="-1"/>
        </w:rPr>
        <w:t>与著作权有关的权利与著作权密切相关，又是独立于著作权之外的一种权</w:t>
      </w:r>
      <w:r>
        <w:rPr>
          <w:color w:val="auto"/>
          <w:spacing w:val="-2"/>
        </w:rPr>
        <w:t>利。</w:t>
      </w:r>
    </w:p>
    <w:p w14:paraId="63EA950E">
      <w:pPr>
        <w:pStyle w:val="2"/>
        <w:spacing w:before="124" w:line="220" w:lineRule="auto"/>
        <w:ind w:left="573"/>
        <w:rPr>
          <w:color w:val="auto"/>
        </w:rPr>
      </w:pPr>
      <w:r>
        <w:rPr>
          <w:color w:val="auto"/>
          <w:spacing w:val="-2"/>
        </w:rPr>
        <w:t>与著作权有关的权利作为传播者的权利，与著作权相比，有着诸多的区别：</w:t>
      </w:r>
    </w:p>
    <w:p w14:paraId="7ACB4CC4">
      <w:pPr>
        <w:pStyle w:val="2"/>
        <w:spacing w:before="125" w:line="222" w:lineRule="auto"/>
        <w:ind w:left="574"/>
        <w:rPr>
          <w:color w:val="auto"/>
        </w:rPr>
      </w:pPr>
      <w:r>
        <w:rPr>
          <w:color w:val="auto"/>
          <w:spacing w:val="-5"/>
        </w:rPr>
        <w:t>（1）主体不同。</w:t>
      </w:r>
    </w:p>
    <w:p w14:paraId="1A7B1691">
      <w:pPr>
        <w:pStyle w:val="2"/>
        <w:spacing w:before="122" w:line="220" w:lineRule="auto"/>
        <w:ind w:left="572"/>
        <w:rPr>
          <w:color w:val="auto"/>
        </w:rPr>
      </w:pPr>
      <w:r>
        <w:rPr>
          <w:color w:val="auto"/>
        </w:rPr>
        <w:t>著作权主体主要是作品</w:t>
      </w:r>
      <w:r>
        <w:rPr>
          <w:color w:val="auto"/>
          <w:spacing w:val="-6"/>
        </w:rPr>
        <w:t>的创作者，与著作权有关的权利的主体是作品的传播者</w:t>
      </w:r>
    </w:p>
    <w:p w14:paraId="4C99D496">
      <w:pPr>
        <w:pStyle w:val="2"/>
        <w:spacing w:before="125" w:line="220" w:lineRule="auto"/>
        <w:ind w:left="574"/>
        <w:rPr>
          <w:color w:val="auto"/>
        </w:rPr>
      </w:pPr>
      <w:r>
        <w:rPr>
          <w:color w:val="auto"/>
          <w:spacing w:val="-5"/>
        </w:rPr>
        <w:t>（2）权利内容不同。</w:t>
      </w:r>
    </w:p>
    <w:p w14:paraId="7A4B0EB5">
      <w:pPr>
        <w:pStyle w:val="2"/>
        <w:spacing w:before="124" w:line="376" w:lineRule="exact"/>
        <w:ind w:left="572"/>
        <w:rPr>
          <w:color w:val="auto"/>
        </w:rPr>
      </w:pPr>
      <w:r>
        <w:rPr>
          <w:color w:val="auto"/>
          <w:spacing w:val="-7"/>
          <w:position w:val="12"/>
        </w:rPr>
        <w:t>著作权包括人身权和财产权， 与著作权有关的权利除了表演者权中包含的两项人身权以外， 其他的</w:t>
      </w:r>
    </w:p>
    <w:p w14:paraId="659B3818">
      <w:pPr>
        <w:pStyle w:val="2"/>
        <w:spacing w:line="220" w:lineRule="auto"/>
        <w:ind w:left="153"/>
        <w:rPr>
          <w:color w:val="auto"/>
        </w:rPr>
      </w:pPr>
      <w:r>
        <w:rPr>
          <w:color w:val="auto"/>
          <w:spacing w:val="-1"/>
        </w:rPr>
        <w:t>与著作权有关的权利在性质上都</w:t>
      </w:r>
      <w:r>
        <w:rPr>
          <w:color w:val="auto"/>
          <w:spacing w:val="-6"/>
        </w:rPr>
        <w:t>是财产权</w:t>
      </w:r>
      <w:r>
        <w:rPr>
          <w:color w:val="auto"/>
          <w:spacing w:val="-1"/>
        </w:rPr>
        <w:t>。</w:t>
      </w:r>
    </w:p>
    <w:p w14:paraId="7A85FBDB">
      <w:pPr>
        <w:pStyle w:val="2"/>
        <w:spacing w:before="124" w:line="220" w:lineRule="auto"/>
        <w:ind w:left="574"/>
        <w:rPr>
          <w:color w:val="auto"/>
        </w:rPr>
      </w:pPr>
      <w:r>
        <w:rPr>
          <w:color w:val="auto"/>
          <w:spacing w:val="-4"/>
        </w:rPr>
        <w:t>（二）著作权的权属</w:t>
      </w:r>
    </w:p>
    <w:p w14:paraId="20AB26B7">
      <w:pPr>
        <w:pStyle w:val="2"/>
        <w:spacing w:before="125" w:line="220" w:lineRule="auto"/>
        <w:ind w:left="572"/>
        <w:rPr>
          <w:color w:val="auto"/>
        </w:rPr>
      </w:pPr>
      <w:r>
        <w:rPr>
          <w:color w:val="auto"/>
          <w:spacing w:val="-1"/>
        </w:rPr>
        <w:t>一般来说，著作权属于作者，但其他的自然人、法人或者非法人组织也可以依法成为著作权人。</w:t>
      </w:r>
    </w:p>
    <w:p w14:paraId="5EDBEFAD">
      <w:pPr>
        <w:pStyle w:val="2"/>
        <w:spacing w:before="125" w:line="220" w:lineRule="auto"/>
        <w:ind w:left="603"/>
        <w:rPr>
          <w:color w:val="auto"/>
        </w:rPr>
      </w:pPr>
      <w:r>
        <w:rPr>
          <w:color w:val="auto"/>
          <w:spacing w:val="-2"/>
        </w:rPr>
        <w:t>自动保护原则：著作权产</w:t>
      </w:r>
      <w:r>
        <w:rPr>
          <w:color w:val="auto"/>
          <w:spacing w:val="-6"/>
        </w:rPr>
        <w:t>生于创作完成</w:t>
      </w:r>
      <w:r>
        <w:rPr>
          <w:color w:val="auto"/>
          <w:spacing w:val="-2"/>
        </w:rPr>
        <w:t>之时。（与是否发表无关，属于事实行为）</w:t>
      </w:r>
    </w:p>
    <w:p w14:paraId="60C0CE70">
      <w:pPr>
        <w:pStyle w:val="2"/>
        <w:spacing w:before="125" w:line="220" w:lineRule="auto"/>
        <w:ind w:left="584"/>
        <w:rPr>
          <w:color w:val="auto"/>
        </w:rPr>
      </w:pPr>
      <w:r>
        <w:rPr>
          <w:color w:val="auto"/>
          <w:spacing w:val="-2"/>
        </w:rPr>
        <w:t>1.合作作品的著作权归属</w:t>
      </w:r>
    </w:p>
    <w:p w14:paraId="263CAA6C">
      <w:pPr>
        <w:pStyle w:val="2"/>
        <w:spacing w:before="124" w:line="374" w:lineRule="exact"/>
        <w:ind w:left="570"/>
        <w:rPr>
          <w:color w:val="auto"/>
        </w:rPr>
      </w:pPr>
      <w:r>
        <w:rPr>
          <w:color w:val="auto"/>
          <w:position w:val="12"/>
        </w:rPr>
        <w:t>合作作品是两人以上合作创作的作品。除主体为“两人</w:t>
      </w:r>
      <w:r>
        <w:rPr>
          <w:color w:val="auto"/>
          <w:spacing w:val="-1"/>
          <w:position w:val="12"/>
        </w:rPr>
        <w:t>以上” 外，构成合作作品必须符合下列条</w:t>
      </w:r>
    </w:p>
    <w:p w14:paraId="480FD7C2">
      <w:pPr>
        <w:pStyle w:val="2"/>
        <w:spacing w:line="220" w:lineRule="auto"/>
        <w:ind w:left="148"/>
        <w:rPr>
          <w:color w:val="auto"/>
        </w:rPr>
      </w:pPr>
      <w:r>
        <w:rPr>
          <w:color w:val="auto"/>
          <w:spacing w:val="-4"/>
        </w:rPr>
        <w:t>件：</w:t>
      </w:r>
      <w:r>
        <w:rPr>
          <w:color w:val="auto"/>
          <w:spacing w:val="-13"/>
        </w:rPr>
        <w:t xml:space="preserve"> </w:t>
      </w:r>
      <w:r>
        <w:rPr>
          <w:color w:val="auto"/>
          <w:spacing w:val="-4"/>
        </w:rPr>
        <w:t>一是有共同创作的</w:t>
      </w:r>
      <w:r>
        <w:rPr>
          <w:color w:val="auto"/>
          <w:spacing w:val="-6"/>
        </w:rPr>
        <w:t>意图；二是有共同的创作活动</w:t>
      </w:r>
      <w:r>
        <w:rPr>
          <w:color w:val="auto"/>
          <w:spacing w:val="-4"/>
        </w:rPr>
        <w:t>。</w:t>
      </w:r>
    </w:p>
    <w:p w14:paraId="2E45C2FC">
      <w:pPr>
        <w:pStyle w:val="2"/>
        <w:spacing w:before="125" w:line="330" w:lineRule="auto"/>
        <w:ind w:left="166" w:right="295" w:firstLine="403"/>
        <w:rPr>
          <w:color w:val="auto"/>
          <w:spacing w:val="-6"/>
        </w:rPr>
      </w:pPr>
      <w:r>
        <w:rPr>
          <w:color w:val="auto"/>
          <w:spacing w:val="-8"/>
        </w:rPr>
        <w:t>合作创作的作品， 著作权由</w:t>
      </w:r>
      <w:r>
        <w:rPr>
          <w:color w:val="auto"/>
          <w:spacing w:val="-6"/>
        </w:rPr>
        <w:t>合作作者共同享有</w:t>
      </w:r>
      <w:r>
        <w:rPr>
          <w:color w:val="auto"/>
          <w:spacing w:val="-8"/>
        </w:rPr>
        <w:t>，没有参加创作的人，</w:t>
      </w:r>
      <w:r>
        <w:rPr>
          <w:color w:val="auto"/>
          <w:spacing w:val="37"/>
        </w:rPr>
        <w:t xml:space="preserve"> </w:t>
      </w:r>
      <w:r>
        <w:rPr>
          <w:color w:val="auto"/>
          <w:spacing w:val="-8"/>
        </w:rPr>
        <w:t>不能成为合作作者。合作作品</w:t>
      </w:r>
      <w:r>
        <w:rPr>
          <w:color w:val="auto"/>
        </w:rPr>
        <w:t xml:space="preserve"> </w:t>
      </w:r>
      <w:r>
        <w:rPr>
          <w:color w:val="auto"/>
          <w:spacing w:val="-9"/>
        </w:rPr>
        <w:t>的著作权由合作作者通过协商一致行使； 不能协商一致，</w:t>
      </w:r>
      <w:r>
        <w:rPr>
          <w:color w:val="auto"/>
          <w:spacing w:val="-43"/>
        </w:rPr>
        <w:t xml:space="preserve"> </w:t>
      </w:r>
      <w:r>
        <w:rPr>
          <w:color w:val="auto"/>
          <w:spacing w:val="-9"/>
        </w:rPr>
        <w:t>又无正当理由的，</w:t>
      </w:r>
      <w:r>
        <w:rPr>
          <w:color w:val="auto"/>
          <w:spacing w:val="21"/>
        </w:rPr>
        <w:t xml:space="preserve"> </w:t>
      </w:r>
      <w:r>
        <w:rPr>
          <w:color w:val="auto"/>
          <w:spacing w:val="-9"/>
        </w:rPr>
        <w:t>任何一方不得阻止他方行使</w:t>
      </w:r>
      <w:r>
        <w:rPr>
          <w:color w:val="auto"/>
          <w:spacing w:val="-6"/>
        </w:rPr>
        <w:t>除转让、许可他人专有使用、出质以外的其他权利，但是所得收益应当合理分配给所有合作作者。</w:t>
      </w:r>
    </w:p>
    <w:p w14:paraId="2834A987">
      <w:pPr>
        <w:pStyle w:val="2"/>
        <w:spacing w:before="125" w:line="329" w:lineRule="auto"/>
        <w:ind w:left="568"/>
        <w:rPr>
          <w:color w:val="auto"/>
          <w:spacing w:val="-6"/>
        </w:rPr>
      </w:pPr>
      <w:r>
        <w:rPr>
          <w:color w:val="auto"/>
          <w:spacing w:val="-6"/>
        </w:rPr>
        <w:t>合作作品可以分割使用的， 作者对各自创作的部分可以单独享有著作权， 但行使著作权时不得侵犯</w:t>
      </w:r>
    </w:p>
    <w:p w14:paraId="78DB7AF3">
      <w:pPr>
        <w:pStyle w:val="2"/>
        <w:spacing w:before="125" w:line="329" w:lineRule="auto"/>
        <w:ind w:left="568"/>
        <w:rPr>
          <w:color w:val="auto"/>
          <w:spacing w:val="-6"/>
        </w:rPr>
      </w:pPr>
      <w:r>
        <w:rPr>
          <w:color w:val="auto"/>
          <w:spacing w:val="-6"/>
        </w:rPr>
        <w:t>合作作品整体的著作权。</w:t>
      </w:r>
    </w:p>
    <w:p w14:paraId="119947AC">
      <w:pPr>
        <w:pStyle w:val="2"/>
        <w:spacing w:before="125" w:line="220" w:lineRule="auto"/>
        <w:ind w:left="571"/>
        <w:rPr>
          <w:color w:val="auto"/>
        </w:rPr>
      </w:pPr>
      <w:r>
        <w:rPr>
          <w:color w:val="auto"/>
          <w:spacing w:val="-1"/>
        </w:rPr>
        <w:t>2.职务作品的著作权归属</w:t>
      </w:r>
    </w:p>
    <w:p w14:paraId="27DAC1A7">
      <w:pPr>
        <w:pStyle w:val="2"/>
        <w:spacing w:before="124" w:line="376" w:lineRule="exact"/>
        <w:ind w:left="570"/>
        <w:rPr>
          <w:color w:val="auto"/>
        </w:rPr>
      </w:pPr>
      <w:r>
        <w:rPr>
          <w:color w:val="auto"/>
          <w:spacing w:val="-2"/>
          <w:position w:val="12"/>
        </w:rPr>
        <w:t>职务作品一般是作为雇员的自然人为完成所在单位的工作</w:t>
      </w:r>
      <w:r>
        <w:rPr>
          <w:color w:val="auto"/>
          <w:spacing w:val="-3"/>
          <w:position w:val="12"/>
        </w:rPr>
        <w:t>任务而创作的作品。职务作品可以是新闻</w:t>
      </w:r>
    </w:p>
    <w:p w14:paraId="39BBBB12">
      <w:pPr>
        <w:pStyle w:val="2"/>
        <w:spacing w:line="219" w:lineRule="auto"/>
        <w:ind w:left="150"/>
        <w:rPr>
          <w:color w:val="auto"/>
        </w:rPr>
      </w:pPr>
      <w:r>
        <w:rPr>
          <w:color w:val="auto"/>
          <w:spacing w:val="-1"/>
        </w:rPr>
        <w:t>作品、美术设计作品、计算机软件或作品分类中的任何一种作</w:t>
      </w:r>
      <w:r>
        <w:rPr>
          <w:color w:val="auto"/>
          <w:spacing w:val="-2"/>
        </w:rPr>
        <w:t>品形武。</w:t>
      </w:r>
    </w:p>
    <w:p w14:paraId="3E747E98">
      <w:pPr>
        <w:pStyle w:val="2"/>
        <w:spacing w:before="124" w:line="220" w:lineRule="auto"/>
        <w:ind w:left="569"/>
        <w:rPr>
          <w:color w:val="auto"/>
        </w:rPr>
      </w:pPr>
      <w:r>
        <w:rPr>
          <w:color w:val="auto"/>
          <w:spacing w:val="-3"/>
        </w:rPr>
        <w:t>认定职务作品时应考虑的条件主要有两个：</w:t>
      </w:r>
    </w:p>
    <w:p w14:paraId="522D6277">
      <w:pPr>
        <w:pStyle w:val="2"/>
        <w:spacing w:before="125" w:line="329" w:lineRule="auto"/>
        <w:ind w:left="568"/>
        <w:rPr>
          <w:color w:val="auto"/>
          <w:spacing w:val="-6"/>
        </w:rPr>
      </w:pPr>
      <w:r>
        <w:rPr>
          <w:color w:val="auto"/>
          <w:spacing w:val="-1"/>
        </w:rPr>
        <w:t>一是作者和所在单位</w:t>
      </w:r>
      <w:r>
        <w:rPr>
          <w:color w:val="auto"/>
          <w:spacing w:val="-6"/>
        </w:rPr>
        <w:t>存在劳动关系，</w:t>
      </w:r>
    </w:p>
    <w:p w14:paraId="791E44C3">
      <w:pPr>
        <w:pStyle w:val="2"/>
        <w:spacing w:before="125" w:line="329" w:lineRule="auto"/>
        <w:ind w:left="568"/>
        <w:rPr>
          <w:color w:val="auto"/>
        </w:rPr>
      </w:pPr>
      <w:r>
        <w:rPr>
          <w:color w:val="auto"/>
          <w:spacing w:val="-6"/>
        </w:rPr>
        <w:t>二是作品的创作属于作者的职责范围</w:t>
      </w:r>
      <w:r>
        <w:rPr>
          <w:color w:val="auto"/>
          <w:spacing w:val="-1"/>
        </w:rPr>
        <w:t>。</w:t>
      </w:r>
    </w:p>
    <w:p w14:paraId="58D6A764">
      <w:pPr>
        <w:pStyle w:val="2"/>
        <w:spacing w:before="243" w:line="374" w:lineRule="exact"/>
        <w:ind w:left="583"/>
        <w:rPr>
          <w:color w:val="auto"/>
          <w:spacing w:val="-8"/>
        </w:rPr>
      </w:pPr>
      <w:r>
        <w:rPr>
          <w:color w:val="auto"/>
          <w:spacing w:val="-8"/>
        </w:rPr>
        <w:t>一般职务作品：</w:t>
      </w:r>
    </w:p>
    <w:p w14:paraId="644B80E6">
      <w:pPr>
        <w:pStyle w:val="2"/>
        <w:spacing w:before="243" w:line="374" w:lineRule="exact"/>
        <w:ind w:left="583"/>
        <w:rPr>
          <w:color w:val="auto"/>
        </w:rPr>
      </w:pPr>
      <w:r>
        <w:rPr>
          <w:color w:val="auto"/>
          <w:spacing w:val="-2"/>
          <w:position w:val="12"/>
        </w:rPr>
        <w:t>i</w:t>
      </w:r>
      <w:r>
        <w:rPr>
          <w:color w:val="auto"/>
          <w:spacing w:val="-34"/>
          <w:position w:val="12"/>
        </w:rPr>
        <w:t xml:space="preserve"> </w:t>
      </w:r>
      <w:r>
        <w:rPr>
          <w:color w:val="auto"/>
          <w:spacing w:val="-2"/>
          <w:position w:val="12"/>
        </w:rPr>
        <w:t>一般职务作品的著作权由作者享有，法人或者非法人组织享有在其业务范围内优先使用的权利，</w:t>
      </w:r>
    </w:p>
    <w:p w14:paraId="071D9847">
      <w:pPr>
        <w:pStyle w:val="2"/>
        <w:spacing w:line="220" w:lineRule="auto"/>
        <w:ind w:left="151"/>
        <w:rPr>
          <w:color w:val="auto"/>
        </w:rPr>
      </w:pPr>
      <w:r>
        <w:rPr>
          <w:color w:val="auto"/>
          <w:spacing w:val="-6"/>
        </w:rPr>
        <w:t>期限为</w:t>
      </w:r>
      <w:r>
        <w:rPr>
          <w:color w:val="auto"/>
          <w:spacing w:val="-37"/>
        </w:rPr>
        <w:t xml:space="preserve"> </w:t>
      </w:r>
      <w:r>
        <w:rPr>
          <w:color w:val="auto"/>
          <w:spacing w:val="-6"/>
        </w:rPr>
        <w:t>2 年。</w:t>
      </w:r>
    </w:p>
    <w:p w14:paraId="7DE16302">
      <w:pPr>
        <w:pStyle w:val="2"/>
        <w:spacing w:before="123" w:line="376" w:lineRule="exact"/>
        <w:ind w:left="607"/>
        <w:rPr>
          <w:color w:val="auto"/>
        </w:rPr>
      </w:pPr>
      <w:r>
        <w:rPr>
          <w:color w:val="auto"/>
          <w:spacing w:val="-8"/>
          <w:position w:val="12"/>
        </w:rPr>
        <w:t>ⅱ单位的优先使用权是专有的， 未经单位同意， 作者不得许可第三人以与单位使用的相同方式使用</w:t>
      </w:r>
    </w:p>
    <w:p w14:paraId="52BFFE3A">
      <w:pPr>
        <w:pStyle w:val="2"/>
        <w:spacing w:before="1" w:line="220" w:lineRule="auto"/>
        <w:ind w:left="152"/>
        <w:rPr>
          <w:color w:val="auto"/>
        </w:rPr>
      </w:pPr>
      <w:r>
        <w:rPr>
          <w:color w:val="auto"/>
          <w:spacing w:val="-8"/>
        </w:rPr>
        <w:t>该作品。</w:t>
      </w:r>
    </w:p>
    <w:p w14:paraId="3326322B">
      <w:pPr>
        <w:pStyle w:val="2"/>
        <w:spacing w:before="123" w:line="375" w:lineRule="exact"/>
        <w:ind w:left="583"/>
        <w:rPr>
          <w:color w:val="auto"/>
        </w:rPr>
      </w:pPr>
      <w:r>
        <w:rPr>
          <w:color w:val="auto"/>
          <w:spacing w:val="-5"/>
          <w:position w:val="12"/>
        </w:rPr>
        <w:t>ⅲ在作品完成</w:t>
      </w:r>
      <w:r>
        <w:rPr>
          <w:color w:val="auto"/>
          <w:spacing w:val="-42"/>
          <w:position w:val="12"/>
        </w:rPr>
        <w:t xml:space="preserve"> </w:t>
      </w:r>
      <w:r>
        <w:rPr>
          <w:color w:val="auto"/>
          <w:spacing w:val="-5"/>
          <w:position w:val="12"/>
        </w:rPr>
        <w:t>2</w:t>
      </w:r>
      <w:r>
        <w:rPr>
          <w:color w:val="auto"/>
          <w:spacing w:val="-43"/>
          <w:position w:val="12"/>
        </w:rPr>
        <w:t xml:space="preserve"> </w:t>
      </w:r>
      <w:r>
        <w:rPr>
          <w:color w:val="auto"/>
          <w:spacing w:val="-5"/>
          <w:position w:val="12"/>
        </w:rPr>
        <w:t>年内，如单位在其业务范围内不</w:t>
      </w:r>
      <w:r>
        <w:rPr>
          <w:color w:val="auto"/>
          <w:spacing w:val="-6"/>
          <w:position w:val="12"/>
        </w:rPr>
        <w:t>使用， 作者可以要求单位同意由第三人以与单位使</w:t>
      </w:r>
    </w:p>
    <w:p w14:paraId="6D645B84">
      <w:pPr>
        <w:pStyle w:val="2"/>
        <w:spacing w:line="220" w:lineRule="auto"/>
        <w:ind w:left="150"/>
        <w:rPr>
          <w:color w:val="auto"/>
        </w:rPr>
      </w:pPr>
      <w:r>
        <w:rPr>
          <w:color w:val="auto"/>
          <w:spacing w:val="-1"/>
        </w:rPr>
        <w:t>用的相同方式使用，单位没有正当理由不得拒绝，所获报酬由作者与单位按约定比例分配。</w:t>
      </w:r>
    </w:p>
    <w:p w14:paraId="0FA7893A">
      <w:pPr>
        <w:pStyle w:val="2"/>
        <w:spacing w:before="124" w:line="220" w:lineRule="auto"/>
        <w:ind w:left="568"/>
        <w:rPr>
          <w:color w:val="auto"/>
        </w:rPr>
      </w:pPr>
      <w:r>
        <w:rPr>
          <w:color w:val="auto"/>
          <w:spacing w:val="-7"/>
        </w:rPr>
        <w:t>特殊职务作品：</w:t>
      </w:r>
    </w:p>
    <w:p w14:paraId="0BBA1D9A">
      <w:pPr>
        <w:pStyle w:val="2"/>
        <w:spacing w:before="123" w:line="330" w:lineRule="auto"/>
        <w:ind w:left="149" w:right="221" w:firstLine="419"/>
        <w:rPr>
          <w:color w:val="auto"/>
        </w:rPr>
      </w:pPr>
      <w:r>
        <w:rPr>
          <w:color w:val="auto"/>
          <w:spacing w:val="-9"/>
        </w:rPr>
        <w:t>特殊的职务作品，</w:t>
      </w:r>
      <w:r>
        <w:rPr>
          <w:color w:val="auto"/>
          <w:spacing w:val="47"/>
        </w:rPr>
        <w:t xml:space="preserve"> </w:t>
      </w:r>
      <w:r>
        <w:rPr>
          <w:color w:val="auto"/>
          <w:spacing w:val="-9"/>
        </w:rPr>
        <w:t>除署名权以外，</w:t>
      </w:r>
      <w:r>
        <w:rPr>
          <w:color w:val="auto"/>
          <w:spacing w:val="25"/>
        </w:rPr>
        <w:t xml:space="preserve"> </w:t>
      </w:r>
      <w:r>
        <w:rPr>
          <w:color w:val="auto"/>
          <w:spacing w:val="-9"/>
        </w:rPr>
        <w:t>著作权的其他权利由</w:t>
      </w:r>
      <w:r>
        <w:rPr>
          <w:color w:val="auto"/>
          <w:spacing w:val="-6"/>
        </w:rPr>
        <w:t>单位享有。</w:t>
      </w:r>
      <w:r>
        <w:rPr>
          <w:color w:val="auto"/>
          <w:spacing w:val="-9"/>
        </w:rPr>
        <w:t xml:space="preserve">特殊职务作品是指主要是利用法 </w:t>
      </w:r>
      <w:r>
        <w:rPr>
          <w:color w:val="auto"/>
          <w:spacing w:val="-6"/>
        </w:rPr>
        <w:t>人或者非法人组织的物质技术条件创作，</w:t>
      </w:r>
      <w:r>
        <w:rPr>
          <w:color w:val="auto"/>
          <w:spacing w:val="-41"/>
        </w:rPr>
        <w:t xml:space="preserve"> </w:t>
      </w:r>
      <w:r>
        <w:rPr>
          <w:color w:val="auto"/>
          <w:spacing w:val="-6"/>
        </w:rPr>
        <w:t>并</w:t>
      </w:r>
      <w:r>
        <w:rPr>
          <w:color w:val="auto"/>
          <w:spacing w:val="-7"/>
        </w:rPr>
        <w:t>由法人或者非法人组织承担责任的工程设计图、产品设计图、</w:t>
      </w:r>
      <w:r>
        <w:rPr>
          <w:color w:val="auto"/>
        </w:rPr>
        <w:t xml:space="preserve"> </w:t>
      </w:r>
      <w:r>
        <w:rPr>
          <w:color w:val="auto"/>
          <w:spacing w:val="-7"/>
        </w:rPr>
        <w:t>地图、</w:t>
      </w:r>
      <w:r>
        <w:rPr>
          <w:color w:val="auto"/>
          <w:spacing w:val="-6"/>
        </w:rPr>
        <w:t xml:space="preserve"> 示意图</w:t>
      </w:r>
      <w:r>
        <w:rPr>
          <w:color w:val="auto"/>
          <w:spacing w:val="-7"/>
        </w:rPr>
        <w:t>、计算机软件等职务作品，</w:t>
      </w:r>
      <w:r>
        <w:rPr>
          <w:color w:val="auto"/>
          <w:spacing w:val="38"/>
        </w:rPr>
        <w:t xml:space="preserve"> </w:t>
      </w:r>
      <w:r>
        <w:rPr>
          <w:color w:val="auto"/>
          <w:spacing w:val="-7"/>
        </w:rPr>
        <w:t>报社、期刊社、通讯社、</w:t>
      </w:r>
      <w:r>
        <w:rPr>
          <w:color w:val="auto"/>
          <w:spacing w:val="-8"/>
        </w:rPr>
        <w:t>广播电台、电视台的工作人员创作的</w:t>
      </w:r>
    </w:p>
    <w:p w14:paraId="4619888B">
      <w:pPr>
        <w:pStyle w:val="2"/>
        <w:spacing w:before="1" w:line="220" w:lineRule="auto"/>
        <w:ind w:left="150"/>
        <w:rPr>
          <w:color w:val="auto"/>
        </w:rPr>
      </w:pPr>
      <w:r>
        <w:rPr>
          <w:color w:val="auto"/>
          <w:spacing w:val="-1"/>
        </w:rPr>
        <w:t>职务作品，或者法律、行政法规规定或者合同约定著作权由法人或者非法人组织享有的职务作品。</w:t>
      </w:r>
    </w:p>
    <w:p w14:paraId="187B58E1">
      <w:pPr>
        <w:pStyle w:val="2"/>
        <w:spacing w:before="124" w:line="220" w:lineRule="auto"/>
        <w:ind w:left="573"/>
        <w:rPr>
          <w:color w:val="auto"/>
        </w:rPr>
      </w:pPr>
      <w:r>
        <w:rPr>
          <w:color w:val="auto"/>
          <w:spacing w:val="-3"/>
        </w:rPr>
        <w:t>3、委托作品的著作权归属</w:t>
      </w:r>
    </w:p>
    <w:p w14:paraId="46F56723">
      <w:pPr>
        <w:pStyle w:val="2"/>
        <w:spacing w:before="125" w:line="220" w:lineRule="auto"/>
        <w:ind w:left="568"/>
        <w:rPr>
          <w:color w:val="auto"/>
        </w:rPr>
      </w:pPr>
      <w:r>
        <w:rPr>
          <w:color w:val="auto"/>
          <w:spacing w:val="-2"/>
        </w:rPr>
        <w:t>委托作品指受托人根据委托人的委托而创作的作品。</w:t>
      </w:r>
    </w:p>
    <w:p w14:paraId="57EB9F2A">
      <w:pPr>
        <w:pStyle w:val="2"/>
        <w:spacing w:before="124" w:line="220" w:lineRule="auto"/>
        <w:ind w:left="573"/>
        <w:rPr>
          <w:color w:val="auto"/>
        </w:rPr>
      </w:pPr>
      <w:r>
        <w:rPr>
          <w:color w:val="auto"/>
          <w:spacing w:val="-2"/>
        </w:rPr>
        <w:t>受委托创作的作品，著作权的归属由委托人和受托人通过合同约定。</w:t>
      </w:r>
    </w:p>
    <w:p w14:paraId="0083B375">
      <w:pPr>
        <w:pStyle w:val="2"/>
        <w:spacing w:before="124" w:line="220" w:lineRule="auto"/>
        <w:ind w:left="570"/>
        <w:rPr>
          <w:color w:val="auto"/>
        </w:rPr>
      </w:pPr>
      <w:r>
        <w:rPr>
          <w:color w:val="auto"/>
        </w:rPr>
        <w:t>合同未做明确约定或者没有订立合同的，著</w:t>
      </w:r>
      <w:r>
        <w:rPr>
          <w:color w:val="auto"/>
          <w:spacing w:val="-1"/>
        </w:rPr>
        <w:t>作权属</w:t>
      </w:r>
      <w:r>
        <w:rPr>
          <w:color w:val="auto"/>
          <w:spacing w:val="-6"/>
        </w:rPr>
        <w:t>于受托人</w:t>
      </w:r>
      <w:r>
        <w:rPr>
          <w:color w:val="auto"/>
          <w:spacing w:val="-1"/>
        </w:rPr>
        <w:t>。</w:t>
      </w:r>
    </w:p>
    <w:p w14:paraId="18449CAA">
      <w:pPr>
        <w:pStyle w:val="2"/>
        <w:spacing w:before="126" w:line="220" w:lineRule="auto"/>
        <w:ind w:left="568"/>
        <w:rPr>
          <w:color w:val="auto"/>
        </w:rPr>
      </w:pPr>
      <w:r>
        <w:rPr>
          <w:color w:val="auto"/>
          <w:spacing w:val="-3"/>
        </w:rPr>
        <w:t>4、演绎作品的著作权归属</w:t>
      </w:r>
    </w:p>
    <w:p w14:paraId="7EE2D7EA">
      <w:pPr>
        <w:pStyle w:val="2"/>
        <w:spacing w:before="124" w:line="220" w:lineRule="auto"/>
        <w:ind w:left="576"/>
        <w:rPr>
          <w:color w:val="auto"/>
        </w:rPr>
      </w:pPr>
      <w:r>
        <w:rPr>
          <w:color w:val="auto"/>
          <w:spacing w:val="-2"/>
        </w:rPr>
        <w:t>改编、翻译、注释、编辑、整理已有作品产生的作品称为演绎作品。</w:t>
      </w:r>
    </w:p>
    <w:p w14:paraId="36BB0373">
      <w:pPr>
        <w:pStyle w:val="2"/>
        <w:spacing w:before="125" w:line="220" w:lineRule="auto"/>
        <w:ind w:left="570"/>
        <w:rPr>
          <w:color w:val="auto"/>
        </w:rPr>
      </w:pPr>
      <w:r>
        <w:rPr>
          <w:color w:val="auto"/>
        </w:rPr>
        <w:t>演绎作品的著作权由改编、翻译、注释、整理人享有，但行使著作权时</w:t>
      </w:r>
      <w:r>
        <w:rPr>
          <w:color w:val="auto"/>
          <w:spacing w:val="-6"/>
        </w:rPr>
        <w:t>不得侵犯原作品的著作权。</w:t>
      </w:r>
    </w:p>
    <w:p w14:paraId="27FAFAB0">
      <w:pPr>
        <w:pStyle w:val="2"/>
        <w:spacing w:before="125" w:line="220" w:lineRule="auto"/>
        <w:ind w:left="573"/>
        <w:rPr>
          <w:color w:val="auto"/>
        </w:rPr>
      </w:pPr>
      <w:r>
        <w:rPr>
          <w:color w:val="auto"/>
          <w:spacing w:val="-3"/>
        </w:rPr>
        <w:t>5、视听作品的著作权归属</w:t>
      </w:r>
    </w:p>
    <w:p w14:paraId="3CB46E9C">
      <w:pPr>
        <w:pStyle w:val="2"/>
        <w:spacing w:before="124" w:line="330" w:lineRule="auto"/>
        <w:ind w:left="568"/>
        <w:rPr>
          <w:color w:val="auto"/>
        </w:rPr>
      </w:pPr>
      <w:r>
        <w:rPr>
          <w:color w:val="auto"/>
          <w:spacing w:val="-4"/>
        </w:rPr>
        <w:t>视听作品中的电影作品、电视剧作品的著作权</w:t>
      </w:r>
      <w:r>
        <w:rPr>
          <w:color w:val="auto"/>
          <w:spacing w:val="-6"/>
        </w:rPr>
        <w:t>由制作者享有和行使，</w:t>
      </w:r>
      <w:r>
        <w:rPr>
          <w:color w:val="auto"/>
          <w:spacing w:val="-5"/>
        </w:rPr>
        <w:t>参加作品创作的其他人员， 如</w:t>
      </w:r>
    </w:p>
    <w:p w14:paraId="548ED69C">
      <w:pPr>
        <w:pStyle w:val="2"/>
        <w:spacing w:line="220" w:lineRule="auto"/>
        <w:ind w:left="154"/>
        <w:rPr>
          <w:color w:val="auto"/>
        </w:rPr>
      </w:pPr>
      <w:r>
        <w:rPr>
          <w:color w:val="auto"/>
          <w:spacing w:val="-1"/>
        </w:rPr>
        <w:t>导演、编剧、作词、作曲、摄影等作者享有署名权，并有权按照与制作者签订的合同获得报</w:t>
      </w:r>
      <w:r>
        <w:rPr>
          <w:color w:val="auto"/>
          <w:spacing w:val="-2"/>
        </w:rPr>
        <w:t>酬。</w:t>
      </w:r>
    </w:p>
    <w:p w14:paraId="287D41D1">
      <w:pPr>
        <w:pStyle w:val="2"/>
        <w:spacing w:before="124" w:line="375" w:lineRule="exact"/>
        <w:ind w:left="581"/>
        <w:rPr>
          <w:color w:val="auto"/>
        </w:rPr>
      </w:pPr>
      <w:r>
        <w:rPr>
          <w:color w:val="auto"/>
          <w:spacing w:val="-12"/>
          <w:position w:val="12"/>
        </w:rPr>
        <w:t>除此以外的视听作品的著作权归属当事人约定，</w:t>
      </w:r>
      <w:r>
        <w:rPr>
          <w:color w:val="auto"/>
          <w:spacing w:val="26"/>
          <w:position w:val="12"/>
        </w:rPr>
        <w:t xml:space="preserve"> </w:t>
      </w:r>
      <w:r>
        <w:rPr>
          <w:color w:val="auto"/>
          <w:spacing w:val="-12"/>
          <w:position w:val="12"/>
        </w:rPr>
        <w:t>没有约定或者约定不明确的，</w:t>
      </w:r>
      <w:r>
        <w:rPr>
          <w:color w:val="auto"/>
          <w:spacing w:val="47"/>
          <w:position w:val="12"/>
        </w:rPr>
        <w:t xml:space="preserve"> </w:t>
      </w:r>
      <w:r>
        <w:rPr>
          <w:color w:val="auto"/>
          <w:spacing w:val="-12"/>
          <w:position w:val="12"/>
        </w:rPr>
        <w:t>由制作者</w:t>
      </w:r>
      <w:r>
        <w:rPr>
          <w:color w:val="auto"/>
          <w:spacing w:val="-13"/>
          <w:position w:val="12"/>
        </w:rPr>
        <w:t>享有，</w:t>
      </w:r>
      <w:r>
        <w:rPr>
          <w:color w:val="auto"/>
          <w:spacing w:val="21"/>
          <w:position w:val="12"/>
        </w:rPr>
        <w:t xml:space="preserve"> </w:t>
      </w:r>
      <w:r>
        <w:rPr>
          <w:color w:val="auto"/>
          <w:spacing w:val="-13"/>
          <w:position w:val="12"/>
        </w:rPr>
        <w:t>但作</w:t>
      </w:r>
    </w:p>
    <w:p w14:paraId="0439A13D">
      <w:pPr>
        <w:pStyle w:val="2"/>
        <w:spacing w:before="1" w:line="220" w:lineRule="auto"/>
        <w:ind w:left="150"/>
        <w:rPr>
          <w:color w:val="auto"/>
        </w:rPr>
      </w:pPr>
      <w:r>
        <w:rPr>
          <w:color w:val="auto"/>
          <w:spacing w:val="-3"/>
        </w:rPr>
        <w:t>者享有署名权和获得报酬的权利。</w:t>
      </w:r>
    </w:p>
    <w:p w14:paraId="618C6C7C">
      <w:pPr>
        <w:pStyle w:val="2"/>
        <w:spacing w:before="123" w:line="220" w:lineRule="auto"/>
        <w:ind w:left="568"/>
        <w:rPr>
          <w:color w:val="auto"/>
          <w:spacing w:val="-6"/>
        </w:rPr>
      </w:pPr>
      <w:r>
        <w:rPr>
          <w:color w:val="auto"/>
        </w:rPr>
        <w:t>视听作品中可以单独使用的部分，</w:t>
      </w:r>
      <w:r>
        <w:rPr>
          <w:color w:val="auto"/>
          <w:spacing w:val="-6"/>
        </w:rPr>
        <w:t>如剧本、音乐等的作者可以单独行使著作权。</w:t>
      </w:r>
    </w:p>
    <w:p w14:paraId="759C3ADF">
      <w:pPr>
        <w:pStyle w:val="2"/>
        <w:spacing w:before="126" w:line="220" w:lineRule="auto"/>
        <w:ind w:left="570"/>
        <w:rPr>
          <w:color w:val="auto"/>
        </w:rPr>
      </w:pPr>
      <w:r>
        <w:rPr>
          <w:color w:val="auto"/>
          <w:spacing w:val="-2"/>
        </w:rPr>
        <w:t>6、原件所有权转移时作品著作权的归属</w:t>
      </w:r>
    </w:p>
    <w:p w14:paraId="43A64C19">
      <w:pPr>
        <w:pStyle w:val="2"/>
        <w:spacing w:before="124" w:line="220" w:lineRule="auto"/>
        <w:ind w:left="583"/>
        <w:rPr>
          <w:color w:val="auto"/>
        </w:rPr>
      </w:pPr>
      <w:r>
        <w:rPr>
          <w:color w:val="auto"/>
          <w:spacing w:val="-2"/>
        </w:rPr>
        <w:t>i</w:t>
      </w:r>
      <w:r>
        <w:rPr>
          <w:color w:val="auto"/>
          <w:spacing w:val="-41"/>
        </w:rPr>
        <w:t xml:space="preserve"> </w:t>
      </w:r>
      <w:r>
        <w:rPr>
          <w:color w:val="auto"/>
          <w:spacing w:val="-2"/>
        </w:rPr>
        <w:t>绘画、书法、雕塑等美术作品的原件可作为买卖</w:t>
      </w:r>
      <w:r>
        <w:rPr>
          <w:color w:val="auto"/>
          <w:spacing w:val="-3"/>
        </w:rPr>
        <w:t>、赠予的标的。</w:t>
      </w:r>
    </w:p>
    <w:p w14:paraId="222B3746">
      <w:pPr>
        <w:pStyle w:val="2"/>
        <w:spacing w:before="124" w:line="376" w:lineRule="exact"/>
        <w:ind w:left="607"/>
        <w:rPr>
          <w:color w:val="auto"/>
        </w:rPr>
      </w:pPr>
      <w:r>
        <w:rPr>
          <w:color w:val="auto"/>
          <w:spacing w:val="-8"/>
          <w:position w:val="12"/>
        </w:rPr>
        <w:t>ⅱ美术等作品原件所有权的转移，</w:t>
      </w:r>
      <w:r>
        <w:rPr>
          <w:color w:val="auto"/>
          <w:spacing w:val="25"/>
          <w:position w:val="12"/>
        </w:rPr>
        <w:t xml:space="preserve"> </w:t>
      </w:r>
      <w:r>
        <w:rPr>
          <w:color w:val="auto"/>
          <w:spacing w:val="-8"/>
          <w:position w:val="12"/>
        </w:rPr>
        <w:t>不改变作</w:t>
      </w:r>
      <w:r>
        <w:rPr>
          <w:color w:val="auto"/>
          <w:spacing w:val="-9"/>
          <w:position w:val="12"/>
        </w:rPr>
        <w:t>品著作权的归属， 但美术、摄影作品原件的展览权由原</w:t>
      </w:r>
    </w:p>
    <w:p w14:paraId="6B799677">
      <w:pPr>
        <w:pStyle w:val="2"/>
        <w:spacing w:line="220" w:lineRule="auto"/>
        <w:ind w:left="148"/>
        <w:rPr>
          <w:color w:val="auto"/>
        </w:rPr>
      </w:pPr>
      <w:r>
        <w:rPr>
          <w:color w:val="auto"/>
          <w:spacing w:val="-5"/>
        </w:rPr>
        <w:t>件所有人享有。</w:t>
      </w:r>
    </w:p>
    <w:p w14:paraId="747D11B3">
      <w:pPr>
        <w:pStyle w:val="2"/>
        <w:spacing w:before="124" w:line="376" w:lineRule="exact"/>
        <w:ind w:left="583"/>
        <w:rPr>
          <w:color w:val="auto"/>
        </w:rPr>
      </w:pPr>
      <w:r>
        <w:rPr>
          <w:color w:val="auto"/>
          <w:spacing w:val="-5"/>
          <w:position w:val="12"/>
        </w:rPr>
        <w:t>ⅲ作者将未发表的美术、摄影作品的原件所有权转让给他人， 受让人展览该原件不构成对作者</w:t>
      </w:r>
      <w:r>
        <w:rPr>
          <w:color w:val="auto"/>
          <w:spacing w:val="-6"/>
          <w:position w:val="12"/>
        </w:rPr>
        <w:t>发表</w:t>
      </w:r>
    </w:p>
    <w:p w14:paraId="59C37D3A">
      <w:pPr>
        <w:pStyle w:val="2"/>
        <w:spacing w:line="220" w:lineRule="auto"/>
        <w:ind w:left="148"/>
        <w:rPr>
          <w:color w:val="auto"/>
        </w:rPr>
      </w:pPr>
      <w:r>
        <w:rPr>
          <w:color w:val="auto"/>
          <w:spacing w:val="-6"/>
        </w:rPr>
        <w:t>权的侵犯。</w:t>
      </w:r>
    </w:p>
    <w:p w14:paraId="171BF1B8">
      <w:pPr>
        <w:pStyle w:val="2"/>
        <w:spacing w:before="124" w:line="329" w:lineRule="auto"/>
        <w:ind w:left="584"/>
        <w:rPr>
          <w:color w:val="auto"/>
        </w:rPr>
      </w:pPr>
      <w:r>
        <w:rPr>
          <w:color w:val="auto"/>
          <w:spacing w:val="-7"/>
        </w:rPr>
        <w:t>ⅳ除美术作品之外， 对任何原件所有权可能转移的作品， 都要注</w:t>
      </w:r>
      <w:r>
        <w:rPr>
          <w:color w:val="auto"/>
          <w:spacing w:val="-8"/>
        </w:rPr>
        <w:t>意区分作品</w:t>
      </w:r>
      <w:r>
        <w:rPr>
          <w:color w:val="auto"/>
          <w:spacing w:val="-6"/>
        </w:rPr>
        <w:t>物质载体</w:t>
      </w:r>
      <w:r>
        <w:rPr>
          <w:color w:val="auto"/>
          <w:spacing w:val="-8"/>
        </w:rPr>
        <w:t>的财产权和作</w:t>
      </w:r>
    </w:p>
    <w:p w14:paraId="2C4AE622">
      <w:pPr>
        <w:pStyle w:val="2"/>
        <w:spacing w:line="220" w:lineRule="auto"/>
        <w:ind w:left="166"/>
        <w:rPr>
          <w:color w:val="auto"/>
        </w:rPr>
      </w:pPr>
      <w:r>
        <w:rPr>
          <w:color w:val="auto"/>
          <w:spacing w:val="-6"/>
        </w:rPr>
        <w:t>品的著作权这</w:t>
      </w:r>
      <w:r>
        <w:rPr>
          <w:color w:val="auto"/>
          <w:spacing w:val="-4"/>
        </w:rPr>
        <w:t>两种不同的权利。</w:t>
      </w:r>
    </w:p>
    <w:p w14:paraId="5EBD234B">
      <w:pPr>
        <w:pStyle w:val="2"/>
        <w:spacing w:before="126" w:line="220" w:lineRule="auto"/>
        <w:ind w:left="574"/>
        <w:rPr>
          <w:color w:val="auto"/>
        </w:rPr>
      </w:pPr>
      <w:r>
        <w:rPr>
          <w:color w:val="auto"/>
          <w:spacing w:val="-2"/>
        </w:rPr>
        <w:t>7.著作权的集体管理</w:t>
      </w:r>
    </w:p>
    <w:p w14:paraId="42DF132A">
      <w:pPr>
        <w:pStyle w:val="2"/>
        <w:spacing w:before="123" w:line="376" w:lineRule="exact"/>
        <w:ind w:left="572"/>
        <w:rPr>
          <w:color w:val="auto"/>
        </w:rPr>
      </w:pPr>
      <w:r>
        <w:rPr>
          <w:color w:val="auto"/>
          <w:position w:val="12"/>
        </w:rPr>
        <w:t>著作权集体管理是指通过代表著作权人的集体组织授权使用者使用</w:t>
      </w:r>
      <w:r>
        <w:rPr>
          <w:color w:val="auto"/>
          <w:spacing w:val="-1"/>
          <w:position w:val="12"/>
        </w:rPr>
        <w:t>作品并收取报酬分发给著作权</w:t>
      </w:r>
    </w:p>
    <w:p w14:paraId="7146EA74">
      <w:pPr>
        <w:pStyle w:val="2"/>
        <w:spacing w:before="1" w:line="220" w:lineRule="auto"/>
        <w:ind w:left="150"/>
        <w:rPr>
          <w:color w:val="auto"/>
        </w:rPr>
      </w:pPr>
      <w:r>
        <w:rPr>
          <w:color w:val="auto"/>
          <w:spacing w:val="-7"/>
        </w:rPr>
        <w:t>人的活动。</w:t>
      </w:r>
    </w:p>
    <w:p w14:paraId="223EC88E">
      <w:pPr>
        <w:pStyle w:val="2"/>
        <w:spacing w:before="122" w:line="330" w:lineRule="auto"/>
        <w:ind w:left="150" w:right="295" w:firstLine="420"/>
        <w:rPr>
          <w:color w:val="auto"/>
        </w:rPr>
      </w:pPr>
      <w:r>
        <w:rPr>
          <w:color w:val="auto"/>
          <w:spacing w:val="-2"/>
        </w:rPr>
        <w:t>依法设立的著作权集体管理组</w:t>
      </w:r>
      <w:r>
        <w:rPr>
          <w:color w:val="auto"/>
          <w:spacing w:val="-6"/>
        </w:rPr>
        <w:t>织是非营利法人，</w:t>
      </w:r>
      <w:r>
        <w:rPr>
          <w:color w:val="auto"/>
          <w:spacing w:val="-2"/>
        </w:rPr>
        <w:t>被授权</w:t>
      </w:r>
      <w:r>
        <w:rPr>
          <w:color w:val="auto"/>
          <w:spacing w:val="-3"/>
        </w:rPr>
        <w:t>后可以以自己的名义为著作权人和与著作权</w:t>
      </w:r>
      <w:r>
        <w:rPr>
          <w:color w:val="auto"/>
        </w:rPr>
        <w:t xml:space="preserve"> </w:t>
      </w:r>
      <w:r>
        <w:rPr>
          <w:color w:val="auto"/>
          <w:spacing w:val="-5"/>
        </w:rPr>
        <w:t>有关的权利人主张权利，</w:t>
      </w:r>
      <w:r>
        <w:rPr>
          <w:color w:val="auto"/>
          <w:spacing w:val="27"/>
        </w:rPr>
        <w:t xml:space="preserve"> </w:t>
      </w:r>
      <w:r>
        <w:rPr>
          <w:color w:val="auto"/>
          <w:spacing w:val="-5"/>
        </w:rPr>
        <w:t>并可以作为当事人进行涉及著作权或者与著作权有关</w:t>
      </w:r>
      <w:r>
        <w:rPr>
          <w:color w:val="auto"/>
          <w:spacing w:val="-6"/>
        </w:rPr>
        <w:t>的权利的诉讼、仲裁、调</w:t>
      </w:r>
      <w:r>
        <w:rPr>
          <w:color w:val="auto"/>
          <w:spacing w:val="-7"/>
        </w:rPr>
        <w:t>解活动。</w:t>
      </w:r>
      <w:r>
        <w:rPr>
          <w:color w:val="auto"/>
          <w:spacing w:val="-5"/>
        </w:rPr>
        <w:t>著作权集体管理组织根据授权向使用者收取使用费， 并将使用费的收取和转付、管理费的提取和使</w:t>
      </w:r>
      <w:r>
        <w:rPr>
          <w:color w:val="auto"/>
          <w:spacing w:val="8"/>
        </w:rPr>
        <w:t xml:space="preserve"> </w:t>
      </w:r>
      <w:r>
        <w:rPr>
          <w:color w:val="auto"/>
          <w:spacing w:val="-8"/>
        </w:rPr>
        <w:t>用、使用费的未分配部分等总体情况定期向社会公布，</w:t>
      </w:r>
      <w:r>
        <w:rPr>
          <w:color w:val="auto"/>
          <w:spacing w:val="43"/>
        </w:rPr>
        <w:t xml:space="preserve"> </w:t>
      </w:r>
      <w:r>
        <w:rPr>
          <w:color w:val="auto"/>
          <w:spacing w:val="-8"/>
        </w:rPr>
        <w:t>同</w:t>
      </w:r>
      <w:r>
        <w:rPr>
          <w:color w:val="auto"/>
          <w:spacing w:val="-9"/>
        </w:rPr>
        <w:t>时建立权利信息査询系统，</w:t>
      </w:r>
      <w:r>
        <w:rPr>
          <w:color w:val="auto"/>
          <w:spacing w:val="22"/>
        </w:rPr>
        <w:t xml:space="preserve"> </w:t>
      </w:r>
      <w:r>
        <w:rPr>
          <w:color w:val="auto"/>
          <w:spacing w:val="-9"/>
        </w:rPr>
        <w:t>供权利人和使用者</w:t>
      </w:r>
    </w:p>
    <w:p w14:paraId="63189514">
      <w:pPr>
        <w:pStyle w:val="2"/>
        <w:spacing w:line="221" w:lineRule="auto"/>
        <w:ind w:left="151"/>
        <w:rPr>
          <w:color w:val="auto"/>
        </w:rPr>
      </w:pPr>
      <w:r>
        <w:rPr>
          <w:color w:val="auto"/>
          <w:spacing w:val="-9"/>
        </w:rPr>
        <w:t>查询。</w:t>
      </w:r>
    </w:p>
    <w:p w14:paraId="13F6E007">
      <w:pPr>
        <w:pStyle w:val="2"/>
        <w:spacing w:before="123" w:line="220" w:lineRule="auto"/>
        <w:ind w:left="574"/>
        <w:rPr>
          <w:color w:val="auto"/>
        </w:rPr>
      </w:pPr>
      <w:r>
        <w:rPr>
          <w:color w:val="auto"/>
          <w:spacing w:val="-3"/>
        </w:rPr>
        <w:t>（三）著作权的保护</w:t>
      </w:r>
    </w:p>
    <w:p w14:paraId="6F639E40">
      <w:pPr>
        <w:pStyle w:val="2"/>
        <w:spacing w:before="123" w:line="376" w:lineRule="exact"/>
        <w:ind w:left="572"/>
        <w:rPr>
          <w:color w:val="auto"/>
        </w:rPr>
      </w:pPr>
      <w:r>
        <w:rPr>
          <w:color w:val="auto"/>
          <w:spacing w:val="-9"/>
          <w:position w:val="12"/>
        </w:rPr>
        <w:t>著作权人享有的著作权受法律保护，</w:t>
      </w:r>
      <w:r>
        <w:rPr>
          <w:color w:val="auto"/>
          <w:spacing w:val="40"/>
          <w:position w:val="12"/>
        </w:rPr>
        <w:t xml:space="preserve"> </w:t>
      </w:r>
      <w:r>
        <w:rPr>
          <w:color w:val="auto"/>
          <w:spacing w:val="-9"/>
          <w:position w:val="12"/>
        </w:rPr>
        <w:t>侵犯著作权的行为应当依法承担相应的法律责任。不过，</w:t>
      </w:r>
      <w:r>
        <w:rPr>
          <w:color w:val="auto"/>
          <w:spacing w:val="46"/>
          <w:position w:val="12"/>
        </w:rPr>
        <w:t xml:space="preserve"> </w:t>
      </w:r>
      <w:r>
        <w:rPr>
          <w:color w:val="auto"/>
          <w:spacing w:val="-9"/>
          <w:position w:val="12"/>
        </w:rPr>
        <w:t>以下</w:t>
      </w:r>
    </w:p>
    <w:p w14:paraId="5B34D8B6">
      <w:pPr>
        <w:pStyle w:val="2"/>
        <w:spacing w:line="220" w:lineRule="auto"/>
        <w:ind w:left="150"/>
        <w:rPr>
          <w:color w:val="auto"/>
        </w:rPr>
      </w:pPr>
      <w:r>
        <w:rPr>
          <w:color w:val="auto"/>
          <w:spacing w:val="-7"/>
        </w:rPr>
        <w:t>两种情形不构成对著作权的侵犯：</w:t>
      </w:r>
      <w:r>
        <w:rPr>
          <w:color w:val="auto"/>
          <w:spacing w:val="74"/>
        </w:rPr>
        <w:t xml:space="preserve"> </w:t>
      </w:r>
      <w:r>
        <w:rPr>
          <w:color w:val="auto"/>
          <w:spacing w:val="-7"/>
        </w:rPr>
        <w:t>一</w:t>
      </w:r>
      <w:r>
        <w:rPr>
          <w:color w:val="auto"/>
          <w:spacing w:val="-6"/>
        </w:rPr>
        <w:t>是合理使用，二是  法定许可</w:t>
      </w:r>
      <w:r>
        <w:rPr>
          <w:color w:val="auto"/>
          <w:spacing w:val="-7"/>
        </w:rPr>
        <w:t>。</w:t>
      </w:r>
    </w:p>
    <w:p w14:paraId="59A0CD87">
      <w:pPr>
        <w:pStyle w:val="2"/>
        <w:spacing w:before="124" w:line="218" w:lineRule="auto"/>
        <w:ind w:left="568"/>
        <w:rPr>
          <w:color w:val="auto"/>
        </w:rPr>
      </w:pPr>
      <w:r>
        <w:rPr>
          <w:color w:val="auto"/>
          <w:spacing w:val="-2"/>
        </w:rPr>
        <w:t>①合理使用</w:t>
      </w:r>
    </w:p>
    <w:p w14:paraId="0DE0451B">
      <w:pPr>
        <w:pStyle w:val="2"/>
        <w:spacing w:before="127" w:line="220" w:lineRule="auto"/>
        <w:ind w:left="569"/>
        <w:rPr>
          <w:color w:val="auto"/>
        </w:rPr>
      </w:pPr>
      <w:r>
        <w:rPr>
          <w:color w:val="auto"/>
          <w:spacing w:val="-1"/>
        </w:rPr>
        <w:t>所谓合理使用，指他人依法律的明文规定，可以不经著作权人许可而无偿地使用其作品的行为。</w:t>
      </w:r>
    </w:p>
    <w:p w14:paraId="7AC03B58">
      <w:pPr>
        <w:pStyle w:val="2"/>
        <w:spacing w:before="125" w:line="220" w:lineRule="auto"/>
        <w:ind w:left="583"/>
        <w:rPr>
          <w:color w:val="auto"/>
        </w:rPr>
      </w:pPr>
      <w:r>
        <w:rPr>
          <w:color w:val="auto"/>
          <w:spacing w:val="-5"/>
        </w:rPr>
        <w:t>i</w:t>
      </w:r>
      <w:r>
        <w:rPr>
          <w:color w:val="auto"/>
          <w:spacing w:val="-36"/>
        </w:rPr>
        <w:t xml:space="preserve"> </w:t>
      </w:r>
      <w:r>
        <w:rPr>
          <w:color w:val="auto"/>
          <w:spacing w:val="-5"/>
        </w:rPr>
        <w:t>指明作者姓名或者名称、作品名称；</w:t>
      </w:r>
    </w:p>
    <w:p w14:paraId="09667A2A">
      <w:pPr>
        <w:pStyle w:val="2"/>
        <w:spacing w:before="124" w:line="221" w:lineRule="auto"/>
        <w:ind w:left="607"/>
        <w:rPr>
          <w:color w:val="auto"/>
        </w:rPr>
      </w:pPr>
      <w:r>
        <w:rPr>
          <w:color w:val="auto"/>
          <w:spacing w:val="-7"/>
        </w:rPr>
        <w:t>ⅱ只能针对已经发表的作品；</w:t>
      </w:r>
    </w:p>
    <w:p w14:paraId="6297159C">
      <w:pPr>
        <w:pStyle w:val="2"/>
        <w:spacing w:before="124" w:line="329" w:lineRule="auto"/>
        <w:ind w:left="583"/>
        <w:rPr>
          <w:color w:val="auto"/>
        </w:rPr>
      </w:pPr>
      <w:r>
        <w:rPr>
          <w:color w:val="auto"/>
          <w:spacing w:val="-6"/>
        </w:rPr>
        <w:t>ⅲ不得与作品的正常使用相冲突， 不得不合理地损害著作权人的合法权益。《著作权法》列举了合</w:t>
      </w:r>
    </w:p>
    <w:p w14:paraId="01FE4409">
      <w:pPr>
        <w:pStyle w:val="2"/>
        <w:spacing w:before="1" w:line="220" w:lineRule="auto"/>
        <w:ind w:left="151"/>
        <w:rPr>
          <w:color w:val="auto"/>
        </w:rPr>
      </w:pPr>
      <w:r>
        <w:rPr>
          <w:color w:val="auto"/>
          <w:spacing w:val="-4"/>
        </w:rPr>
        <w:t>理使用的十三种情形。</w:t>
      </w:r>
    </w:p>
    <w:p w14:paraId="79B221C6">
      <w:pPr>
        <w:pStyle w:val="2"/>
        <w:spacing w:before="125" w:line="218" w:lineRule="auto"/>
        <w:ind w:left="567"/>
        <w:rPr>
          <w:color w:val="auto"/>
        </w:rPr>
      </w:pPr>
      <w:r>
        <w:rPr>
          <w:color w:val="auto"/>
          <w:spacing w:val="-2"/>
        </w:rPr>
        <w:t>②法定许可</w:t>
      </w:r>
    </w:p>
    <w:p w14:paraId="2EAE141C">
      <w:pPr>
        <w:pStyle w:val="2"/>
        <w:spacing w:before="125" w:line="329" w:lineRule="auto"/>
        <w:ind w:left="568"/>
        <w:rPr>
          <w:color w:val="auto"/>
          <w:spacing w:val="-6"/>
        </w:rPr>
      </w:pPr>
      <w:r>
        <w:rPr>
          <w:color w:val="auto"/>
          <w:spacing w:val="-7"/>
        </w:rPr>
        <w:t>法定许可指在法律明文规定的范围内， 行为人可以不经著作权人许可使用作品， 但应向著作</w:t>
      </w:r>
      <w:r>
        <w:rPr>
          <w:color w:val="auto"/>
          <w:spacing w:val="-6"/>
        </w:rPr>
        <w:t>权人支</w:t>
      </w:r>
    </w:p>
    <w:p w14:paraId="43407129">
      <w:pPr>
        <w:pStyle w:val="2"/>
        <w:spacing w:before="125" w:line="329" w:lineRule="auto"/>
        <w:ind w:left="568"/>
        <w:rPr>
          <w:color w:val="auto"/>
          <w:spacing w:val="-6"/>
        </w:rPr>
      </w:pPr>
      <w:r>
        <w:rPr>
          <w:color w:val="auto"/>
          <w:spacing w:val="-6"/>
        </w:rPr>
        <w:t>付报酬。法定许可主要涉及著作权人与作品传播者之间的关系。</w:t>
      </w:r>
    </w:p>
    <w:p w14:paraId="29D48857">
      <w:pPr>
        <w:pStyle w:val="2"/>
        <w:spacing w:before="125" w:line="330" w:lineRule="auto"/>
        <w:ind w:left="152" w:right="312" w:firstLine="419"/>
        <w:rPr>
          <w:color w:val="auto"/>
        </w:rPr>
      </w:pPr>
      <w:r>
        <w:rPr>
          <w:color w:val="auto"/>
          <w:spacing w:val="-7"/>
        </w:rPr>
        <w:t>著作权的法定许可一般需要符合以下三个条件</w:t>
      </w:r>
      <w:r>
        <w:rPr>
          <w:color w:val="auto"/>
          <w:spacing w:val="-22"/>
        </w:rPr>
        <w:t>：</w:t>
      </w:r>
      <w:r>
        <w:rPr>
          <w:color w:val="auto"/>
          <w:spacing w:val="20"/>
        </w:rPr>
        <w:t xml:space="preserve"> </w:t>
      </w:r>
      <w:r>
        <w:rPr>
          <w:color w:val="auto"/>
          <w:spacing w:val="-22"/>
        </w:rPr>
        <w:t>（</w:t>
      </w:r>
      <w:r>
        <w:rPr>
          <w:color w:val="auto"/>
          <w:spacing w:val="-7"/>
        </w:rPr>
        <w:t>1）使用的作品是已经发表的作品</w:t>
      </w:r>
      <w:r>
        <w:rPr>
          <w:color w:val="auto"/>
          <w:spacing w:val="-22"/>
        </w:rPr>
        <w:t>；</w:t>
      </w:r>
      <w:r>
        <w:rPr>
          <w:color w:val="auto"/>
          <w:spacing w:val="17"/>
        </w:rPr>
        <w:t xml:space="preserve"> </w:t>
      </w:r>
      <w:r>
        <w:rPr>
          <w:color w:val="auto"/>
          <w:spacing w:val="-22"/>
        </w:rPr>
        <w:t>（</w:t>
      </w:r>
      <w:r>
        <w:rPr>
          <w:color w:val="auto"/>
          <w:spacing w:val="-7"/>
        </w:rPr>
        <w:t>2）使</w:t>
      </w:r>
      <w:r>
        <w:rPr>
          <w:color w:val="auto"/>
          <w:spacing w:val="-8"/>
        </w:rPr>
        <w:t>用必</w:t>
      </w:r>
      <w:r>
        <w:rPr>
          <w:color w:val="auto"/>
        </w:rPr>
        <w:t xml:space="preserve"> 须符合《著作权法》规定的具体情形</w:t>
      </w:r>
      <w:r>
        <w:rPr>
          <w:color w:val="auto"/>
          <w:spacing w:val="-2"/>
        </w:rPr>
        <w:t>；（</w:t>
      </w:r>
      <w:r>
        <w:rPr>
          <w:color w:val="auto"/>
        </w:rPr>
        <w:t>3）使用的过程中不得侵犯著</w:t>
      </w:r>
      <w:r>
        <w:rPr>
          <w:color w:val="auto"/>
          <w:spacing w:val="-1"/>
        </w:rPr>
        <w:t>作权人的精神权利，不得影响作</w:t>
      </w:r>
    </w:p>
    <w:p w14:paraId="40501BDC">
      <w:pPr>
        <w:pStyle w:val="2"/>
        <w:spacing w:before="1" w:line="220" w:lineRule="auto"/>
        <w:ind w:left="166"/>
        <w:rPr>
          <w:color w:val="auto"/>
        </w:rPr>
      </w:pPr>
      <w:r>
        <w:rPr>
          <w:color w:val="auto"/>
          <w:spacing w:val="-4"/>
        </w:rPr>
        <w:t>品的正常使用。</w:t>
      </w:r>
    </w:p>
    <w:p w14:paraId="4680E4D0">
      <w:pPr>
        <w:pStyle w:val="2"/>
        <w:spacing w:before="125" w:line="329" w:lineRule="auto"/>
        <w:ind w:left="568"/>
        <w:rPr>
          <w:color w:val="auto"/>
          <w:spacing w:val="-6"/>
        </w:rPr>
      </w:pPr>
      <w:r>
        <w:rPr>
          <w:color w:val="auto"/>
        </w:rPr>
        <w:t>根据《著作权法》的规定，符合一定条件</w:t>
      </w:r>
      <w:r>
        <w:rPr>
          <w:color w:val="auto"/>
          <w:spacing w:val="-6"/>
        </w:rPr>
        <w:t>的编写出版教科书、报刊转载和摘编、录音制作以及播</w:t>
      </w:r>
    </w:p>
    <w:p w14:paraId="28B398F0">
      <w:pPr>
        <w:pStyle w:val="2"/>
        <w:spacing w:before="125" w:line="329" w:lineRule="auto"/>
        <w:ind w:left="568"/>
        <w:rPr>
          <w:color w:val="auto"/>
          <w:spacing w:val="-6"/>
        </w:rPr>
      </w:pPr>
      <w:r>
        <w:rPr>
          <w:color w:val="auto"/>
          <w:spacing w:val="-6"/>
        </w:rPr>
        <w:t>放广播电视节目等情形可能涉及法定许可。</w:t>
      </w:r>
    </w:p>
    <w:p w14:paraId="4EE3A9A7">
      <w:pPr>
        <w:pStyle w:val="2"/>
        <w:spacing w:before="181" w:line="220" w:lineRule="auto"/>
        <w:ind w:left="572"/>
        <w:outlineLvl w:val="0"/>
        <w:rPr>
          <w:color w:val="auto"/>
        </w:rPr>
      </w:pPr>
      <w:r>
        <w:rPr>
          <w:color w:val="auto"/>
          <w:spacing w:val="-1"/>
          <w14:textOutline w14:w="3810" w14:cap="flat" w14:cmpd="sng">
            <w14:solidFill>
              <w14:srgbClr w14:val="000000"/>
            </w14:solidFill>
            <w14:prstDash w14:val="solid"/>
            <w14:miter w14:val="0"/>
          </w14:textOutline>
        </w:rPr>
        <w:t>二、著作权资产</w:t>
      </w:r>
    </w:p>
    <w:p w14:paraId="4BCB956D">
      <w:pPr>
        <w:pStyle w:val="2"/>
        <w:spacing w:before="126" w:line="220" w:lineRule="auto"/>
        <w:ind w:left="584"/>
        <w:rPr>
          <w:color w:val="auto"/>
        </w:rPr>
      </w:pPr>
      <w:r>
        <w:rPr>
          <w:color w:val="auto"/>
          <w:spacing w:val="-3"/>
        </w:rPr>
        <w:t>1.著作权资产的概念</w:t>
      </w:r>
    </w:p>
    <w:p w14:paraId="58E82E33">
      <w:pPr>
        <w:pStyle w:val="2"/>
        <w:spacing w:before="124" w:line="375" w:lineRule="exact"/>
        <w:ind w:left="568"/>
        <w:rPr>
          <w:color w:val="auto"/>
        </w:rPr>
      </w:pPr>
      <w:r>
        <w:rPr>
          <w:color w:val="auto"/>
          <w:spacing w:val="-4"/>
          <w:position w:val="12"/>
        </w:rPr>
        <w:t>①著作权资产是指权利人所拥有或者控制的，</w:t>
      </w:r>
      <w:r>
        <w:rPr>
          <w:color w:val="auto"/>
          <w:spacing w:val="-32"/>
          <w:position w:val="12"/>
        </w:rPr>
        <w:t xml:space="preserve"> </w:t>
      </w:r>
      <w:r>
        <w:rPr>
          <w:color w:val="auto"/>
          <w:spacing w:val="-4"/>
          <w:position w:val="12"/>
        </w:rPr>
        <w:t>能够持续发挥作用并且预期能带来经济利益的</w:t>
      </w:r>
      <w:r>
        <w:rPr>
          <w:color w:val="auto"/>
          <w:spacing w:val="-5"/>
          <w:position w:val="12"/>
        </w:rPr>
        <w:t>著作权</w:t>
      </w:r>
    </w:p>
    <w:p w14:paraId="0F714302">
      <w:pPr>
        <w:pStyle w:val="2"/>
        <w:spacing w:before="1" w:line="220" w:lineRule="auto"/>
        <w:ind w:left="166"/>
        <w:rPr>
          <w:color w:val="auto"/>
        </w:rPr>
      </w:pPr>
      <w:r>
        <w:rPr>
          <w:color w:val="auto"/>
          <w:spacing w:val="-3"/>
        </w:rPr>
        <w:t>的财产权益和与著作权有关权利的财产权益。</w:t>
      </w:r>
    </w:p>
    <w:p w14:paraId="7A94F420">
      <w:pPr>
        <w:pStyle w:val="2"/>
        <w:spacing w:before="123" w:line="330" w:lineRule="auto"/>
        <w:ind w:left="166" w:right="295" w:firstLine="401"/>
        <w:rPr>
          <w:color w:val="auto"/>
        </w:rPr>
      </w:pPr>
      <w:r>
        <w:rPr>
          <w:color w:val="auto"/>
          <w:spacing w:val="-5"/>
        </w:rPr>
        <w:t>②评估专业人员还需要区分著作权资产与著作权载体之间的区别。例如， 一本图书是承载具体作品</w:t>
      </w:r>
      <w:r>
        <w:rPr>
          <w:color w:val="auto"/>
          <w:spacing w:val="13"/>
        </w:rPr>
        <w:t xml:space="preserve"> </w:t>
      </w:r>
      <w:r>
        <w:rPr>
          <w:color w:val="auto"/>
          <w:spacing w:val="-11"/>
        </w:rPr>
        <w:t>的纸质实物，</w:t>
      </w:r>
      <w:r>
        <w:rPr>
          <w:color w:val="auto"/>
          <w:spacing w:val="22"/>
        </w:rPr>
        <w:t xml:space="preserve"> </w:t>
      </w:r>
      <w:r>
        <w:rPr>
          <w:color w:val="auto"/>
          <w:spacing w:val="-11"/>
        </w:rPr>
        <w:t>通过购买只拥有该图书的实物资产，</w:t>
      </w:r>
      <w:r>
        <w:rPr>
          <w:color w:val="auto"/>
          <w:spacing w:val="27"/>
        </w:rPr>
        <w:t xml:space="preserve"> </w:t>
      </w:r>
      <w:r>
        <w:rPr>
          <w:color w:val="auto"/>
          <w:spacing w:val="-11"/>
        </w:rPr>
        <w:t>并不代表享有了书</w:t>
      </w:r>
      <w:r>
        <w:rPr>
          <w:color w:val="auto"/>
          <w:spacing w:val="-12"/>
        </w:rPr>
        <w:t>中作品的著作权及其资产，</w:t>
      </w:r>
      <w:r>
        <w:rPr>
          <w:color w:val="auto"/>
          <w:spacing w:val="25"/>
        </w:rPr>
        <w:t xml:space="preserve"> </w:t>
      </w:r>
      <w:r>
        <w:rPr>
          <w:color w:val="auto"/>
          <w:spacing w:val="-12"/>
        </w:rPr>
        <w:t>不是评</w:t>
      </w:r>
    </w:p>
    <w:p w14:paraId="61D5E4FA">
      <w:pPr>
        <w:pStyle w:val="2"/>
        <w:spacing w:before="1" w:line="218" w:lineRule="auto"/>
        <w:ind w:left="149"/>
        <w:rPr>
          <w:color w:val="auto"/>
        </w:rPr>
      </w:pPr>
      <w:r>
        <w:rPr>
          <w:color w:val="auto"/>
          <w:spacing w:val="-4"/>
        </w:rPr>
        <w:t>估中的著作权资产。</w:t>
      </w:r>
    </w:p>
    <w:p w14:paraId="2F1255F9">
      <w:pPr>
        <w:pStyle w:val="2"/>
        <w:spacing w:before="126" w:line="220" w:lineRule="auto"/>
        <w:ind w:left="571"/>
        <w:rPr>
          <w:color w:val="auto"/>
        </w:rPr>
      </w:pPr>
      <w:r>
        <w:rPr>
          <w:color w:val="auto"/>
          <w:spacing w:val="-2"/>
        </w:rPr>
        <w:t>2.著作权资产的特征</w:t>
      </w:r>
    </w:p>
    <w:p w14:paraId="321E7610">
      <w:pPr>
        <w:pStyle w:val="2"/>
        <w:spacing w:before="125" w:line="220" w:lineRule="auto"/>
        <w:ind w:left="574"/>
        <w:rPr>
          <w:color w:val="auto"/>
        </w:rPr>
      </w:pPr>
      <w:r>
        <w:rPr>
          <w:color w:val="auto"/>
          <w:spacing w:val="-4"/>
        </w:rPr>
        <w:t>（1）形式特征</w:t>
      </w:r>
    </w:p>
    <w:p w14:paraId="2156BCCB">
      <w:pPr>
        <w:pStyle w:val="2"/>
        <w:spacing w:before="124" w:line="218" w:lineRule="auto"/>
        <w:ind w:left="568"/>
        <w:rPr>
          <w:color w:val="auto"/>
        </w:rPr>
      </w:pPr>
      <w:r>
        <w:rPr>
          <w:color w:val="auto"/>
        </w:rPr>
        <w:t>①著作权资产与相关有形资产以及其他无</w:t>
      </w:r>
      <w:r>
        <w:rPr>
          <w:color w:val="auto"/>
          <w:spacing w:val="-6"/>
        </w:rPr>
        <w:t>形资产共同发挥作用。</w:t>
      </w:r>
    </w:p>
    <w:p w14:paraId="5F8F9C6A">
      <w:pPr>
        <w:pStyle w:val="2"/>
        <w:spacing w:before="126" w:line="220" w:lineRule="auto"/>
        <w:ind w:left="583"/>
        <w:rPr>
          <w:color w:val="auto"/>
        </w:rPr>
      </w:pPr>
      <w:r>
        <w:rPr>
          <w:color w:val="auto"/>
          <w:spacing w:val="-2"/>
        </w:rPr>
        <w:t>i</w:t>
      </w:r>
      <w:r>
        <w:rPr>
          <w:color w:val="auto"/>
          <w:spacing w:val="-42"/>
        </w:rPr>
        <w:t xml:space="preserve"> </w:t>
      </w:r>
      <w:r>
        <w:rPr>
          <w:color w:val="auto"/>
          <w:spacing w:val="-2"/>
        </w:rPr>
        <w:t>按照图纸“复制”建筑物，不但需要图纸著作权资产，还需</w:t>
      </w:r>
      <w:r>
        <w:rPr>
          <w:color w:val="auto"/>
          <w:spacing w:val="-3"/>
        </w:rPr>
        <w:t>要建筑设备、资金；</w:t>
      </w:r>
    </w:p>
    <w:p w14:paraId="1BEA819C">
      <w:pPr>
        <w:pStyle w:val="2"/>
        <w:spacing w:before="125" w:line="330" w:lineRule="auto"/>
        <w:ind w:left="148" w:right="295" w:firstLine="459"/>
        <w:rPr>
          <w:color w:val="auto"/>
        </w:rPr>
      </w:pPr>
      <w:r>
        <w:rPr>
          <w:color w:val="auto"/>
          <w:spacing w:val="-13"/>
        </w:rPr>
        <w:t>ⅱ同样的计算机软件著作权，</w:t>
      </w:r>
      <w:r>
        <w:rPr>
          <w:color w:val="auto"/>
          <w:spacing w:val="56"/>
        </w:rPr>
        <w:t xml:space="preserve"> </w:t>
      </w:r>
      <w:r>
        <w:rPr>
          <w:color w:val="auto"/>
          <w:spacing w:val="-13"/>
        </w:rPr>
        <w:t>由于编制软件的公司不同，</w:t>
      </w:r>
      <w:r>
        <w:rPr>
          <w:color w:val="auto"/>
          <w:spacing w:val="23"/>
        </w:rPr>
        <w:t xml:space="preserve"> </w:t>
      </w:r>
      <w:r>
        <w:rPr>
          <w:color w:val="auto"/>
          <w:spacing w:val="-13"/>
        </w:rPr>
        <w:t>这些公司拥有不同的商标，</w:t>
      </w:r>
      <w:r>
        <w:rPr>
          <w:color w:val="auto"/>
          <w:spacing w:val="23"/>
        </w:rPr>
        <w:t xml:space="preserve"> </w:t>
      </w:r>
      <w:r>
        <w:rPr>
          <w:color w:val="auto"/>
          <w:spacing w:val="-13"/>
        </w:rPr>
        <w:t>使得软件著作</w:t>
      </w:r>
      <w:r>
        <w:rPr>
          <w:color w:val="auto"/>
        </w:rPr>
        <w:t xml:space="preserve"> </w:t>
      </w:r>
      <w:r>
        <w:rPr>
          <w:color w:val="auto"/>
          <w:spacing w:val="-7"/>
        </w:rPr>
        <w:t>权产品的销售价格存在较大差异， 这个差异可能就有部分是由商标无形资产所产生的， 商标权与软件著</w:t>
      </w:r>
    </w:p>
    <w:p w14:paraId="186BE733">
      <w:pPr>
        <w:pStyle w:val="2"/>
        <w:spacing w:line="220" w:lineRule="auto"/>
        <w:ind w:left="149"/>
        <w:rPr>
          <w:color w:val="auto"/>
        </w:rPr>
      </w:pPr>
      <w:r>
        <w:rPr>
          <w:color w:val="auto"/>
          <w:spacing w:val="-3"/>
        </w:rPr>
        <w:t>作权结合在一起。</w:t>
      </w:r>
    </w:p>
    <w:p w14:paraId="534F6106">
      <w:pPr>
        <w:pStyle w:val="2"/>
        <w:spacing w:before="124" w:line="218" w:lineRule="auto"/>
        <w:ind w:left="567"/>
        <w:rPr>
          <w:color w:val="auto"/>
        </w:rPr>
      </w:pPr>
      <w:r>
        <w:rPr>
          <w:color w:val="auto"/>
          <w:spacing w:val="-1"/>
        </w:rPr>
        <w:t>②著作权资产与演绎作品共同发挥作用</w:t>
      </w:r>
    </w:p>
    <w:p w14:paraId="72DE9070">
      <w:pPr>
        <w:pStyle w:val="2"/>
        <w:spacing w:before="127" w:line="220" w:lineRule="auto"/>
        <w:ind w:left="574"/>
        <w:rPr>
          <w:color w:val="auto"/>
        </w:rPr>
      </w:pPr>
      <w:r>
        <w:rPr>
          <w:color w:val="auto"/>
          <w:spacing w:val="-1"/>
        </w:rPr>
        <w:t>原创作品－－－－－－改编－－－－－－－－拍成电视剧</w:t>
      </w:r>
    </w:p>
    <w:p w14:paraId="11865D94">
      <w:pPr>
        <w:pStyle w:val="2"/>
        <w:spacing w:before="243" w:line="329" w:lineRule="auto"/>
        <w:ind w:left="155" w:right="295" w:firstLine="452"/>
        <w:rPr>
          <w:color w:val="auto"/>
        </w:rPr>
      </w:pPr>
      <w:r>
        <w:rPr>
          <w:color w:val="auto"/>
          <w:spacing w:val="-2"/>
        </w:rPr>
        <w:t>i</w:t>
      </w:r>
      <w:r>
        <w:rPr>
          <w:color w:val="auto"/>
          <w:spacing w:val="-42"/>
        </w:rPr>
        <w:t xml:space="preserve"> </w:t>
      </w:r>
      <w:r>
        <w:rPr>
          <w:color w:val="auto"/>
          <w:spacing w:val="-2"/>
        </w:rPr>
        <w:t>演绎作品著作权人行使自身作品著作权时，不能侵犯原创作品的著</w:t>
      </w:r>
      <w:r>
        <w:rPr>
          <w:color w:val="auto"/>
          <w:spacing w:val="-3"/>
        </w:rPr>
        <w:t>作权人的权益；</w:t>
      </w:r>
      <w:r>
        <w:rPr>
          <w:color w:val="auto"/>
          <w:spacing w:val="-7"/>
        </w:rPr>
        <w:t>ⅱ演绎作品著作权人通常需要通过以下两种方式将收益进行分割： 一是采</w:t>
      </w:r>
      <w:r>
        <w:rPr>
          <w:color w:val="auto"/>
          <w:spacing w:val="-6"/>
        </w:rPr>
        <w:t>用一次性支付的方式， 一 次支付原创作品著作权人“购买”许可将原创作品改编为电视剧的权利； 二是以收益分账的方式将电视</w:t>
      </w:r>
    </w:p>
    <w:p w14:paraId="6F255B45">
      <w:pPr>
        <w:pStyle w:val="2"/>
        <w:spacing w:line="220" w:lineRule="auto"/>
        <w:ind w:left="150"/>
        <w:rPr>
          <w:color w:val="auto"/>
        </w:rPr>
      </w:pPr>
      <w:r>
        <w:rPr>
          <w:color w:val="auto"/>
          <w:spacing w:val="-1"/>
        </w:rPr>
        <w:t>剧播放的收益在原创作品著作权人与演绎作品著作权</w:t>
      </w:r>
      <w:r>
        <w:rPr>
          <w:color w:val="auto"/>
          <w:spacing w:val="-2"/>
        </w:rPr>
        <w:t>人之间进行分割。</w:t>
      </w:r>
    </w:p>
    <w:p w14:paraId="6F542F27">
      <w:pPr>
        <w:pStyle w:val="2"/>
        <w:spacing w:before="125" w:line="218" w:lineRule="auto"/>
        <w:ind w:left="567"/>
        <w:rPr>
          <w:color w:val="auto"/>
        </w:rPr>
      </w:pPr>
      <w:r>
        <w:rPr>
          <w:color w:val="auto"/>
          <w:spacing w:val="-1"/>
        </w:rPr>
        <w:t>③著作权和与著作权有关的权利共同发挥作用</w:t>
      </w:r>
    </w:p>
    <w:p w14:paraId="34A119B0">
      <w:pPr>
        <w:pStyle w:val="2"/>
        <w:spacing w:before="125" w:line="220" w:lineRule="auto"/>
        <w:ind w:left="570"/>
        <w:rPr>
          <w:color w:val="auto"/>
        </w:rPr>
      </w:pPr>
      <w:r>
        <w:rPr>
          <w:color w:val="auto"/>
          <w:spacing w:val="-1"/>
        </w:rPr>
        <w:t>作品写作</w:t>
      </w:r>
      <w:r>
        <w:rPr>
          <w:color w:val="auto"/>
        </w:rPr>
        <w:t>－－－－－－－</w:t>
      </w:r>
      <w:r>
        <w:rPr>
          <w:color w:val="auto"/>
          <w:spacing w:val="-1"/>
        </w:rPr>
        <w:t>出版图书</w:t>
      </w:r>
      <w:r>
        <w:rPr>
          <w:color w:val="auto"/>
        </w:rPr>
        <w:t>－－－－－－</w:t>
      </w:r>
      <w:r>
        <w:rPr>
          <w:color w:val="auto"/>
          <w:spacing w:val="-1"/>
        </w:rPr>
        <w:t>发行畅销</w:t>
      </w:r>
    </w:p>
    <w:p w14:paraId="37B29889">
      <w:pPr>
        <w:pStyle w:val="2"/>
        <w:spacing w:before="125" w:line="220" w:lineRule="auto"/>
        <w:ind w:left="589"/>
        <w:rPr>
          <w:color w:val="auto"/>
        </w:rPr>
      </w:pPr>
      <w:r>
        <w:rPr>
          <w:color w:val="auto"/>
          <w:spacing w:val="-2"/>
        </w:rPr>
        <w:t>图书销售所产生的收益既有作者著作权的贡献，也有出版社版式设计的贡献。</w:t>
      </w:r>
    </w:p>
    <w:p w14:paraId="40F895E9">
      <w:pPr>
        <w:pStyle w:val="2"/>
        <w:spacing w:before="124" w:line="220" w:lineRule="auto"/>
        <w:ind w:left="569"/>
        <w:rPr>
          <w:color w:val="auto"/>
        </w:rPr>
      </w:pPr>
      <w:r>
        <w:rPr>
          <w:color w:val="auto"/>
          <w:spacing w:val="-2"/>
        </w:rPr>
        <w:t>话剧剧本</w:t>
      </w:r>
      <w:r>
        <w:rPr>
          <w:color w:val="auto"/>
        </w:rPr>
        <w:t>－－－－－－－－－－－</w:t>
      </w:r>
      <w:r>
        <w:rPr>
          <w:color w:val="auto"/>
          <w:spacing w:val="-2"/>
        </w:rPr>
        <w:t>演员</w:t>
      </w:r>
      <w:r>
        <w:rPr>
          <w:color w:val="auto"/>
        </w:rPr>
        <w:t>－－－－－－</w:t>
      </w:r>
      <w:r>
        <w:rPr>
          <w:color w:val="auto"/>
          <w:spacing w:val="-2"/>
        </w:rPr>
        <w:t>公众</w:t>
      </w:r>
    </w:p>
    <w:p w14:paraId="05B27E6D">
      <w:pPr>
        <w:pStyle w:val="2"/>
        <w:spacing w:before="126" w:line="374" w:lineRule="exact"/>
        <w:ind w:left="568"/>
        <w:rPr>
          <w:color w:val="auto"/>
        </w:rPr>
      </w:pPr>
      <w:r>
        <w:rPr>
          <w:color w:val="auto"/>
          <w:spacing w:val="-11"/>
          <w:position w:val="12"/>
        </w:rPr>
        <w:t>对于这台话剧演出收益来说，</w:t>
      </w:r>
      <w:r>
        <w:rPr>
          <w:color w:val="auto"/>
          <w:spacing w:val="26"/>
          <w:position w:val="12"/>
        </w:rPr>
        <w:t xml:space="preserve"> </w:t>
      </w:r>
      <w:r>
        <w:rPr>
          <w:color w:val="auto"/>
          <w:spacing w:val="-11"/>
          <w:position w:val="12"/>
        </w:rPr>
        <w:t>不但有剧本作品著作权的贡献，</w:t>
      </w:r>
      <w:r>
        <w:rPr>
          <w:color w:val="auto"/>
          <w:spacing w:val="21"/>
          <w:position w:val="12"/>
        </w:rPr>
        <w:t xml:space="preserve"> </w:t>
      </w:r>
      <w:r>
        <w:rPr>
          <w:color w:val="auto"/>
          <w:spacing w:val="-11"/>
          <w:position w:val="12"/>
        </w:rPr>
        <w:t>还包括</w:t>
      </w:r>
      <w:r>
        <w:rPr>
          <w:color w:val="auto"/>
          <w:spacing w:val="-12"/>
          <w:position w:val="12"/>
        </w:rPr>
        <w:t>演员的贡献，</w:t>
      </w:r>
      <w:r>
        <w:rPr>
          <w:color w:val="auto"/>
          <w:spacing w:val="23"/>
          <w:position w:val="12"/>
        </w:rPr>
        <w:t xml:space="preserve"> </w:t>
      </w:r>
      <w:r>
        <w:rPr>
          <w:color w:val="auto"/>
          <w:spacing w:val="-12"/>
          <w:position w:val="12"/>
        </w:rPr>
        <w:t>演员享有的权利</w:t>
      </w:r>
    </w:p>
    <w:p w14:paraId="62071F36">
      <w:pPr>
        <w:pStyle w:val="2"/>
        <w:spacing w:before="1" w:line="220" w:lineRule="auto"/>
        <w:ind w:left="152"/>
        <w:rPr>
          <w:color w:val="auto"/>
        </w:rPr>
      </w:pPr>
      <w:r>
        <w:rPr>
          <w:color w:val="auto"/>
          <w:spacing w:val="-3"/>
        </w:rPr>
        <w:t>是属于与著作权有关的权利范畴的。</w:t>
      </w:r>
    </w:p>
    <w:p w14:paraId="3FD0207D">
      <w:pPr>
        <w:pStyle w:val="2"/>
        <w:spacing w:before="124" w:line="220" w:lineRule="auto"/>
        <w:ind w:left="574"/>
        <w:rPr>
          <w:color w:val="auto"/>
        </w:rPr>
      </w:pPr>
      <w:r>
        <w:rPr>
          <w:color w:val="auto"/>
          <w:spacing w:val="-4"/>
        </w:rPr>
        <w:t>（2）法律特征</w:t>
      </w:r>
    </w:p>
    <w:p w14:paraId="13175A6A">
      <w:pPr>
        <w:pStyle w:val="2"/>
        <w:spacing w:before="125" w:line="218" w:lineRule="auto"/>
        <w:ind w:left="568"/>
        <w:rPr>
          <w:color w:val="auto"/>
        </w:rPr>
      </w:pPr>
      <w:r>
        <w:rPr>
          <w:color w:val="auto"/>
          <w:spacing w:val="-1"/>
        </w:rPr>
        <w:t>①著作权资产的时效性</w:t>
      </w:r>
    </w:p>
    <w:p w14:paraId="2E5313A3">
      <w:pPr>
        <w:pStyle w:val="2"/>
        <w:spacing w:before="126" w:line="221" w:lineRule="auto"/>
        <w:ind w:left="583"/>
        <w:rPr>
          <w:color w:val="auto"/>
        </w:rPr>
      </w:pPr>
      <w:r>
        <w:rPr>
          <w:color w:val="auto"/>
          <w:spacing w:val="-8"/>
        </w:rPr>
        <w:t>i</w:t>
      </w:r>
      <w:r>
        <w:rPr>
          <w:color w:val="auto"/>
          <w:spacing w:val="-35"/>
        </w:rPr>
        <w:t xml:space="preserve"> </w:t>
      </w:r>
      <w:r>
        <w:rPr>
          <w:color w:val="auto"/>
          <w:spacing w:val="-8"/>
        </w:rPr>
        <w:t>公民作品</w:t>
      </w:r>
    </w:p>
    <w:p w14:paraId="7B35A9B4">
      <w:pPr>
        <w:pStyle w:val="2"/>
        <w:spacing w:before="125" w:line="329" w:lineRule="auto"/>
        <w:ind w:left="568"/>
        <w:rPr>
          <w:color w:val="auto"/>
          <w:spacing w:val="-6"/>
        </w:rPr>
      </w:pPr>
      <w:r>
        <w:rPr>
          <w:color w:val="auto"/>
          <w:spacing w:val="-1"/>
        </w:rPr>
        <w:t>著作权财产权以及应当由著作权人享有的其他</w:t>
      </w:r>
      <w:r>
        <w:rPr>
          <w:color w:val="auto"/>
          <w:spacing w:val="-6"/>
        </w:rPr>
        <w:t>权利保护期为 50 年，截止于作者死亡后第 50 年的</w:t>
      </w:r>
    </w:p>
    <w:p w14:paraId="09F46F21">
      <w:pPr>
        <w:pStyle w:val="2"/>
        <w:spacing w:before="125" w:line="329" w:lineRule="auto"/>
        <w:ind w:left="568"/>
        <w:rPr>
          <w:color w:val="auto"/>
          <w:spacing w:val="-6"/>
        </w:rPr>
      </w:pPr>
      <w:r>
        <w:rPr>
          <w:color w:val="auto"/>
          <w:spacing w:val="-6"/>
        </w:rPr>
        <w:t>12 月 31 日； 合作作品截止于最后死亡的作者死亡后第 50 年的 12 月 31 日。</w:t>
      </w:r>
    </w:p>
    <w:p w14:paraId="0EE0ACC7">
      <w:pPr>
        <w:pStyle w:val="2"/>
        <w:spacing w:before="125" w:line="329" w:lineRule="auto"/>
        <w:ind w:left="568"/>
        <w:rPr>
          <w:color w:val="auto"/>
          <w:spacing w:val="-6"/>
        </w:rPr>
      </w:pPr>
      <w:r>
        <w:rPr>
          <w:color w:val="auto"/>
          <w:spacing w:val="-6"/>
        </w:rPr>
        <w:t>ii 职务作品：发表权的保护期为 50 年，截止于该作品创作完成后第 50 年的 12 月 31 日； 所有的 著作权财产权以及应当由著作权人享有的其他权利的保护期为 50 年，截止于作品首次发表后第 50 年的12 月 31 日， 但作品自创作完成后 50 年内未发表的，法律将不再保护。</w:t>
      </w:r>
    </w:p>
    <w:p w14:paraId="66679348">
      <w:pPr>
        <w:pStyle w:val="2"/>
        <w:spacing w:before="125" w:line="329" w:lineRule="auto"/>
        <w:ind w:left="568"/>
        <w:rPr>
          <w:color w:val="auto"/>
        </w:rPr>
      </w:pPr>
      <w:r>
        <w:rPr>
          <w:color w:val="auto"/>
          <w:spacing w:val="-6"/>
        </w:rPr>
        <w:t>iii 视听作品： 其发表权的保护期为 50 年，截止于作</w:t>
      </w:r>
      <w:r>
        <w:rPr>
          <w:color w:val="auto"/>
          <w:spacing w:val="-7"/>
        </w:rPr>
        <w:t>品创作完成后第</w:t>
      </w:r>
      <w:r>
        <w:rPr>
          <w:color w:val="auto"/>
          <w:spacing w:val="-39"/>
        </w:rPr>
        <w:t xml:space="preserve"> </w:t>
      </w:r>
      <w:r>
        <w:rPr>
          <w:color w:val="auto"/>
          <w:spacing w:val="-7"/>
        </w:rPr>
        <w:t>50</w:t>
      </w:r>
      <w:r>
        <w:rPr>
          <w:color w:val="auto"/>
          <w:spacing w:val="-43"/>
        </w:rPr>
        <w:t xml:space="preserve"> </w:t>
      </w:r>
      <w:r>
        <w:rPr>
          <w:color w:val="auto"/>
          <w:spacing w:val="-7"/>
        </w:rPr>
        <w:t>年的</w:t>
      </w:r>
      <w:r>
        <w:rPr>
          <w:color w:val="auto"/>
          <w:spacing w:val="-29"/>
        </w:rPr>
        <w:t xml:space="preserve"> </w:t>
      </w:r>
      <w:r>
        <w:rPr>
          <w:color w:val="auto"/>
          <w:spacing w:val="-7"/>
        </w:rPr>
        <w:t>12</w:t>
      </w:r>
      <w:r>
        <w:rPr>
          <w:color w:val="auto"/>
          <w:spacing w:val="-38"/>
        </w:rPr>
        <w:t xml:space="preserve"> </w:t>
      </w:r>
      <w:r>
        <w:rPr>
          <w:color w:val="auto"/>
          <w:spacing w:val="-7"/>
        </w:rPr>
        <w:t>月</w:t>
      </w:r>
      <w:r>
        <w:rPr>
          <w:color w:val="auto"/>
          <w:spacing w:val="-41"/>
        </w:rPr>
        <w:t xml:space="preserve"> </w:t>
      </w:r>
      <w:r>
        <w:rPr>
          <w:color w:val="auto"/>
          <w:spacing w:val="-7"/>
        </w:rPr>
        <w:t>31 日；所有的</w:t>
      </w:r>
      <w:r>
        <w:rPr>
          <w:color w:val="auto"/>
        </w:rPr>
        <w:t xml:space="preserve"> </w:t>
      </w:r>
      <w:r>
        <w:rPr>
          <w:color w:val="auto"/>
          <w:spacing w:val="-3"/>
        </w:rPr>
        <w:t>著作权财产权以及应当由著作权人享有的其他权利的</w:t>
      </w:r>
      <w:r>
        <w:rPr>
          <w:color w:val="auto"/>
          <w:spacing w:val="-6"/>
        </w:rPr>
        <w:t>保护期</w:t>
      </w:r>
      <w:r>
        <w:rPr>
          <w:color w:val="auto"/>
          <w:spacing w:val="-3"/>
        </w:rPr>
        <w:t>为</w:t>
      </w:r>
      <w:r>
        <w:rPr>
          <w:color w:val="auto"/>
          <w:spacing w:val="-40"/>
        </w:rPr>
        <w:t xml:space="preserve"> </w:t>
      </w:r>
      <w:r>
        <w:rPr>
          <w:color w:val="auto"/>
          <w:spacing w:val="-3"/>
        </w:rPr>
        <w:t>50</w:t>
      </w:r>
      <w:r>
        <w:rPr>
          <w:color w:val="auto"/>
          <w:spacing w:val="-42"/>
        </w:rPr>
        <w:t xml:space="preserve"> </w:t>
      </w:r>
      <w:r>
        <w:rPr>
          <w:color w:val="auto"/>
          <w:spacing w:val="-3"/>
        </w:rPr>
        <w:t>年，截</w:t>
      </w:r>
      <w:r>
        <w:rPr>
          <w:color w:val="auto"/>
          <w:spacing w:val="-4"/>
        </w:rPr>
        <w:t>止于作品首次发表后第</w:t>
      </w:r>
      <w:r>
        <w:rPr>
          <w:color w:val="auto"/>
          <w:spacing w:val="-40"/>
        </w:rPr>
        <w:t xml:space="preserve"> </w:t>
      </w:r>
      <w:r>
        <w:rPr>
          <w:color w:val="auto"/>
          <w:spacing w:val="-4"/>
        </w:rPr>
        <w:t>50</w:t>
      </w:r>
      <w:r>
        <w:rPr>
          <w:color w:val="auto"/>
          <w:spacing w:val="-43"/>
        </w:rPr>
        <w:t xml:space="preserve"> </w:t>
      </w:r>
      <w:r>
        <w:rPr>
          <w:color w:val="auto"/>
          <w:spacing w:val="-4"/>
        </w:rPr>
        <w:t>年的</w:t>
      </w:r>
      <w:r>
        <w:rPr>
          <w:color w:val="auto"/>
          <w:spacing w:val="-6"/>
        </w:rPr>
        <w:t>I2</w:t>
      </w:r>
      <w:r>
        <w:rPr>
          <w:color w:val="auto"/>
          <w:spacing w:val="-40"/>
        </w:rPr>
        <w:t xml:space="preserve"> </w:t>
      </w:r>
      <w:r>
        <w:rPr>
          <w:color w:val="auto"/>
          <w:spacing w:val="-6"/>
        </w:rPr>
        <w:t>月</w:t>
      </w:r>
      <w:r>
        <w:rPr>
          <w:color w:val="auto"/>
          <w:spacing w:val="-40"/>
        </w:rPr>
        <w:t xml:space="preserve"> </w:t>
      </w:r>
      <w:r>
        <w:rPr>
          <w:color w:val="auto"/>
          <w:spacing w:val="-6"/>
        </w:rPr>
        <w:t>31 日，</w:t>
      </w:r>
      <w:r>
        <w:rPr>
          <w:color w:val="auto"/>
          <w:spacing w:val="-46"/>
        </w:rPr>
        <w:t xml:space="preserve"> </w:t>
      </w:r>
      <w:r>
        <w:rPr>
          <w:color w:val="auto"/>
          <w:spacing w:val="-6"/>
        </w:rPr>
        <w:t>但作品自创作完成后</w:t>
      </w:r>
      <w:r>
        <w:rPr>
          <w:color w:val="auto"/>
          <w:spacing w:val="-40"/>
        </w:rPr>
        <w:t xml:space="preserve"> </w:t>
      </w:r>
      <w:r>
        <w:rPr>
          <w:color w:val="auto"/>
          <w:spacing w:val="-6"/>
        </w:rPr>
        <w:t>50</w:t>
      </w:r>
      <w:r>
        <w:rPr>
          <w:color w:val="auto"/>
          <w:spacing w:val="-44"/>
        </w:rPr>
        <w:t xml:space="preserve"> </w:t>
      </w:r>
      <w:r>
        <w:rPr>
          <w:color w:val="auto"/>
          <w:spacing w:val="-6"/>
        </w:rPr>
        <w:t>年内未发表的，法律将不再</w:t>
      </w:r>
      <w:r>
        <w:rPr>
          <w:color w:val="auto"/>
          <w:spacing w:val="-7"/>
        </w:rPr>
        <w:t>保护。</w:t>
      </w:r>
    </w:p>
    <w:p w14:paraId="4203C6C8">
      <w:pPr>
        <w:pStyle w:val="2"/>
        <w:spacing w:before="125" w:line="374" w:lineRule="exact"/>
        <w:ind w:left="571"/>
        <w:rPr>
          <w:color w:val="auto"/>
        </w:rPr>
      </w:pPr>
      <w:r>
        <w:rPr>
          <w:color w:val="auto"/>
          <w:spacing w:val="-4"/>
          <w:position w:val="12"/>
        </w:rPr>
        <w:t>著作权资产价值不仅取决于著作权的法定保护期限和剩余保护期限，</w:t>
      </w:r>
      <w:r>
        <w:rPr>
          <w:color w:val="auto"/>
          <w:spacing w:val="-39"/>
          <w:position w:val="12"/>
        </w:rPr>
        <w:t xml:space="preserve"> </w:t>
      </w:r>
      <w:r>
        <w:rPr>
          <w:color w:val="auto"/>
          <w:spacing w:val="-4"/>
          <w:position w:val="12"/>
        </w:rPr>
        <w:t>还要关注其合同约定的使用期</w:t>
      </w:r>
    </w:p>
    <w:p w14:paraId="01965B64">
      <w:pPr>
        <w:pStyle w:val="2"/>
        <w:spacing w:before="1" w:line="220" w:lineRule="auto"/>
        <w:ind w:left="163"/>
        <w:rPr>
          <w:color w:val="auto"/>
        </w:rPr>
      </w:pPr>
      <w:r>
        <w:rPr>
          <w:color w:val="auto"/>
          <w:spacing w:val="-14"/>
        </w:rPr>
        <w:t>限。</w:t>
      </w:r>
    </w:p>
    <w:p w14:paraId="14B9418B">
      <w:pPr>
        <w:pStyle w:val="2"/>
        <w:spacing w:before="114" w:line="261" w:lineRule="auto"/>
        <w:ind w:left="153" w:right="296" w:firstLine="432"/>
        <w:rPr>
          <w:color w:val="auto"/>
          <w:sz w:val="23"/>
          <w:szCs w:val="23"/>
        </w:rPr>
      </w:pPr>
      <w:r>
        <w:rPr>
          <w:rFonts w:ascii="黑体" w:hAnsi="黑体" w:eastAsia="黑体" w:cs="黑体"/>
          <w:color w:val="auto"/>
          <w:spacing w:val="-7"/>
          <w:sz w:val="23"/>
          <w:szCs w:val="23"/>
        </w:rPr>
        <w:t>【单选题】</w:t>
      </w:r>
      <w:r>
        <w:rPr>
          <w:color w:val="auto"/>
          <w:spacing w:val="-7"/>
          <w:sz w:val="23"/>
          <w:szCs w:val="23"/>
        </w:rPr>
        <w:t>根据我国《计算机软件保护条例》的规定， 自然人的软件复</w:t>
      </w:r>
      <w:r>
        <w:rPr>
          <w:color w:val="auto"/>
          <w:spacing w:val="-8"/>
          <w:sz w:val="23"/>
          <w:szCs w:val="23"/>
        </w:rPr>
        <w:t>制权保护</w:t>
      </w:r>
      <w:r>
        <w:rPr>
          <w:color w:val="auto"/>
          <w:sz w:val="23"/>
          <w:szCs w:val="23"/>
        </w:rPr>
        <w:t xml:space="preserve"> </w:t>
      </w:r>
      <w:r>
        <w:rPr>
          <w:color w:val="auto"/>
          <w:spacing w:val="-10"/>
          <w:sz w:val="23"/>
          <w:szCs w:val="23"/>
        </w:rPr>
        <w:t>期为</w:t>
      </w:r>
      <w:r>
        <w:rPr>
          <w:color w:val="auto"/>
          <w:spacing w:val="-24"/>
          <w:sz w:val="23"/>
          <w:szCs w:val="23"/>
        </w:rPr>
        <w:t>（</w:t>
      </w:r>
      <w:r>
        <w:rPr>
          <w:color w:val="auto"/>
          <w:spacing w:val="33"/>
          <w:sz w:val="23"/>
          <w:szCs w:val="23"/>
        </w:rPr>
        <w:t xml:space="preserve">  </w:t>
      </w:r>
      <w:r>
        <w:rPr>
          <w:color w:val="auto"/>
          <w:spacing w:val="-24"/>
          <w:sz w:val="23"/>
          <w:szCs w:val="23"/>
        </w:rPr>
        <w:t>）</w:t>
      </w:r>
      <w:r>
        <w:rPr>
          <w:color w:val="auto"/>
          <w:spacing w:val="-10"/>
          <w:sz w:val="23"/>
          <w:szCs w:val="23"/>
        </w:rPr>
        <w:t>。</w:t>
      </w:r>
    </w:p>
    <w:p w14:paraId="250C14C9">
      <w:pPr>
        <w:pStyle w:val="2"/>
        <w:spacing w:before="100" w:line="221" w:lineRule="auto"/>
        <w:ind w:left="603"/>
        <w:rPr>
          <w:color w:val="auto"/>
          <w:sz w:val="23"/>
          <w:szCs w:val="23"/>
        </w:rPr>
      </w:pPr>
      <w:r>
        <w:rPr>
          <w:color w:val="auto"/>
          <w:spacing w:val="-7"/>
          <w:sz w:val="23"/>
          <w:szCs w:val="23"/>
        </w:rPr>
        <w:t>A.</w:t>
      </w:r>
      <w:r>
        <w:rPr>
          <w:color w:val="auto"/>
          <w:spacing w:val="-69"/>
          <w:sz w:val="23"/>
          <w:szCs w:val="23"/>
        </w:rPr>
        <w:t xml:space="preserve"> </w:t>
      </w:r>
      <w:r>
        <w:rPr>
          <w:color w:val="auto"/>
          <w:spacing w:val="-7"/>
          <w:sz w:val="23"/>
          <w:szCs w:val="23"/>
        </w:rPr>
        <w:t>自然人终生</w:t>
      </w:r>
    </w:p>
    <w:p w14:paraId="32BCA787">
      <w:pPr>
        <w:pStyle w:val="2"/>
        <w:spacing w:before="98" w:line="221" w:lineRule="auto"/>
        <w:ind w:left="605"/>
        <w:rPr>
          <w:color w:val="auto"/>
          <w:sz w:val="23"/>
          <w:szCs w:val="23"/>
        </w:rPr>
      </w:pPr>
      <w:r>
        <w:rPr>
          <w:color w:val="auto"/>
          <w:spacing w:val="-4"/>
          <w:sz w:val="23"/>
          <w:szCs w:val="23"/>
        </w:rPr>
        <w:t>B.</w:t>
      </w:r>
      <w:r>
        <w:rPr>
          <w:color w:val="auto"/>
          <w:spacing w:val="-69"/>
          <w:sz w:val="23"/>
          <w:szCs w:val="23"/>
        </w:rPr>
        <w:t xml:space="preserve"> </w:t>
      </w:r>
      <w:r>
        <w:rPr>
          <w:color w:val="auto"/>
          <w:spacing w:val="-4"/>
          <w:sz w:val="23"/>
          <w:szCs w:val="23"/>
        </w:rPr>
        <w:t>自然人终生及其死亡后</w:t>
      </w:r>
      <w:r>
        <w:rPr>
          <w:color w:val="auto"/>
          <w:spacing w:val="-50"/>
          <w:sz w:val="23"/>
          <w:szCs w:val="23"/>
        </w:rPr>
        <w:t xml:space="preserve"> </w:t>
      </w:r>
      <w:r>
        <w:rPr>
          <w:color w:val="auto"/>
          <w:spacing w:val="-4"/>
          <w:sz w:val="23"/>
          <w:szCs w:val="23"/>
        </w:rPr>
        <w:t>40</w:t>
      </w:r>
      <w:r>
        <w:rPr>
          <w:color w:val="auto"/>
          <w:spacing w:val="-48"/>
          <w:sz w:val="23"/>
          <w:szCs w:val="23"/>
        </w:rPr>
        <w:t xml:space="preserve"> </w:t>
      </w:r>
      <w:r>
        <w:rPr>
          <w:color w:val="auto"/>
          <w:spacing w:val="-4"/>
          <w:sz w:val="23"/>
          <w:szCs w:val="23"/>
        </w:rPr>
        <w:t>年</w:t>
      </w:r>
    </w:p>
    <w:p w14:paraId="51BFD72F">
      <w:pPr>
        <w:pStyle w:val="2"/>
        <w:spacing w:before="99" w:line="221" w:lineRule="auto"/>
        <w:ind w:left="609"/>
        <w:rPr>
          <w:color w:val="auto"/>
          <w:sz w:val="23"/>
          <w:szCs w:val="23"/>
        </w:rPr>
      </w:pPr>
      <w:r>
        <w:rPr>
          <w:color w:val="auto"/>
          <w:spacing w:val="-5"/>
          <w:sz w:val="23"/>
          <w:szCs w:val="23"/>
        </w:rPr>
        <w:t>C.</w:t>
      </w:r>
      <w:r>
        <w:rPr>
          <w:color w:val="auto"/>
          <w:spacing w:val="-51"/>
          <w:sz w:val="23"/>
          <w:szCs w:val="23"/>
        </w:rPr>
        <w:t xml:space="preserve"> </w:t>
      </w:r>
      <w:r>
        <w:rPr>
          <w:color w:val="auto"/>
          <w:spacing w:val="-5"/>
          <w:sz w:val="23"/>
          <w:szCs w:val="23"/>
        </w:rPr>
        <w:t>自然人终生及其死亡后</w:t>
      </w:r>
      <w:r>
        <w:rPr>
          <w:color w:val="auto"/>
          <w:spacing w:val="-44"/>
          <w:sz w:val="23"/>
          <w:szCs w:val="23"/>
        </w:rPr>
        <w:t xml:space="preserve"> </w:t>
      </w:r>
      <w:r>
        <w:rPr>
          <w:color w:val="auto"/>
          <w:spacing w:val="-5"/>
          <w:sz w:val="23"/>
          <w:szCs w:val="23"/>
        </w:rPr>
        <w:t>50</w:t>
      </w:r>
      <w:r>
        <w:rPr>
          <w:color w:val="auto"/>
          <w:spacing w:val="-48"/>
          <w:sz w:val="23"/>
          <w:szCs w:val="23"/>
        </w:rPr>
        <w:t xml:space="preserve"> </w:t>
      </w:r>
      <w:r>
        <w:rPr>
          <w:color w:val="auto"/>
          <w:spacing w:val="-5"/>
          <w:sz w:val="23"/>
          <w:szCs w:val="23"/>
        </w:rPr>
        <w:t>年，截止于自然人死亡后第</w:t>
      </w:r>
      <w:r>
        <w:rPr>
          <w:color w:val="auto"/>
          <w:spacing w:val="-44"/>
          <w:sz w:val="23"/>
          <w:szCs w:val="23"/>
        </w:rPr>
        <w:t xml:space="preserve"> </w:t>
      </w:r>
      <w:r>
        <w:rPr>
          <w:color w:val="auto"/>
          <w:spacing w:val="-5"/>
          <w:sz w:val="23"/>
          <w:szCs w:val="23"/>
        </w:rPr>
        <w:t>50</w:t>
      </w:r>
      <w:r>
        <w:rPr>
          <w:color w:val="auto"/>
          <w:spacing w:val="-49"/>
          <w:sz w:val="23"/>
          <w:szCs w:val="23"/>
        </w:rPr>
        <w:t xml:space="preserve"> </w:t>
      </w:r>
      <w:r>
        <w:rPr>
          <w:color w:val="auto"/>
          <w:spacing w:val="-5"/>
          <w:sz w:val="23"/>
          <w:szCs w:val="23"/>
        </w:rPr>
        <w:t>年的</w:t>
      </w:r>
      <w:r>
        <w:rPr>
          <w:color w:val="auto"/>
          <w:spacing w:val="-31"/>
          <w:sz w:val="23"/>
          <w:szCs w:val="23"/>
        </w:rPr>
        <w:t xml:space="preserve"> </w:t>
      </w:r>
      <w:r>
        <w:rPr>
          <w:color w:val="auto"/>
          <w:spacing w:val="-5"/>
          <w:sz w:val="23"/>
          <w:szCs w:val="23"/>
        </w:rPr>
        <w:t>12</w:t>
      </w:r>
      <w:r>
        <w:rPr>
          <w:color w:val="auto"/>
          <w:spacing w:val="-43"/>
          <w:sz w:val="23"/>
          <w:szCs w:val="23"/>
        </w:rPr>
        <w:t xml:space="preserve"> </w:t>
      </w:r>
      <w:r>
        <w:rPr>
          <w:color w:val="auto"/>
          <w:spacing w:val="-5"/>
          <w:sz w:val="23"/>
          <w:szCs w:val="23"/>
        </w:rPr>
        <w:t>月</w:t>
      </w:r>
      <w:r>
        <w:rPr>
          <w:color w:val="auto"/>
          <w:spacing w:val="-44"/>
          <w:sz w:val="23"/>
          <w:szCs w:val="23"/>
        </w:rPr>
        <w:t xml:space="preserve"> </w:t>
      </w:r>
      <w:r>
        <w:rPr>
          <w:color w:val="auto"/>
          <w:spacing w:val="-5"/>
          <w:sz w:val="23"/>
          <w:szCs w:val="23"/>
        </w:rPr>
        <w:t>31 日</w:t>
      </w:r>
    </w:p>
    <w:p w14:paraId="292533B1">
      <w:pPr>
        <w:pStyle w:val="2"/>
        <w:spacing w:before="101" w:line="375" w:lineRule="exact"/>
        <w:ind w:left="606"/>
        <w:rPr>
          <w:color w:val="auto"/>
          <w:sz w:val="23"/>
          <w:szCs w:val="23"/>
        </w:rPr>
      </w:pPr>
      <w:r>
        <w:rPr>
          <w:color w:val="auto"/>
          <w:spacing w:val="-4"/>
          <w:position w:val="10"/>
          <w:sz w:val="23"/>
          <w:szCs w:val="23"/>
        </w:rPr>
        <w:t>D.截止于软件首次发表后第</w:t>
      </w:r>
      <w:r>
        <w:rPr>
          <w:color w:val="auto"/>
          <w:spacing w:val="-40"/>
          <w:position w:val="10"/>
          <w:sz w:val="23"/>
          <w:szCs w:val="23"/>
        </w:rPr>
        <w:t xml:space="preserve"> </w:t>
      </w:r>
      <w:r>
        <w:rPr>
          <w:color w:val="auto"/>
          <w:spacing w:val="-4"/>
          <w:position w:val="10"/>
          <w:sz w:val="23"/>
          <w:szCs w:val="23"/>
        </w:rPr>
        <w:t>50</w:t>
      </w:r>
      <w:r>
        <w:rPr>
          <w:color w:val="auto"/>
          <w:spacing w:val="-48"/>
          <w:position w:val="10"/>
          <w:sz w:val="23"/>
          <w:szCs w:val="23"/>
        </w:rPr>
        <w:t xml:space="preserve"> </w:t>
      </w:r>
      <w:r>
        <w:rPr>
          <w:color w:val="auto"/>
          <w:spacing w:val="-4"/>
          <w:position w:val="10"/>
          <w:sz w:val="23"/>
          <w:szCs w:val="23"/>
        </w:rPr>
        <w:t>年的</w:t>
      </w:r>
      <w:r>
        <w:rPr>
          <w:color w:val="auto"/>
          <w:spacing w:val="-31"/>
          <w:position w:val="10"/>
          <w:sz w:val="23"/>
          <w:szCs w:val="23"/>
        </w:rPr>
        <w:t xml:space="preserve"> </w:t>
      </w:r>
      <w:r>
        <w:rPr>
          <w:color w:val="auto"/>
          <w:spacing w:val="-4"/>
          <w:position w:val="10"/>
          <w:sz w:val="23"/>
          <w:szCs w:val="23"/>
        </w:rPr>
        <w:t>12</w:t>
      </w:r>
      <w:r>
        <w:rPr>
          <w:color w:val="auto"/>
          <w:spacing w:val="-44"/>
          <w:position w:val="10"/>
          <w:sz w:val="23"/>
          <w:szCs w:val="23"/>
        </w:rPr>
        <w:t xml:space="preserve"> </w:t>
      </w:r>
      <w:r>
        <w:rPr>
          <w:color w:val="auto"/>
          <w:spacing w:val="-4"/>
          <w:position w:val="10"/>
          <w:sz w:val="23"/>
          <w:szCs w:val="23"/>
        </w:rPr>
        <w:t>月</w:t>
      </w:r>
      <w:r>
        <w:rPr>
          <w:color w:val="auto"/>
          <w:spacing w:val="-44"/>
          <w:position w:val="10"/>
          <w:sz w:val="23"/>
          <w:szCs w:val="23"/>
        </w:rPr>
        <w:t xml:space="preserve"> </w:t>
      </w:r>
      <w:r>
        <w:rPr>
          <w:color w:val="auto"/>
          <w:spacing w:val="-4"/>
          <w:position w:val="10"/>
          <w:sz w:val="23"/>
          <w:szCs w:val="23"/>
        </w:rPr>
        <w:t>31 日</w:t>
      </w:r>
    </w:p>
    <w:p w14:paraId="77713A98">
      <w:pPr>
        <w:pStyle w:val="2"/>
        <w:spacing w:line="221" w:lineRule="auto"/>
        <w:ind w:left="626"/>
        <w:rPr>
          <w:color w:val="auto"/>
          <w:sz w:val="23"/>
          <w:szCs w:val="23"/>
        </w:rPr>
      </w:pPr>
      <w:r>
        <w:rPr>
          <w:color w:val="auto"/>
          <w:spacing w:val="-17"/>
          <w:sz w:val="23"/>
          <w:szCs w:val="23"/>
        </w:rPr>
        <w:t>『正确答案』 C</w:t>
      </w:r>
    </w:p>
    <w:p w14:paraId="5A428C02">
      <w:pPr>
        <w:pStyle w:val="2"/>
        <w:spacing w:before="99" w:line="261" w:lineRule="auto"/>
        <w:ind w:left="151" w:right="339" w:firstLine="475"/>
        <w:rPr>
          <w:color w:val="auto"/>
          <w:sz w:val="23"/>
          <w:szCs w:val="23"/>
        </w:rPr>
      </w:pPr>
      <w:r>
        <w:rPr>
          <w:color w:val="auto"/>
          <w:spacing w:val="-1"/>
          <w:sz w:val="23"/>
          <w:szCs w:val="23"/>
        </w:rPr>
        <w:t>『答案解析』自然人的软件复制权保护期为自然人终生及</w:t>
      </w:r>
      <w:r>
        <w:rPr>
          <w:color w:val="auto"/>
          <w:spacing w:val="-2"/>
          <w:sz w:val="23"/>
          <w:szCs w:val="23"/>
        </w:rPr>
        <w:t>其死亡后</w:t>
      </w:r>
      <w:r>
        <w:rPr>
          <w:color w:val="auto"/>
          <w:spacing w:val="-44"/>
          <w:sz w:val="23"/>
          <w:szCs w:val="23"/>
        </w:rPr>
        <w:t xml:space="preserve"> </w:t>
      </w:r>
      <w:r>
        <w:rPr>
          <w:color w:val="auto"/>
          <w:spacing w:val="-2"/>
          <w:sz w:val="23"/>
          <w:szCs w:val="23"/>
        </w:rPr>
        <w:t>50</w:t>
      </w:r>
      <w:r>
        <w:rPr>
          <w:color w:val="auto"/>
          <w:spacing w:val="-47"/>
          <w:sz w:val="23"/>
          <w:szCs w:val="23"/>
        </w:rPr>
        <w:t xml:space="preserve"> </w:t>
      </w:r>
      <w:r>
        <w:rPr>
          <w:color w:val="auto"/>
          <w:spacing w:val="-2"/>
          <w:sz w:val="23"/>
          <w:szCs w:val="23"/>
        </w:rPr>
        <w:t>年，截止于自然人</w:t>
      </w:r>
      <w:r>
        <w:rPr>
          <w:color w:val="auto"/>
          <w:sz w:val="23"/>
          <w:szCs w:val="23"/>
        </w:rPr>
        <w:t xml:space="preserve"> </w:t>
      </w:r>
      <w:r>
        <w:rPr>
          <w:color w:val="auto"/>
          <w:spacing w:val="-9"/>
          <w:sz w:val="23"/>
          <w:szCs w:val="23"/>
        </w:rPr>
        <w:t>死亡后第</w:t>
      </w:r>
      <w:r>
        <w:rPr>
          <w:color w:val="auto"/>
          <w:spacing w:val="-37"/>
          <w:sz w:val="23"/>
          <w:szCs w:val="23"/>
        </w:rPr>
        <w:t xml:space="preserve"> </w:t>
      </w:r>
      <w:r>
        <w:rPr>
          <w:color w:val="auto"/>
          <w:spacing w:val="-9"/>
          <w:sz w:val="23"/>
          <w:szCs w:val="23"/>
        </w:rPr>
        <w:t>50</w:t>
      </w:r>
      <w:r>
        <w:rPr>
          <w:color w:val="auto"/>
          <w:spacing w:val="-47"/>
          <w:sz w:val="23"/>
          <w:szCs w:val="23"/>
        </w:rPr>
        <w:t xml:space="preserve"> </w:t>
      </w:r>
      <w:r>
        <w:rPr>
          <w:color w:val="auto"/>
          <w:spacing w:val="-9"/>
          <w:sz w:val="23"/>
          <w:szCs w:val="23"/>
        </w:rPr>
        <w:t>年的</w:t>
      </w:r>
      <w:r>
        <w:rPr>
          <w:color w:val="auto"/>
          <w:spacing w:val="-32"/>
          <w:sz w:val="23"/>
          <w:szCs w:val="23"/>
        </w:rPr>
        <w:t xml:space="preserve"> </w:t>
      </w:r>
      <w:r>
        <w:rPr>
          <w:color w:val="auto"/>
          <w:spacing w:val="-9"/>
          <w:sz w:val="23"/>
          <w:szCs w:val="23"/>
        </w:rPr>
        <w:t>12</w:t>
      </w:r>
      <w:r>
        <w:rPr>
          <w:color w:val="auto"/>
          <w:spacing w:val="-44"/>
          <w:sz w:val="23"/>
          <w:szCs w:val="23"/>
        </w:rPr>
        <w:t xml:space="preserve"> </w:t>
      </w:r>
      <w:r>
        <w:rPr>
          <w:color w:val="auto"/>
          <w:spacing w:val="-9"/>
          <w:sz w:val="23"/>
          <w:szCs w:val="23"/>
        </w:rPr>
        <w:t>月</w:t>
      </w:r>
      <w:r>
        <w:rPr>
          <w:color w:val="auto"/>
          <w:spacing w:val="-43"/>
          <w:sz w:val="23"/>
          <w:szCs w:val="23"/>
        </w:rPr>
        <w:t xml:space="preserve"> </w:t>
      </w:r>
      <w:r>
        <w:rPr>
          <w:color w:val="auto"/>
          <w:spacing w:val="-9"/>
          <w:sz w:val="23"/>
          <w:szCs w:val="23"/>
        </w:rPr>
        <w:t>31 日。</w:t>
      </w:r>
    </w:p>
    <w:p w14:paraId="7C7BBB7B">
      <w:pPr>
        <w:pStyle w:val="2"/>
        <w:spacing w:before="110" w:line="218" w:lineRule="auto"/>
        <w:ind w:left="567"/>
        <w:rPr>
          <w:color w:val="auto"/>
        </w:rPr>
      </w:pPr>
      <w:r>
        <w:rPr>
          <w:color w:val="auto"/>
          <w:spacing w:val="-1"/>
        </w:rPr>
        <w:t>②著作权资产的地域性</w:t>
      </w:r>
    </w:p>
    <w:p w14:paraId="67E99CFB">
      <w:pPr>
        <w:pStyle w:val="2"/>
        <w:spacing w:before="127" w:line="220" w:lineRule="auto"/>
        <w:ind w:left="572"/>
        <w:rPr>
          <w:color w:val="auto"/>
        </w:rPr>
      </w:pPr>
      <w:r>
        <w:rPr>
          <w:color w:val="auto"/>
          <w:spacing w:val="-1"/>
        </w:rPr>
        <w:t>著作权只在授予权利的国家的管辖范围内受到该国相关法律的保护，对其他国家没有域外效力。</w:t>
      </w:r>
    </w:p>
    <w:p w14:paraId="2D78DE8F">
      <w:pPr>
        <w:pStyle w:val="2"/>
        <w:spacing w:before="125" w:line="375" w:lineRule="exact"/>
        <w:ind w:left="570"/>
        <w:rPr>
          <w:color w:val="auto"/>
        </w:rPr>
      </w:pPr>
      <w:r>
        <w:rPr>
          <w:color w:val="auto"/>
          <w:spacing w:val="-7"/>
          <w:position w:val="12"/>
        </w:rPr>
        <w:t>成为世界贸易组织的成员之后， 如果在一个国家享有著作权， 则可以在世界上绝大多数国家得到相</w:t>
      </w:r>
    </w:p>
    <w:p w14:paraId="57E721F0">
      <w:pPr>
        <w:pStyle w:val="2"/>
        <w:spacing w:before="1" w:line="220" w:lineRule="auto"/>
        <w:ind w:left="149"/>
        <w:rPr>
          <w:color w:val="auto"/>
        </w:rPr>
      </w:pPr>
      <w:r>
        <w:rPr>
          <w:color w:val="auto"/>
          <w:spacing w:val="-7"/>
        </w:rPr>
        <w:t>应的保护。</w:t>
      </w:r>
    </w:p>
    <w:p w14:paraId="7064869B">
      <w:pPr>
        <w:pStyle w:val="2"/>
        <w:spacing w:before="125" w:line="219" w:lineRule="auto"/>
        <w:ind w:left="574"/>
        <w:rPr>
          <w:color w:val="auto"/>
          <w:spacing w:val="-2"/>
        </w:rPr>
      </w:pPr>
    </w:p>
    <w:p w14:paraId="45A1724A">
      <w:pPr>
        <w:pStyle w:val="2"/>
        <w:spacing w:before="125" w:line="219" w:lineRule="auto"/>
        <w:ind w:left="574"/>
        <w:rPr>
          <w:color w:val="auto"/>
        </w:rPr>
      </w:pPr>
      <w:r>
        <w:rPr>
          <w:color w:val="auto"/>
          <w:spacing w:val="-2"/>
        </w:rPr>
        <w:t>（一）著作权资产评估对象的界定</w:t>
      </w:r>
    </w:p>
    <w:p w14:paraId="47739056">
      <w:pPr>
        <w:pStyle w:val="2"/>
        <w:spacing w:before="127" w:line="329" w:lineRule="auto"/>
        <w:ind w:left="569"/>
        <w:rPr>
          <w:color w:val="auto"/>
        </w:rPr>
      </w:pPr>
      <w:r>
        <w:rPr>
          <w:color w:val="auto"/>
          <w:spacing w:val="-5"/>
        </w:rPr>
        <w:t>根据著作权财产</w:t>
      </w:r>
      <w:r>
        <w:rPr>
          <w:color w:val="auto"/>
          <w:spacing w:val="-1"/>
        </w:rPr>
        <w:t>权益类别和作品类别两</w:t>
      </w:r>
      <w:r>
        <w:rPr>
          <w:color w:val="auto"/>
          <w:spacing w:val="-5"/>
        </w:rPr>
        <w:t>个维度的分析，</w:t>
      </w:r>
      <w:r>
        <w:rPr>
          <w:color w:val="auto"/>
          <w:spacing w:val="30"/>
        </w:rPr>
        <w:t xml:space="preserve"> </w:t>
      </w:r>
      <w:r>
        <w:rPr>
          <w:color w:val="auto"/>
          <w:spacing w:val="-5"/>
        </w:rPr>
        <w:t>可</w:t>
      </w:r>
      <w:r>
        <w:rPr>
          <w:color w:val="auto"/>
          <w:spacing w:val="-6"/>
        </w:rPr>
        <w:t>以构建出一个“作品类别”×“财产权益</w:t>
      </w:r>
    </w:p>
    <w:p w14:paraId="1F5D2CAF">
      <w:pPr>
        <w:pStyle w:val="2"/>
        <w:spacing w:before="243" w:line="220" w:lineRule="auto"/>
        <w:ind w:left="570"/>
        <w:rPr>
          <w:color w:val="auto"/>
          <w:spacing w:val="-1"/>
        </w:rPr>
      </w:pPr>
      <w:r>
        <w:rPr>
          <w:color w:val="auto"/>
          <w:spacing w:val="-1"/>
        </w:rPr>
        <w:t>类别”的著作权价值评估对象基本矩阵，其中的元素即为著作权价值评估对象××作品××权。</w:t>
      </w:r>
    </w:p>
    <w:p w14:paraId="55712BCD">
      <w:pPr>
        <w:pStyle w:val="2"/>
        <w:spacing w:before="243" w:line="220" w:lineRule="auto"/>
        <w:ind w:left="570"/>
        <w:rPr>
          <w:color w:val="auto"/>
        </w:rPr>
      </w:pPr>
      <w:r>
        <w:rPr>
          <w:color w:val="auto"/>
          <w:spacing w:val="-1"/>
        </w:rPr>
        <w:t>按照不同类别作品的特征以及各种财产权益的概念，并不是每一类作品都具有全部财产权利。</w:t>
      </w:r>
    </w:p>
    <w:p w14:paraId="1835214F">
      <w:pPr>
        <w:pStyle w:val="2"/>
        <w:spacing w:before="123" w:line="218" w:lineRule="auto"/>
        <w:ind w:left="568"/>
        <w:rPr>
          <w:color w:val="auto"/>
        </w:rPr>
      </w:pPr>
      <w:r>
        <w:rPr>
          <w:color w:val="auto"/>
          <w:spacing w:val="-1"/>
        </w:rPr>
        <w:t>①在“作品传播相关权利”中，发行、信息网络传播</w:t>
      </w:r>
      <w:r>
        <w:rPr>
          <w:color w:val="auto"/>
          <w:spacing w:val="-2"/>
        </w:rPr>
        <w:t>权利基本可体现在绝大部分作品上；</w:t>
      </w:r>
    </w:p>
    <w:p w14:paraId="1E7C7691">
      <w:pPr>
        <w:pStyle w:val="2"/>
        <w:spacing w:before="126" w:line="218" w:lineRule="auto"/>
        <w:ind w:left="567"/>
        <w:rPr>
          <w:color w:val="auto"/>
        </w:rPr>
      </w:pPr>
      <w:r>
        <w:rPr>
          <w:color w:val="auto"/>
          <w:spacing w:val="-2"/>
        </w:rPr>
        <w:t>②广播、表演权利主要体现在文字、音乐、舞蹈等艺术类作品上；</w:t>
      </w:r>
    </w:p>
    <w:p w14:paraId="5F4B8FDF">
      <w:pPr>
        <w:pStyle w:val="2"/>
        <w:spacing w:before="127" w:line="218" w:lineRule="auto"/>
        <w:ind w:left="567"/>
        <w:rPr>
          <w:color w:val="auto"/>
        </w:rPr>
      </w:pPr>
      <w:r>
        <w:rPr>
          <w:color w:val="auto"/>
          <w:spacing w:val="-3"/>
        </w:rPr>
        <w:t>③出租权仅体现在电影作品、计算机软件作品上；</w:t>
      </w:r>
    </w:p>
    <w:p w14:paraId="7C7993FD">
      <w:pPr>
        <w:pStyle w:val="2"/>
        <w:spacing w:before="127" w:line="218" w:lineRule="auto"/>
        <w:ind w:left="567"/>
        <w:rPr>
          <w:color w:val="auto"/>
        </w:rPr>
      </w:pPr>
      <w:r>
        <w:rPr>
          <w:color w:val="auto"/>
          <w:spacing w:val="-1"/>
        </w:rPr>
        <w:t>④展览权仅体现在美术作品、摄影作品上；放映权体现在美术、摄影、电影作品上。</w:t>
      </w:r>
    </w:p>
    <w:p w14:paraId="0D065221">
      <w:pPr>
        <w:pStyle w:val="2"/>
        <w:spacing w:before="127" w:line="218" w:lineRule="auto"/>
        <w:ind w:left="567"/>
        <w:rPr>
          <w:color w:val="auto"/>
        </w:rPr>
      </w:pPr>
      <w:r>
        <w:rPr>
          <w:color w:val="auto"/>
          <w:spacing w:val="-1"/>
        </w:rPr>
        <w:t>⑤在“作品使用方式相关权利”中，复制、摄制、改编、翻译、汇编</w:t>
      </w:r>
      <w:r>
        <w:rPr>
          <w:color w:val="auto"/>
          <w:spacing w:val="-40"/>
        </w:rPr>
        <w:t xml:space="preserve"> </w:t>
      </w:r>
      <w:r>
        <w:rPr>
          <w:color w:val="auto"/>
          <w:spacing w:val="-2"/>
        </w:rPr>
        <w:t>5</w:t>
      </w:r>
      <w:r>
        <w:rPr>
          <w:color w:val="auto"/>
          <w:spacing w:val="-44"/>
        </w:rPr>
        <w:t xml:space="preserve"> </w:t>
      </w:r>
      <w:r>
        <w:rPr>
          <w:color w:val="auto"/>
          <w:spacing w:val="-2"/>
        </w:rPr>
        <w:t>种权利适用于大部分作品。</w:t>
      </w:r>
    </w:p>
    <w:p w14:paraId="2C111431">
      <w:pPr>
        <w:pStyle w:val="2"/>
        <w:spacing w:before="126" w:line="376" w:lineRule="exact"/>
        <w:ind w:left="573"/>
        <w:rPr>
          <w:color w:val="auto"/>
        </w:rPr>
      </w:pPr>
      <w:r>
        <w:rPr>
          <w:color w:val="auto"/>
          <w:spacing w:val="-8"/>
          <w:position w:val="12"/>
        </w:rPr>
        <w:t>具体评估业务中，</w:t>
      </w:r>
      <w:r>
        <w:rPr>
          <w:color w:val="auto"/>
          <w:spacing w:val="26"/>
          <w:position w:val="12"/>
        </w:rPr>
        <w:t xml:space="preserve"> </w:t>
      </w:r>
      <w:r>
        <w:rPr>
          <w:color w:val="auto"/>
          <w:spacing w:val="-8"/>
          <w:position w:val="12"/>
        </w:rPr>
        <w:t>则需要根据特定的经济行为、评估目的确定评估对象</w:t>
      </w:r>
      <w:r>
        <w:rPr>
          <w:color w:val="auto"/>
          <w:spacing w:val="-9"/>
          <w:position w:val="12"/>
        </w:rPr>
        <w:t>，</w:t>
      </w:r>
      <w:r>
        <w:rPr>
          <w:color w:val="auto"/>
          <w:spacing w:val="24"/>
          <w:position w:val="12"/>
        </w:rPr>
        <w:t xml:space="preserve"> </w:t>
      </w:r>
      <w:r>
        <w:rPr>
          <w:color w:val="auto"/>
          <w:spacing w:val="-9"/>
          <w:position w:val="12"/>
        </w:rPr>
        <w:t>可能是上述矩阵中的某一</w:t>
      </w:r>
    </w:p>
    <w:p w14:paraId="56F0B1BC">
      <w:pPr>
        <w:pStyle w:val="2"/>
        <w:spacing w:before="1" w:line="219" w:lineRule="auto"/>
        <w:ind w:left="149"/>
        <w:rPr>
          <w:color w:val="auto"/>
        </w:rPr>
      </w:pPr>
      <w:r>
        <w:rPr>
          <w:color w:val="auto"/>
        </w:rPr>
        <w:t>个元素——</w:t>
      </w:r>
      <w:r>
        <w:rPr>
          <w:color w:val="auto"/>
          <w:spacing w:val="-1"/>
        </w:rPr>
        <w:t>单项权利</w:t>
      </w:r>
      <w:r>
        <w:rPr>
          <w:color w:val="auto"/>
        </w:rPr>
        <w:t>，也可能是几个元素组成的集合——</w:t>
      </w:r>
      <w:r>
        <w:rPr>
          <w:color w:val="auto"/>
          <w:spacing w:val="-1"/>
        </w:rPr>
        <w:t>权利组合。</w:t>
      </w:r>
    </w:p>
    <w:p w14:paraId="48650627">
      <w:pPr>
        <w:pStyle w:val="2"/>
        <w:spacing w:before="124" w:line="219" w:lineRule="auto"/>
        <w:ind w:left="572"/>
        <w:rPr>
          <w:color w:val="auto"/>
        </w:rPr>
      </w:pPr>
      <w:r>
        <w:rPr>
          <w:color w:val="auto"/>
          <w:spacing w:val="-2"/>
        </w:rPr>
        <w:t>著作权资产评估对象的界定还需要关注财产权利形式。</w:t>
      </w:r>
    </w:p>
    <w:p w14:paraId="0B13BBB2">
      <w:pPr>
        <w:pStyle w:val="2"/>
        <w:spacing w:before="126" w:line="220" w:lineRule="auto"/>
        <w:ind w:left="569"/>
        <w:rPr>
          <w:color w:val="auto"/>
        </w:rPr>
      </w:pPr>
      <w:r>
        <w:rPr>
          <w:color w:val="auto"/>
          <w:spacing w:val="-2"/>
        </w:rPr>
        <w:t>包括著作权人享有的权利和转让或者许可他人使用的权利。</w:t>
      </w:r>
    </w:p>
    <w:p w14:paraId="067506D7">
      <w:pPr>
        <w:spacing w:line="42" w:lineRule="exact"/>
        <w:rPr>
          <w:color w:val="auto"/>
        </w:rPr>
      </w:pPr>
    </w:p>
    <w:tbl>
      <w:tblPr>
        <w:tblStyle w:val="5"/>
        <w:tblW w:w="8477" w:type="dxa"/>
        <w:tblInd w:w="5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2"/>
        <w:gridCol w:w="7505"/>
      </w:tblGrid>
      <w:tr w14:paraId="31DC1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972" w:type="dxa"/>
            <w:vMerge w:val="restart"/>
            <w:tcBorders>
              <w:bottom w:val="nil"/>
            </w:tcBorders>
            <w:vAlign w:val="top"/>
          </w:tcPr>
          <w:p w14:paraId="6AEDEA85">
            <w:pPr>
              <w:spacing w:line="314" w:lineRule="auto"/>
              <w:rPr>
                <w:rFonts w:ascii="Arial"/>
                <w:color w:val="auto"/>
                <w:sz w:val="21"/>
              </w:rPr>
            </w:pPr>
          </w:p>
          <w:p w14:paraId="6A59609B">
            <w:pPr>
              <w:spacing w:line="314" w:lineRule="auto"/>
              <w:rPr>
                <w:rFonts w:ascii="Arial"/>
                <w:color w:val="auto"/>
                <w:sz w:val="21"/>
              </w:rPr>
            </w:pPr>
          </w:p>
          <w:p w14:paraId="5977EB13">
            <w:pPr>
              <w:spacing w:line="314" w:lineRule="auto"/>
              <w:rPr>
                <w:rFonts w:ascii="Arial"/>
                <w:color w:val="auto"/>
                <w:sz w:val="21"/>
              </w:rPr>
            </w:pPr>
          </w:p>
          <w:p w14:paraId="51699CBC">
            <w:pPr>
              <w:pStyle w:val="6"/>
              <w:spacing w:before="69" w:line="221" w:lineRule="auto"/>
              <w:ind w:left="69"/>
              <w:rPr>
                <w:color w:val="auto"/>
              </w:rPr>
            </w:pPr>
            <w:r>
              <w:rPr>
                <w:color w:val="auto"/>
                <w:spacing w:val="-2"/>
              </w:rPr>
              <w:t>法定许可</w:t>
            </w:r>
          </w:p>
        </w:tc>
        <w:tc>
          <w:tcPr>
            <w:tcW w:w="7505" w:type="dxa"/>
            <w:vAlign w:val="top"/>
          </w:tcPr>
          <w:p w14:paraId="6FF71759">
            <w:pPr>
              <w:pStyle w:val="6"/>
              <w:spacing w:before="116" w:line="221" w:lineRule="auto"/>
              <w:ind w:left="42"/>
              <w:rPr>
                <w:color w:val="auto"/>
              </w:rPr>
            </w:pPr>
            <w:r>
              <w:rPr>
                <w:color w:val="auto"/>
                <w:spacing w:val="-1"/>
              </w:rPr>
              <w:t>只针对</w:t>
            </w:r>
            <w:r>
              <w:rPr>
                <w:rFonts w:ascii="宋体" w:hAnsi="宋体" w:eastAsia="宋体" w:cs="宋体"/>
                <w:snapToGrid w:val="0"/>
                <w:color w:val="auto"/>
                <w:spacing w:val="-1"/>
                <w:kern w:val="0"/>
                <w:sz w:val="21"/>
                <w:szCs w:val="21"/>
                <w:lang w:val="en-US" w:eastAsia="en-US" w:bidi="ar-SA"/>
              </w:rPr>
              <w:t>已经发表</w:t>
            </w:r>
            <w:r>
              <w:rPr>
                <w:color w:val="auto"/>
                <w:spacing w:val="-1"/>
              </w:rPr>
              <w:t>的作品</w:t>
            </w:r>
          </w:p>
        </w:tc>
      </w:tr>
      <w:tr w14:paraId="6BBC4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972" w:type="dxa"/>
            <w:vMerge w:val="continue"/>
            <w:tcBorders>
              <w:top w:val="nil"/>
              <w:bottom w:val="nil"/>
            </w:tcBorders>
            <w:vAlign w:val="top"/>
          </w:tcPr>
          <w:p w14:paraId="6D731C10">
            <w:pPr>
              <w:rPr>
                <w:rFonts w:ascii="Arial"/>
                <w:color w:val="auto"/>
                <w:sz w:val="21"/>
              </w:rPr>
            </w:pPr>
          </w:p>
        </w:tc>
        <w:tc>
          <w:tcPr>
            <w:tcW w:w="7505" w:type="dxa"/>
            <w:vAlign w:val="top"/>
          </w:tcPr>
          <w:p w14:paraId="5B030DB0">
            <w:pPr>
              <w:pStyle w:val="6"/>
              <w:spacing w:before="111" w:line="220" w:lineRule="auto"/>
              <w:ind w:left="33"/>
              <w:rPr>
                <w:color w:val="auto"/>
              </w:rPr>
            </w:pPr>
            <w:r>
              <w:rPr>
                <w:color w:val="auto"/>
                <w:spacing w:val="-1"/>
              </w:rPr>
              <w:t>必须基于法律的明文规定</w:t>
            </w:r>
          </w:p>
        </w:tc>
      </w:tr>
      <w:tr w14:paraId="77C80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972" w:type="dxa"/>
            <w:vMerge w:val="continue"/>
            <w:tcBorders>
              <w:top w:val="nil"/>
              <w:bottom w:val="nil"/>
            </w:tcBorders>
            <w:vAlign w:val="top"/>
          </w:tcPr>
          <w:p w14:paraId="778DC9BD">
            <w:pPr>
              <w:rPr>
                <w:rFonts w:ascii="Arial"/>
                <w:color w:val="auto"/>
                <w:sz w:val="21"/>
              </w:rPr>
            </w:pPr>
          </w:p>
        </w:tc>
        <w:tc>
          <w:tcPr>
            <w:tcW w:w="7505" w:type="dxa"/>
            <w:vAlign w:val="top"/>
          </w:tcPr>
          <w:p w14:paraId="1E184B48">
            <w:pPr>
              <w:pStyle w:val="6"/>
              <w:spacing w:before="113" w:line="220" w:lineRule="auto"/>
              <w:ind w:left="33"/>
              <w:rPr>
                <w:color w:val="auto"/>
              </w:rPr>
            </w:pPr>
            <w:r>
              <w:rPr>
                <w:color w:val="auto"/>
                <w:spacing w:val="-1"/>
              </w:rPr>
              <w:t>不必征得许可，但应当</w:t>
            </w:r>
            <w:r>
              <w:rPr>
                <w:rFonts w:ascii="宋体" w:hAnsi="宋体" w:eastAsia="宋体" w:cs="宋体"/>
                <w:snapToGrid w:val="0"/>
                <w:color w:val="auto"/>
                <w:spacing w:val="-1"/>
                <w:kern w:val="0"/>
                <w:sz w:val="21"/>
                <w:szCs w:val="21"/>
                <w:lang w:val="en-US" w:eastAsia="en-US" w:bidi="ar-SA"/>
              </w:rPr>
              <w:t>支付费用</w:t>
            </w:r>
          </w:p>
        </w:tc>
      </w:tr>
      <w:tr w14:paraId="6C3BF2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972" w:type="dxa"/>
            <w:vMerge w:val="continue"/>
            <w:tcBorders>
              <w:top w:val="nil"/>
              <w:bottom w:val="nil"/>
            </w:tcBorders>
            <w:vAlign w:val="top"/>
          </w:tcPr>
          <w:p w14:paraId="0913F44E">
            <w:pPr>
              <w:rPr>
                <w:rFonts w:ascii="Arial"/>
                <w:color w:val="auto"/>
                <w:sz w:val="21"/>
              </w:rPr>
            </w:pPr>
          </w:p>
        </w:tc>
        <w:tc>
          <w:tcPr>
            <w:tcW w:w="7505" w:type="dxa"/>
            <w:vAlign w:val="top"/>
          </w:tcPr>
          <w:p w14:paraId="2983AA63">
            <w:pPr>
              <w:pStyle w:val="6"/>
              <w:spacing w:before="113" w:line="220" w:lineRule="auto"/>
              <w:ind w:left="30"/>
              <w:rPr>
                <w:color w:val="auto"/>
              </w:rPr>
            </w:pPr>
            <w:r>
              <w:rPr>
                <w:color w:val="auto"/>
              </w:rPr>
              <w:t>应指明作者姓名、作品名称，且不得侵犯著作权人依照</w:t>
            </w:r>
            <w:r>
              <w:rPr>
                <w:color w:val="auto"/>
                <w:spacing w:val="-1"/>
              </w:rPr>
              <w:t>本法享有的其他权利</w:t>
            </w:r>
          </w:p>
        </w:tc>
      </w:tr>
      <w:tr w14:paraId="18247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972" w:type="dxa"/>
            <w:vMerge w:val="continue"/>
            <w:tcBorders>
              <w:top w:val="nil"/>
            </w:tcBorders>
            <w:vAlign w:val="top"/>
          </w:tcPr>
          <w:p w14:paraId="27AD327E">
            <w:pPr>
              <w:rPr>
                <w:rFonts w:ascii="Arial"/>
                <w:color w:val="auto"/>
                <w:sz w:val="21"/>
              </w:rPr>
            </w:pPr>
          </w:p>
        </w:tc>
        <w:tc>
          <w:tcPr>
            <w:tcW w:w="7505" w:type="dxa"/>
            <w:vAlign w:val="top"/>
          </w:tcPr>
          <w:p w14:paraId="6C0363C7">
            <w:pPr>
              <w:pStyle w:val="6"/>
              <w:spacing w:before="116" w:line="220" w:lineRule="auto"/>
              <w:ind w:left="30"/>
              <w:rPr>
                <w:color w:val="auto"/>
              </w:rPr>
            </w:pPr>
            <w:r>
              <w:rPr>
                <w:color w:val="auto"/>
                <w:spacing w:val="-1"/>
              </w:rPr>
              <w:t>举例：教科书汇编行为，采用某作者文章</w:t>
            </w:r>
          </w:p>
        </w:tc>
      </w:tr>
      <w:tr w14:paraId="132C53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972" w:type="dxa"/>
            <w:vMerge w:val="restart"/>
            <w:tcBorders>
              <w:bottom w:val="nil"/>
            </w:tcBorders>
            <w:vAlign w:val="top"/>
          </w:tcPr>
          <w:p w14:paraId="46F80C8C">
            <w:pPr>
              <w:spacing w:line="248" w:lineRule="auto"/>
              <w:rPr>
                <w:rFonts w:ascii="Arial"/>
                <w:color w:val="auto"/>
                <w:sz w:val="21"/>
              </w:rPr>
            </w:pPr>
          </w:p>
          <w:p w14:paraId="2291ADB0">
            <w:pPr>
              <w:spacing w:line="248" w:lineRule="auto"/>
              <w:rPr>
                <w:rFonts w:ascii="Arial"/>
                <w:color w:val="auto"/>
                <w:sz w:val="21"/>
              </w:rPr>
            </w:pPr>
          </w:p>
          <w:p w14:paraId="07ECA13C">
            <w:pPr>
              <w:pStyle w:val="6"/>
              <w:spacing w:before="69" w:line="220" w:lineRule="auto"/>
              <w:ind w:left="68"/>
              <w:rPr>
                <w:color w:val="auto"/>
              </w:rPr>
            </w:pPr>
            <w:r>
              <w:rPr>
                <w:color w:val="auto"/>
                <w:spacing w:val="-2"/>
              </w:rPr>
              <w:t>授权许可</w:t>
            </w:r>
          </w:p>
        </w:tc>
        <w:tc>
          <w:tcPr>
            <w:tcW w:w="7505" w:type="dxa"/>
            <w:vAlign w:val="top"/>
          </w:tcPr>
          <w:p w14:paraId="71FF249B">
            <w:pPr>
              <w:pStyle w:val="6"/>
              <w:spacing w:before="117" w:line="221" w:lineRule="auto"/>
              <w:ind w:left="31"/>
              <w:rPr>
                <w:color w:val="auto"/>
              </w:rPr>
            </w:pPr>
            <w:r>
              <w:rPr>
                <w:color w:val="auto"/>
                <w:spacing w:val="-2"/>
              </w:rPr>
              <w:t>专有许可</w:t>
            </w:r>
          </w:p>
        </w:tc>
      </w:tr>
      <w:tr w14:paraId="58F6D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972" w:type="dxa"/>
            <w:vMerge w:val="continue"/>
            <w:tcBorders>
              <w:top w:val="nil"/>
              <w:bottom w:val="nil"/>
            </w:tcBorders>
            <w:vAlign w:val="top"/>
          </w:tcPr>
          <w:p w14:paraId="0AA90005">
            <w:pPr>
              <w:rPr>
                <w:rFonts w:ascii="Arial"/>
                <w:color w:val="auto"/>
                <w:sz w:val="21"/>
              </w:rPr>
            </w:pPr>
          </w:p>
        </w:tc>
        <w:tc>
          <w:tcPr>
            <w:tcW w:w="7505" w:type="dxa"/>
            <w:vAlign w:val="top"/>
          </w:tcPr>
          <w:p w14:paraId="3B0270DE">
            <w:pPr>
              <w:pStyle w:val="6"/>
              <w:spacing w:before="118" w:line="221" w:lineRule="auto"/>
              <w:ind w:left="33"/>
              <w:rPr>
                <w:color w:val="auto"/>
              </w:rPr>
            </w:pPr>
            <w:r>
              <w:rPr>
                <w:color w:val="auto"/>
                <w:spacing w:val="-2"/>
              </w:rPr>
              <w:t>非专有许可</w:t>
            </w:r>
          </w:p>
        </w:tc>
      </w:tr>
      <w:tr w14:paraId="4056E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72" w:type="dxa"/>
            <w:vMerge w:val="continue"/>
            <w:tcBorders>
              <w:top w:val="nil"/>
            </w:tcBorders>
            <w:vAlign w:val="top"/>
          </w:tcPr>
          <w:p w14:paraId="5A021770">
            <w:pPr>
              <w:rPr>
                <w:rFonts w:ascii="Arial"/>
                <w:color w:val="auto"/>
                <w:sz w:val="21"/>
              </w:rPr>
            </w:pPr>
          </w:p>
        </w:tc>
        <w:tc>
          <w:tcPr>
            <w:tcW w:w="7505" w:type="dxa"/>
            <w:vAlign w:val="top"/>
          </w:tcPr>
          <w:p w14:paraId="4EABDBFA">
            <w:pPr>
              <w:pStyle w:val="6"/>
              <w:spacing w:before="119" w:line="221" w:lineRule="auto"/>
              <w:ind w:left="31"/>
              <w:rPr>
                <w:color w:val="auto"/>
              </w:rPr>
            </w:pPr>
            <w:r>
              <w:rPr>
                <w:color w:val="auto"/>
                <w:spacing w:val="-2"/>
              </w:rPr>
              <w:t>其他形式许可</w:t>
            </w:r>
          </w:p>
        </w:tc>
      </w:tr>
    </w:tbl>
    <w:p w14:paraId="004E19E1">
      <w:pPr>
        <w:pStyle w:val="2"/>
        <w:spacing w:before="83" w:line="219" w:lineRule="auto"/>
        <w:ind w:left="568"/>
        <w:rPr>
          <w:color w:val="auto"/>
        </w:rPr>
      </w:pPr>
      <w:r>
        <w:rPr>
          <w:color w:val="auto"/>
        </w:rPr>
        <w:t>还</w:t>
      </w:r>
      <w:r>
        <w:rPr>
          <w:color w:val="auto"/>
          <w:spacing w:val="-1"/>
        </w:rPr>
        <w:t>需要充分关注评估目的的影响</w:t>
      </w:r>
      <w:r>
        <w:rPr>
          <w:color w:val="auto"/>
        </w:rPr>
        <w:t>。</w:t>
      </w:r>
    </w:p>
    <w:p w14:paraId="31A5FB65">
      <w:pPr>
        <w:pStyle w:val="2"/>
        <w:spacing w:before="125" w:line="330" w:lineRule="auto"/>
        <w:ind w:left="149" w:right="247" w:firstLine="442"/>
        <w:rPr>
          <w:color w:val="auto"/>
        </w:rPr>
      </w:pPr>
      <w:r>
        <w:rPr>
          <w:color w:val="auto"/>
          <w:spacing w:val="-2"/>
        </w:rPr>
        <w:t>比如，以投资、转让为目的的著作权评估，直接关系到投资各方或者转让方与受让方之间的利益，</w:t>
      </w:r>
      <w:r>
        <w:rPr>
          <w:color w:val="auto"/>
          <w:spacing w:val="8"/>
        </w:rPr>
        <w:t xml:space="preserve"> </w:t>
      </w:r>
      <w:r>
        <w:rPr>
          <w:color w:val="auto"/>
          <w:spacing w:val="-9"/>
        </w:rPr>
        <w:t>应注意确认著作权各项权利的归属，</w:t>
      </w:r>
      <w:r>
        <w:rPr>
          <w:color w:val="auto"/>
          <w:spacing w:val="54"/>
        </w:rPr>
        <w:t xml:space="preserve"> </w:t>
      </w:r>
      <w:r>
        <w:rPr>
          <w:color w:val="auto"/>
          <w:spacing w:val="-9"/>
        </w:rPr>
        <w:t>明确投资、转让的权利的内</w:t>
      </w:r>
      <w:r>
        <w:rPr>
          <w:color w:val="auto"/>
          <w:spacing w:val="-10"/>
        </w:rPr>
        <w:t>涵、时间、范围等，</w:t>
      </w:r>
      <w:r>
        <w:rPr>
          <w:color w:val="auto"/>
          <w:spacing w:val="59"/>
        </w:rPr>
        <w:t xml:space="preserve"> </w:t>
      </w:r>
      <w:r>
        <w:rPr>
          <w:color w:val="auto"/>
          <w:spacing w:val="-10"/>
        </w:rPr>
        <w:t>以保持评估目的与</w:t>
      </w:r>
    </w:p>
    <w:p w14:paraId="26A677EE">
      <w:pPr>
        <w:pStyle w:val="2"/>
        <w:spacing w:before="1" w:line="218" w:lineRule="auto"/>
        <w:ind w:left="148"/>
        <w:rPr>
          <w:color w:val="auto"/>
        </w:rPr>
      </w:pPr>
      <w:r>
        <w:rPr>
          <w:color w:val="auto"/>
          <w:spacing w:val="-4"/>
        </w:rPr>
        <w:t>评估对象的一致性。</w:t>
      </w:r>
    </w:p>
    <w:p w14:paraId="6853729E">
      <w:pPr>
        <w:pStyle w:val="2"/>
        <w:spacing w:before="113" w:line="274" w:lineRule="auto"/>
        <w:ind w:left="603" w:right="913" w:hanging="3"/>
        <w:rPr>
          <w:color w:val="auto"/>
          <w:spacing w:val="1"/>
          <w:sz w:val="23"/>
          <w:szCs w:val="23"/>
        </w:rPr>
      </w:pPr>
      <w:r>
        <w:rPr>
          <w:rFonts w:ascii="黑体" w:hAnsi="黑体" w:eastAsia="黑体" w:cs="黑体"/>
          <w:color w:val="auto"/>
          <w:spacing w:val="-4"/>
          <w:sz w:val="23"/>
          <w:szCs w:val="23"/>
        </w:rPr>
        <w:t>【单选题】</w:t>
      </w:r>
      <w:r>
        <w:rPr>
          <w:color w:val="auto"/>
          <w:spacing w:val="-4"/>
          <w:sz w:val="23"/>
          <w:szCs w:val="23"/>
        </w:rPr>
        <w:t>下列关于著作权资产评</w:t>
      </w:r>
      <w:r>
        <w:rPr>
          <w:color w:val="auto"/>
          <w:spacing w:val="-5"/>
          <w:sz w:val="23"/>
          <w:szCs w:val="23"/>
        </w:rPr>
        <w:t>估对象的说法中，错误的是</w:t>
      </w:r>
      <w:r>
        <w:rPr>
          <w:color w:val="auto"/>
          <w:spacing w:val="-34"/>
          <w:sz w:val="23"/>
          <w:szCs w:val="23"/>
        </w:rPr>
        <w:t>（</w:t>
      </w:r>
      <w:r>
        <w:rPr>
          <w:color w:val="auto"/>
          <w:spacing w:val="33"/>
          <w:sz w:val="23"/>
          <w:szCs w:val="23"/>
        </w:rPr>
        <w:t xml:space="preserve">  </w:t>
      </w:r>
      <w:r>
        <w:rPr>
          <w:color w:val="auto"/>
          <w:spacing w:val="-34"/>
          <w:sz w:val="23"/>
          <w:szCs w:val="23"/>
        </w:rPr>
        <w:t>）</w:t>
      </w:r>
      <w:r>
        <w:rPr>
          <w:color w:val="auto"/>
          <w:spacing w:val="-5"/>
          <w:sz w:val="23"/>
          <w:szCs w:val="23"/>
        </w:rPr>
        <w:t>。</w:t>
      </w:r>
      <w:r>
        <w:rPr>
          <w:color w:val="auto"/>
          <w:spacing w:val="1"/>
          <w:sz w:val="23"/>
          <w:szCs w:val="23"/>
        </w:rPr>
        <w:t xml:space="preserve"> </w:t>
      </w:r>
    </w:p>
    <w:p w14:paraId="527D9774">
      <w:pPr>
        <w:pStyle w:val="2"/>
        <w:spacing w:before="113" w:line="274" w:lineRule="auto"/>
        <w:ind w:left="603" w:right="913" w:hanging="3"/>
        <w:rPr>
          <w:color w:val="auto"/>
          <w:sz w:val="23"/>
          <w:szCs w:val="23"/>
        </w:rPr>
      </w:pPr>
      <w:r>
        <w:rPr>
          <w:color w:val="auto"/>
          <w:sz w:val="23"/>
          <w:szCs w:val="23"/>
        </w:rPr>
        <w:t>A.著作权资产评估对象是指著作权中的财产权益以及与著作权有关权</w:t>
      </w:r>
      <w:r>
        <w:rPr>
          <w:color w:val="auto"/>
          <w:spacing w:val="-1"/>
          <w:sz w:val="23"/>
          <w:szCs w:val="23"/>
        </w:rPr>
        <w:t>利的财产权益</w:t>
      </w:r>
      <w:r>
        <w:rPr>
          <w:color w:val="auto"/>
          <w:sz w:val="23"/>
          <w:szCs w:val="23"/>
        </w:rPr>
        <w:t xml:space="preserve"> B.界定著作权资产评估对象不需要关注评估</w:t>
      </w:r>
      <w:r>
        <w:rPr>
          <w:color w:val="auto"/>
          <w:spacing w:val="-1"/>
          <w:sz w:val="23"/>
          <w:szCs w:val="23"/>
        </w:rPr>
        <w:t>目的的影响</w:t>
      </w:r>
    </w:p>
    <w:p w14:paraId="5B0812D2">
      <w:pPr>
        <w:pStyle w:val="2"/>
        <w:spacing w:before="101" w:line="221" w:lineRule="auto"/>
        <w:ind w:left="609"/>
        <w:rPr>
          <w:color w:val="auto"/>
          <w:sz w:val="23"/>
          <w:szCs w:val="23"/>
        </w:rPr>
      </w:pPr>
      <w:r>
        <w:rPr>
          <w:color w:val="auto"/>
          <w:sz w:val="23"/>
          <w:szCs w:val="23"/>
        </w:rPr>
        <w:t>C.著作权资产的财产权利形式包括著作权人享有的权利和转</w:t>
      </w:r>
      <w:r>
        <w:rPr>
          <w:color w:val="auto"/>
          <w:spacing w:val="-1"/>
          <w:sz w:val="23"/>
          <w:szCs w:val="23"/>
        </w:rPr>
        <w:t>让或许可他人使用的权利</w:t>
      </w:r>
    </w:p>
    <w:p w14:paraId="1AD97ACD">
      <w:pPr>
        <w:pStyle w:val="2"/>
        <w:spacing w:before="101" w:line="221" w:lineRule="auto"/>
        <w:ind w:left="606"/>
        <w:rPr>
          <w:color w:val="auto"/>
          <w:sz w:val="23"/>
          <w:szCs w:val="23"/>
        </w:rPr>
      </w:pPr>
      <w:r>
        <w:rPr>
          <w:color w:val="auto"/>
          <w:spacing w:val="-1"/>
          <w:sz w:val="23"/>
          <w:szCs w:val="23"/>
        </w:rPr>
        <w:t>D.著作权资产的许可使用形式包括法定许可和授权许可</w:t>
      </w:r>
    </w:p>
    <w:p w14:paraId="5A53BF92">
      <w:pPr>
        <w:pStyle w:val="2"/>
        <w:spacing w:before="100" w:line="221" w:lineRule="auto"/>
        <w:ind w:left="626"/>
        <w:rPr>
          <w:color w:val="auto"/>
          <w:sz w:val="23"/>
          <w:szCs w:val="23"/>
        </w:rPr>
      </w:pPr>
      <w:r>
        <w:rPr>
          <w:color w:val="auto"/>
          <w:spacing w:val="-18"/>
          <w:sz w:val="23"/>
          <w:szCs w:val="23"/>
        </w:rPr>
        <w:t>『正确答案』</w:t>
      </w:r>
      <w:r>
        <w:rPr>
          <w:color w:val="auto"/>
          <w:spacing w:val="-15"/>
          <w:sz w:val="23"/>
          <w:szCs w:val="23"/>
        </w:rPr>
        <w:t xml:space="preserve"> </w:t>
      </w:r>
      <w:r>
        <w:rPr>
          <w:color w:val="auto"/>
          <w:spacing w:val="-18"/>
          <w:sz w:val="23"/>
          <w:szCs w:val="23"/>
        </w:rPr>
        <w:t>B</w:t>
      </w:r>
      <w:r>
        <w:rPr>
          <w:color w:val="auto"/>
          <w:spacing w:val="6"/>
          <w:sz w:val="23"/>
          <w:szCs w:val="23"/>
        </w:rPr>
        <w:t xml:space="preserve"> </w:t>
      </w:r>
    </w:p>
    <w:p w14:paraId="044BFDF6">
      <w:pPr>
        <w:pStyle w:val="2"/>
        <w:spacing w:before="100" w:line="219" w:lineRule="auto"/>
        <w:ind w:left="531"/>
        <w:rPr>
          <w:color w:val="auto"/>
          <w:sz w:val="23"/>
          <w:szCs w:val="23"/>
        </w:rPr>
      </w:pPr>
      <w:r>
        <w:rPr>
          <w:color w:val="auto"/>
          <w:spacing w:val="-3"/>
          <w:sz w:val="23"/>
          <w:szCs w:val="23"/>
        </w:rPr>
        <w:t>『答案解析』著作权资产评估对象的界定除了需要明确评估对象的作品类型和权利形式</w:t>
      </w:r>
      <w:r>
        <w:rPr>
          <w:color w:val="auto"/>
          <w:spacing w:val="-4"/>
          <w:sz w:val="23"/>
          <w:szCs w:val="23"/>
        </w:rPr>
        <w:t>外，</w:t>
      </w:r>
    </w:p>
    <w:p w14:paraId="48AE9439">
      <w:pPr>
        <w:pStyle w:val="2"/>
        <w:spacing w:before="101" w:line="385" w:lineRule="exact"/>
        <w:ind w:left="149"/>
        <w:rPr>
          <w:color w:val="auto"/>
          <w:sz w:val="23"/>
          <w:szCs w:val="23"/>
        </w:rPr>
      </w:pPr>
      <w:r>
        <w:rPr>
          <w:color w:val="auto"/>
          <w:spacing w:val="-1"/>
          <w:position w:val="11"/>
          <w:sz w:val="23"/>
          <w:szCs w:val="23"/>
        </w:rPr>
        <w:t>还需要充分关注评估目的的影响。</w:t>
      </w:r>
    </w:p>
    <w:p w14:paraId="1080E319">
      <w:pPr>
        <w:pStyle w:val="2"/>
        <w:spacing w:before="1" w:line="218" w:lineRule="auto"/>
        <w:ind w:left="574"/>
        <w:rPr>
          <w:color w:val="auto"/>
        </w:rPr>
      </w:pPr>
      <w:r>
        <w:rPr>
          <w:color w:val="auto"/>
          <w:spacing w:val="-2"/>
        </w:rPr>
        <w:t>（二）著作权资产价值影响因素</w:t>
      </w:r>
    </w:p>
    <w:p w14:paraId="1237018F">
      <w:pPr>
        <w:pStyle w:val="2"/>
        <w:spacing w:before="127" w:line="220" w:lineRule="auto"/>
        <w:ind w:left="572"/>
        <w:rPr>
          <w:color w:val="auto"/>
          <w:spacing w:val="-1"/>
        </w:rPr>
      </w:pPr>
      <w:r>
        <w:rPr>
          <w:color w:val="auto"/>
          <w:spacing w:val="-3"/>
        </w:rPr>
        <w:t>1.</w:t>
      </w:r>
      <w:r>
        <w:rPr>
          <w:color w:val="auto"/>
          <w:spacing w:val="-1"/>
        </w:rPr>
        <w:t>宏观经济状况</w:t>
      </w:r>
    </w:p>
    <w:p w14:paraId="3C779890">
      <w:pPr>
        <w:pStyle w:val="2"/>
        <w:spacing w:before="127" w:line="220" w:lineRule="auto"/>
        <w:ind w:left="572"/>
        <w:rPr>
          <w:color w:val="auto"/>
        </w:rPr>
      </w:pPr>
      <w:r>
        <w:rPr>
          <w:color w:val="auto"/>
          <w:spacing w:val="-1"/>
        </w:rPr>
        <w:t>（1）著作权使用</w:t>
      </w:r>
      <w:r>
        <w:rPr>
          <w:color w:val="auto"/>
          <w:spacing w:val="-2"/>
        </w:rPr>
        <w:t>区域的社会环境</w:t>
      </w:r>
    </w:p>
    <w:p w14:paraId="3991085B">
      <w:pPr>
        <w:pStyle w:val="2"/>
        <w:spacing w:before="126" w:line="374" w:lineRule="exact"/>
        <w:ind w:left="568"/>
        <w:rPr>
          <w:color w:val="auto"/>
        </w:rPr>
      </w:pPr>
      <w:r>
        <w:rPr>
          <w:color w:val="auto"/>
          <w:spacing w:val="2"/>
          <w:position w:val="12"/>
        </w:rPr>
        <w:t>在“窃书不为偷”的社会环境中，很难会有著作权价值的充分实现，而只有在“政府软件正版化”</w:t>
      </w:r>
    </w:p>
    <w:p w14:paraId="0201752F">
      <w:pPr>
        <w:pStyle w:val="2"/>
        <w:spacing w:before="1" w:line="218" w:lineRule="auto"/>
        <w:ind w:left="152"/>
        <w:rPr>
          <w:color w:val="auto"/>
        </w:rPr>
      </w:pPr>
      <w:r>
        <w:rPr>
          <w:color w:val="auto"/>
          <w:spacing w:val="-1"/>
        </w:rPr>
        <w:t>背景下，构建出政府引导、社会广泛参与的著作权保护大联盟、大格局，著作权才能有更高的价值。</w:t>
      </w:r>
    </w:p>
    <w:p w14:paraId="3AFAE16B">
      <w:pPr>
        <w:pStyle w:val="2"/>
        <w:spacing w:before="127" w:line="220" w:lineRule="auto"/>
        <w:ind w:left="574"/>
        <w:rPr>
          <w:color w:val="auto"/>
        </w:rPr>
      </w:pPr>
      <w:r>
        <w:rPr>
          <w:color w:val="auto"/>
          <w:spacing w:val="-2"/>
        </w:rPr>
        <w:t>（2）著作权使用区域的经济环境</w:t>
      </w:r>
    </w:p>
    <w:p w14:paraId="74CF3904">
      <w:pPr>
        <w:pStyle w:val="2"/>
        <w:spacing w:before="242" w:line="219" w:lineRule="auto"/>
        <w:ind w:left="585"/>
        <w:rPr>
          <w:color w:val="auto"/>
          <w:spacing w:val="-3"/>
        </w:rPr>
      </w:pPr>
      <w:r>
        <w:rPr>
          <w:color w:val="auto"/>
          <w:spacing w:val="-8"/>
          <w:position w:val="12"/>
        </w:rPr>
        <w:t>消费的增加自然会增加与文化产品密切相关的著作权需求，</w:t>
      </w:r>
      <w:r>
        <w:rPr>
          <w:color w:val="auto"/>
          <w:spacing w:val="-37"/>
          <w:position w:val="12"/>
        </w:rPr>
        <w:t xml:space="preserve"> </w:t>
      </w:r>
      <w:r>
        <w:rPr>
          <w:color w:val="auto"/>
          <w:spacing w:val="-8"/>
          <w:position w:val="12"/>
        </w:rPr>
        <w:t>增加著作权资产收益和提高其价值。</w:t>
      </w:r>
    </w:p>
    <w:p w14:paraId="5A1C960E">
      <w:pPr>
        <w:pStyle w:val="2"/>
        <w:spacing w:before="242" w:line="219" w:lineRule="auto"/>
        <w:ind w:left="585"/>
        <w:rPr>
          <w:color w:val="auto"/>
        </w:rPr>
      </w:pPr>
      <w:r>
        <w:rPr>
          <w:color w:val="auto"/>
          <w:spacing w:val="-2"/>
        </w:rPr>
        <w:t>因此，如果著作权交易发生在经济发达区域，其价值会高于经济落后区域。</w:t>
      </w:r>
    </w:p>
    <w:p w14:paraId="773DDFFD">
      <w:pPr>
        <w:pStyle w:val="2"/>
        <w:spacing w:before="125" w:line="220" w:lineRule="auto"/>
        <w:ind w:left="571"/>
        <w:rPr>
          <w:color w:val="auto"/>
        </w:rPr>
      </w:pPr>
      <w:r>
        <w:rPr>
          <w:color w:val="auto"/>
          <w:spacing w:val="-2"/>
        </w:rPr>
        <w:t>2.市场需求状况</w:t>
      </w:r>
    </w:p>
    <w:p w14:paraId="6DB5A522">
      <w:pPr>
        <w:pStyle w:val="2"/>
        <w:spacing w:before="124" w:line="330" w:lineRule="auto"/>
        <w:ind w:left="568"/>
        <w:rPr>
          <w:color w:val="auto"/>
        </w:rPr>
      </w:pPr>
      <w:r>
        <w:rPr>
          <w:color w:val="auto"/>
          <w:spacing w:val="-11"/>
        </w:rPr>
        <w:t>①在著作权</w:t>
      </w:r>
      <w:r>
        <w:rPr>
          <w:color w:val="auto"/>
          <w:spacing w:val="-1"/>
        </w:rPr>
        <w:t>交易活跃</w:t>
      </w:r>
      <w:r>
        <w:rPr>
          <w:color w:val="auto"/>
          <w:spacing w:val="-11"/>
        </w:rPr>
        <w:t>的市场中， 著作权价值就容易实现，</w:t>
      </w:r>
      <w:r>
        <w:rPr>
          <w:color w:val="auto"/>
          <w:spacing w:val="38"/>
        </w:rPr>
        <w:t xml:space="preserve"> </w:t>
      </w:r>
      <w:r>
        <w:rPr>
          <w:color w:val="auto"/>
          <w:spacing w:val="-11"/>
        </w:rPr>
        <w:t>一些畅销出版物、音像制品等，</w:t>
      </w:r>
      <w:r>
        <w:rPr>
          <w:color w:val="auto"/>
          <w:spacing w:val="33"/>
        </w:rPr>
        <w:t xml:space="preserve"> </w:t>
      </w:r>
      <w:r>
        <w:rPr>
          <w:color w:val="auto"/>
          <w:spacing w:val="-11"/>
        </w:rPr>
        <w:t>发生市场</w:t>
      </w:r>
    </w:p>
    <w:p w14:paraId="5E262333">
      <w:pPr>
        <w:pStyle w:val="2"/>
        <w:spacing w:line="220" w:lineRule="auto"/>
        <w:ind w:left="153"/>
        <w:rPr>
          <w:color w:val="auto"/>
        </w:rPr>
      </w:pPr>
      <w:r>
        <w:rPr>
          <w:color w:val="auto"/>
          <w:spacing w:val="-6"/>
        </w:rPr>
        <w:t>交易比较常见。</w:t>
      </w:r>
    </w:p>
    <w:p w14:paraId="45024B53">
      <w:pPr>
        <w:pStyle w:val="2"/>
        <w:spacing w:before="124" w:line="330" w:lineRule="auto"/>
        <w:ind w:left="567"/>
        <w:rPr>
          <w:color w:val="auto"/>
        </w:rPr>
      </w:pPr>
      <w:r>
        <w:rPr>
          <w:color w:val="auto"/>
          <w:spacing w:val="-8"/>
        </w:rPr>
        <w:t>②市场</w:t>
      </w:r>
      <w:r>
        <w:rPr>
          <w:color w:val="auto"/>
          <w:spacing w:val="-1"/>
        </w:rPr>
        <w:t>竞争程度</w:t>
      </w:r>
      <w:r>
        <w:rPr>
          <w:color w:val="auto"/>
          <w:spacing w:val="-8"/>
        </w:rPr>
        <w:t>也会影响到著作权资产价值的大小，</w:t>
      </w:r>
      <w:r>
        <w:rPr>
          <w:color w:val="auto"/>
          <w:spacing w:val="40"/>
        </w:rPr>
        <w:t xml:space="preserve"> </w:t>
      </w:r>
      <w:r>
        <w:rPr>
          <w:color w:val="auto"/>
          <w:spacing w:val="-8"/>
        </w:rPr>
        <w:t>同类作品的竞争激烈， 作品的著作权资产价值</w:t>
      </w:r>
    </w:p>
    <w:p w14:paraId="17121C4D">
      <w:pPr>
        <w:pStyle w:val="2"/>
        <w:spacing w:line="219" w:lineRule="auto"/>
        <w:ind w:left="154"/>
        <w:rPr>
          <w:color w:val="auto"/>
        </w:rPr>
      </w:pPr>
      <w:r>
        <w:rPr>
          <w:color w:val="auto"/>
          <w:spacing w:val="-5"/>
        </w:rPr>
        <w:t>实现也会受到影响。</w:t>
      </w:r>
    </w:p>
    <w:p w14:paraId="777FB53F">
      <w:pPr>
        <w:pStyle w:val="2"/>
        <w:spacing w:before="125" w:line="220" w:lineRule="auto"/>
        <w:ind w:left="573"/>
        <w:rPr>
          <w:color w:val="auto"/>
        </w:rPr>
      </w:pPr>
      <w:r>
        <w:rPr>
          <w:color w:val="auto"/>
          <w:spacing w:val="-2"/>
        </w:rPr>
        <w:t>3.著作权所依托的作品</w:t>
      </w:r>
    </w:p>
    <w:p w14:paraId="7985B23A">
      <w:pPr>
        <w:pStyle w:val="2"/>
        <w:spacing w:before="126" w:line="220" w:lineRule="auto"/>
        <w:ind w:left="574"/>
        <w:rPr>
          <w:color w:val="auto"/>
          <w:spacing w:val="-1"/>
        </w:rPr>
      </w:pPr>
      <w:r>
        <w:rPr>
          <w:color w:val="auto"/>
          <w:spacing w:val="-1"/>
        </w:rPr>
        <w:t>（1）作品所处的产业及相关政策</w:t>
      </w:r>
    </w:p>
    <w:p w14:paraId="51A4684D">
      <w:pPr>
        <w:pStyle w:val="2"/>
        <w:spacing w:before="123" w:line="330" w:lineRule="auto"/>
        <w:ind w:left="150" w:right="296" w:firstLine="422"/>
        <w:rPr>
          <w:color w:val="auto"/>
        </w:rPr>
      </w:pPr>
      <w:r>
        <w:rPr>
          <w:color w:val="auto"/>
          <w:spacing w:val="-14"/>
        </w:rPr>
        <w:t>一方面， 国家对文化产业大力扶持和发展，</w:t>
      </w:r>
      <w:r>
        <w:rPr>
          <w:color w:val="auto"/>
          <w:spacing w:val="65"/>
        </w:rPr>
        <w:t xml:space="preserve"> </w:t>
      </w:r>
      <w:r>
        <w:rPr>
          <w:color w:val="auto"/>
          <w:spacing w:val="-14"/>
        </w:rPr>
        <w:t>出台了一系列相关产业发展政策；</w:t>
      </w:r>
      <w:r>
        <w:rPr>
          <w:color w:val="auto"/>
          <w:spacing w:val="37"/>
        </w:rPr>
        <w:t xml:space="preserve"> </w:t>
      </w:r>
      <w:r>
        <w:rPr>
          <w:color w:val="auto"/>
          <w:spacing w:val="-14"/>
        </w:rPr>
        <w:t>另一方面， 国家对文</w:t>
      </w:r>
      <w:r>
        <w:rPr>
          <w:color w:val="auto"/>
        </w:rPr>
        <w:t xml:space="preserve"> </w:t>
      </w:r>
      <w:r>
        <w:rPr>
          <w:color w:val="auto"/>
          <w:spacing w:val="-13"/>
        </w:rPr>
        <w:t>化产品的导向作用也有明确要求，</w:t>
      </w:r>
      <w:r>
        <w:rPr>
          <w:color w:val="auto"/>
          <w:spacing w:val="31"/>
        </w:rPr>
        <w:t xml:space="preserve"> </w:t>
      </w:r>
      <w:r>
        <w:rPr>
          <w:color w:val="auto"/>
          <w:spacing w:val="-13"/>
        </w:rPr>
        <w:t>提出文化企业提供精</w:t>
      </w:r>
      <w:r>
        <w:rPr>
          <w:color w:val="auto"/>
          <w:spacing w:val="-14"/>
        </w:rPr>
        <w:t>神产品， 传播思想信息，</w:t>
      </w:r>
      <w:r>
        <w:rPr>
          <w:color w:val="auto"/>
          <w:spacing w:val="30"/>
        </w:rPr>
        <w:t xml:space="preserve"> </w:t>
      </w:r>
      <w:r>
        <w:rPr>
          <w:color w:val="auto"/>
          <w:spacing w:val="-14"/>
        </w:rPr>
        <w:t>担负文化传承使命，</w:t>
      </w:r>
      <w:r>
        <w:rPr>
          <w:color w:val="auto"/>
          <w:spacing w:val="34"/>
        </w:rPr>
        <w:t xml:space="preserve"> </w:t>
      </w:r>
      <w:r>
        <w:rPr>
          <w:color w:val="auto"/>
          <w:spacing w:val="-14"/>
        </w:rPr>
        <w:t>必</w:t>
      </w:r>
    </w:p>
    <w:p w14:paraId="45A22BD3">
      <w:pPr>
        <w:pStyle w:val="2"/>
        <w:spacing w:before="1" w:line="219" w:lineRule="auto"/>
        <w:ind w:left="152"/>
        <w:rPr>
          <w:color w:val="auto"/>
        </w:rPr>
      </w:pPr>
      <w:r>
        <w:rPr>
          <w:color w:val="auto"/>
          <w:spacing w:val="-1"/>
        </w:rPr>
        <w:t>须始终坚持把社会效益放在首位、实现社会效益和经济效益相统一。</w:t>
      </w:r>
    </w:p>
    <w:p w14:paraId="42529ED8">
      <w:pPr>
        <w:pStyle w:val="2"/>
        <w:spacing w:before="125" w:line="220" w:lineRule="auto"/>
        <w:ind w:left="574"/>
        <w:rPr>
          <w:color w:val="auto"/>
          <w:spacing w:val="-1"/>
        </w:rPr>
      </w:pPr>
      <w:r>
        <w:rPr>
          <w:color w:val="auto"/>
          <w:spacing w:val="-2"/>
        </w:rPr>
        <w:t>（2）作品</w:t>
      </w:r>
      <w:r>
        <w:rPr>
          <w:color w:val="auto"/>
          <w:spacing w:val="-1"/>
        </w:rPr>
        <w:t>的类型</w:t>
      </w:r>
    </w:p>
    <w:p w14:paraId="7A38045F">
      <w:pPr>
        <w:pStyle w:val="2"/>
        <w:spacing w:before="125" w:line="374" w:lineRule="exact"/>
        <w:ind w:left="568"/>
        <w:rPr>
          <w:color w:val="auto"/>
        </w:rPr>
      </w:pPr>
      <w:r>
        <w:rPr>
          <w:color w:val="auto"/>
          <w:spacing w:val="-8"/>
          <w:position w:val="12"/>
        </w:rPr>
        <w:t>①不同类型作品的著作权资产，</w:t>
      </w:r>
      <w:r>
        <w:rPr>
          <w:color w:val="auto"/>
          <w:spacing w:val="23"/>
          <w:position w:val="12"/>
        </w:rPr>
        <w:t xml:space="preserve"> </w:t>
      </w:r>
      <w:r>
        <w:rPr>
          <w:color w:val="auto"/>
          <w:spacing w:val="-8"/>
          <w:position w:val="12"/>
        </w:rPr>
        <w:t>价值影响因素可能差别很大。同样是</w:t>
      </w:r>
      <w:r>
        <w:rPr>
          <w:color w:val="auto"/>
          <w:spacing w:val="-9"/>
          <w:position w:val="12"/>
        </w:rPr>
        <w:t>录音制品，</w:t>
      </w:r>
      <w:r>
        <w:rPr>
          <w:color w:val="auto"/>
          <w:spacing w:val="23"/>
          <w:position w:val="12"/>
        </w:rPr>
        <w:t xml:space="preserve"> </w:t>
      </w:r>
      <w:r>
        <w:rPr>
          <w:color w:val="auto"/>
          <w:spacing w:val="-9"/>
          <w:position w:val="12"/>
        </w:rPr>
        <w:t>流行音乐和经典音</w:t>
      </w:r>
    </w:p>
    <w:p w14:paraId="48F25E63">
      <w:pPr>
        <w:pStyle w:val="2"/>
        <w:spacing w:line="220" w:lineRule="auto"/>
        <w:ind w:left="155"/>
        <w:rPr>
          <w:color w:val="auto"/>
        </w:rPr>
      </w:pPr>
      <w:r>
        <w:rPr>
          <w:color w:val="auto"/>
          <w:spacing w:val="-1"/>
        </w:rPr>
        <w:t>乐就有很大差异：第一是创作投入差异；第二是顾客对象差异；第三是</w:t>
      </w:r>
      <w:r>
        <w:rPr>
          <w:color w:val="auto"/>
          <w:spacing w:val="-2"/>
        </w:rPr>
        <w:t>寿命周期差异。</w:t>
      </w:r>
    </w:p>
    <w:p w14:paraId="741E116C">
      <w:pPr>
        <w:pStyle w:val="2"/>
        <w:spacing w:before="124" w:line="376" w:lineRule="exact"/>
        <w:ind w:left="567"/>
        <w:rPr>
          <w:color w:val="auto"/>
        </w:rPr>
      </w:pPr>
      <w:r>
        <w:rPr>
          <w:color w:val="auto"/>
          <w:spacing w:val="-8"/>
          <w:position w:val="12"/>
        </w:rPr>
        <w:t>②不同类型作品的著作权资产，</w:t>
      </w:r>
      <w:r>
        <w:rPr>
          <w:color w:val="auto"/>
          <w:spacing w:val="23"/>
          <w:position w:val="12"/>
        </w:rPr>
        <w:t xml:space="preserve"> </w:t>
      </w:r>
      <w:r>
        <w:rPr>
          <w:color w:val="auto"/>
          <w:spacing w:val="-8"/>
          <w:position w:val="12"/>
        </w:rPr>
        <w:t>其法律规定也有不同。如原创作品和演</w:t>
      </w:r>
      <w:r>
        <w:rPr>
          <w:color w:val="auto"/>
          <w:spacing w:val="-9"/>
          <w:position w:val="12"/>
        </w:rPr>
        <w:t>绎作品的差异，</w:t>
      </w:r>
      <w:r>
        <w:rPr>
          <w:color w:val="auto"/>
          <w:spacing w:val="23"/>
          <w:position w:val="12"/>
        </w:rPr>
        <w:t xml:space="preserve"> </w:t>
      </w:r>
      <w:r>
        <w:rPr>
          <w:color w:val="auto"/>
          <w:spacing w:val="-9"/>
          <w:position w:val="12"/>
        </w:rPr>
        <w:t>演绎作品是</w:t>
      </w:r>
    </w:p>
    <w:p w14:paraId="47D01888">
      <w:pPr>
        <w:pStyle w:val="2"/>
        <w:spacing w:before="1" w:line="218" w:lineRule="auto"/>
        <w:ind w:left="148"/>
        <w:rPr>
          <w:color w:val="auto"/>
        </w:rPr>
      </w:pPr>
      <w:r>
        <w:rPr>
          <w:color w:val="auto"/>
          <w:spacing w:val="-1"/>
        </w:rPr>
        <w:t>在原创作品的基础上通过翻译、改编等方式产生的新产品，其价值和原创作品不同。</w:t>
      </w:r>
    </w:p>
    <w:p w14:paraId="03254869">
      <w:pPr>
        <w:pStyle w:val="2"/>
        <w:spacing w:before="125" w:line="330" w:lineRule="auto"/>
        <w:ind w:left="150" w:right="295" w:firstLine="417"/>
        <w:rPr>
          <w:color w:val="auto"/>
        </w:rPr>
      </w:pPr>
      <w:r>
        <w:rPr>
          <w:color w:val="auto"/>
          <w:spacing w:val="-9"/>
        </w:rPr>
        <w:t>③不同作品，</w:t>
      </w:r>
      <w:r>
        <w:rPr>
          <w:color w:val="auto"/>
          <w:spacing w:val="46"/>
        </w:rPr>
        <w:t xml:space="preserve"> </w:t>
      </w:r>
      <w:r>
        <w:rPr>
          <w:color w:val="auto"/>
          <w:spacing w:val="-9"/>
        </w:rPr>
        <w:t>其传播方式也不同，</w:t>
      </w:r>
      <w:r>
        <w:rPr>
          <w:color w:val="auto"/>
          <w:spacing w:val="28"/>
        </w:rPr>
        <w:t xml:space="preserve"> </w:t>
      </w:r>
      <w:r>
        <w:rPr>
          <w:color w:val="auto"/>
          <w:spacing w:val="-9"/>
        </w:rPr>
        <w:t>会影响其传播范围、传播效果及传播收益。比如文字作品可以通</w:t>
      </w:r>
      <w:r>
        <w:rPr>
          <w:color w:val="auto"/>
        </w:rPr>
        <w:t xml:space="preserve"> </w:t>
      </w:r>
      <w:r>
        <w:rPr>
          <w:color w:val="auto"/>
          <w:spacing w:val="-7"/>
        </w:rPr>
        <w:t>过广播方式进行传播， 但美术、摄影作品就很难通过同样的方式传播，</w:t>
      </w:r>
      <w:r>
        <w:rPr>
          <w:color w:val="auto"/>
          <w:spacing w:val="22"/>
        </w:rPr>
        <w:t xml:space="preserve"> </w:t>
      </w:r>
      <w:r>
        <w:rPr>
          <w:color w:val="auto"/>
          <w:spacing w:val="-8"/>
        </w:rPr>
        <w:t>所以文字作品广播权价值就比美</w:t>
      </w:r>
    </w:p>
    <w:p w14:paraId="6CEF06B9">
      <w:pPr>
        <w:pStyle w:val="2"/>
        <w:spacing w:before="1" w:line="218" w:lineRule="auto"/>
        <w:ind w:left="150"/>
        <w:rPr>
          <w:color w:val="auto"/>
        </w:rPr>
      </w:pPr>
      <w:r>
        <w:rPr>
          <w:color w:val="auto"/>
          <w:spacing w:val="-4"/>
        </w:rPr>
        <w:t>术作品广播权价值要大。</w:t>
      </w:r>
    </w:p>
    <w:p w14:paraId="0A802302">
      <w:pPr>
        <w:pStyle w:val="2"/>
        <w:spacing w:before="125" w:line="220" w:lineRule="auto"/>
        <w:ind w:left="574"/>
        <w:rPr>
          <w:color w:val="auto"/>
        </w:rPr>
      </w:pPr>
      <w:r>
        <w:rPr>
          <w:color w:val="auto"/>
          <w:spacing w:val="-4"/>
        </w:rPr>
        <w:t>（3）作品的内容</w:t>
      </w:r>
    </w:p>
    <w:p w14:paraId="73E91ABC">
      <w:pPr>
        <w:pStyle w:val="2"/>
        <w:spacing w:before="125" w:line="219" w:lineRule="auto"/>
        <w:ind w:left="570"/>
        <w:rPr>
          <w:color w:val="auto"/>
        </w:rPr>
      </w:pPr>
      <w:r>
        <w:rPr>
          <w:color w:val="auto"/>
          <w:spacing w:val="-1"/>
        </w:rPr>
        <w:t>作品的内容决定其使用价值，使用价值越大，相应著作权的价值也就越大。</w:t>
      </w:r>
    </w:p>
    <w:p w14:paraId="50C19EC5">
      <w:pPr>
        <w:pStyle w:val="2"/>
        <w:spacing w:before="125" w:line="218" w:lineRule="auto"/>
        <w:ind w:left="568"/>
        <w:rPr>
          <w:color w:val="auto"/>
        </w:rPr>
      </w:pPr>
      <w:r>
        <w:rPr>
          <w:color w:val="auto"/>
          <w:spacing w:val="-2"/>
        </w:rPr>
        <w:t>①</w:t>
      </w:r>
      <w:r>
        <w:rPr>
          <w:color w:val="auto"/>
          <w:spacing w:val="-1"/>
        </w:rPr>
        <w:t>艺术性</w:t>
      </w:r>
    </w:p>
    <w:p w14:paraId="19A08011">
      <w:pPr>
        <w:pStyle w:val="2"/>
        <w:spacing w:before="127" w:line="330" w:lineRule="auto"/>
        <w:ind w:left="152" w:right="231" w:firstLine="419"/>
        <w:rPr>
          <w:color w:val="auto"/>
        </w:rPr>
      </w:pPr>
      <w:r>
        <w:rPr>
          <w:color w:val="auto"/>
          <w:spacing w:val="-1"/>
        </w:rPr>
        <w:t>著作权资产所依托的作品艺术上的独特性是其获得法律保护的依据，也是形成其价值的重要因素。</w:t>
      </w:r>
      <w:r>
        <w:rPr>
          <w:color w:val="auto"/>
        </w:rPr>
        <w:t xml:space="preserve"> </w:t>
      </w:r>
      <w:r>
        <w:rPr>
          <w:color w:val="auto"/>
          <w:spacing w:val="-8"/>
        </w:rPr>
        <w:t>如名著《红楼梦》包含了巨大的艺术价值和社会价值，</w:t>
      </w:r>
      <w:r>
        <w:rPr>
          <w:color w:val="auto"/>
          <w:spacing w:val="29"/>
        </w:rPr>
        <w:t xml:space="preserve"> </w:t>
      </w:r>
      <w:r>
        <w:rPr>
          <w:color w:val="auto"/>
          <w:spacing w:val="-8"/>
        </w:rPr>
        <w:t>被多次再</w:t>
      </w:r>
      <w:r>
        <w:rPr>
          <w:color w:val="auto"/>
          <w:spacing w:val="-9"/>
        </w:rPr>
        <w:t>版，</w:t>
      </w:r>
      <w:r>
        <w:rPr>
          <w:color w:val="auto"/>
          <w:spacing w:val="30"/>
        </w:rPr>
        <w:t xml:space="preserve"> </w:t>
      </w:r>
      <w:r>
        <w:rPr>
          <w:color w:val="auto"/>
          <w:spacing w:val="-9"/>
        </w:rPr>
        <w:t>其价值当然也就要高于一般作家的</w:t>
      </w:r>
    </w:p>
    <w:p w14:paraId="66915F22">
      <w:pPr>
        <w:pStyle w:val="2"/>
        <w:spacing w:before="2" w:line="220" w:lineRule="auto"/>
        <w:ind w:left="154"/>
        <w:rPr>
          <w:color w:val="auto"/>
        </w:rPr>
      </w:pPr>
      <w:r>
        <w:rPr>
          <w:color w:val="auto"/>
          <w:spacing w:val="-10"/>
        </w:rPr>
        <w:t>小说。</w:t>
      </w:r>
    </w:p>
    <w:p w14:paraId="7BDC8292">
      <w:pPr>
        <w:pStyle w:val="2"/>
        <w:spacing w:before="122" w:line="218" w:lineRule="auto"/>
        <w:ind w:left="567"/>
        <w:rPr>
          <w:color w:val="auto"/>
        </w:rPr>
      </w:pPr>
      <w:r>
        <w:rPr>
          <w:color w:val="auto"/>
          <w:spacing w:val="-2"/>
        </w:rPr>
        <w:t>②</w:t>
      </w:r>
      <w:r>
        <w:rPr>
          <w:color w:val="auto"/>
          <w:spacing w:val="-1"/>
        </w:rPr>
        <w:t>时代性</w:t>
      </w:r>
    </w:p>
    <w:p w14:paraId="6254195C">
      <w:pPr>
        <w:pStyle w:val="2"/>
        <w:spacing w:before="127" w:line="375" w:lineRule="exact"/>
        <w:ind w:left="570"/>
        <w:rPr>
          <w:color w:val="auto"/>
        </w:rPr>
      </w:pPr>
      <w:r>
        <w:rPr>
          <w:color w:val="auto"/>
          <w:spacing w:val="-8"/>
          <w:position w:val="12"/>
        </w:rPr>
        <w:t>主要是指作品与时代相呼应，</w:t>
      </w:r>
      <w:r>
        <w:rPr>
          <w:color w:val="auto"/>
          <w:spacing w:val="23"/>
          <w:position w:val="12"/>
        </w:rPr>
        <w:t xml:space="preserve"> </w:t>
      </w:r>
      <w:r>
        <w:rPr>
          <w:color w:val="auto"/>
          <w:spacing w:val="-8"/>
          <w:position w:val="12"/>
        </w:rPr>
        <w:t>顺应时代的要</w:t>
      </w:r>
      <w:r>
        <w:rPr>
          <w:color w:val="auto"/>
          <w:spacing w:val="-9"/>
          <w:position w:val="12"/>
        </w:rPr>
        <w:t>求，</w:t>
      </w:r>
      <w:r>
        <w:rPr>
          <w:color w:val="auto"/>
          <w:spacing w:val="30"/>
          <w:position w:val="12"/>
        </w:rPr>
        <w:t xml:space="preserve"> </w:t>
      </w:r>
      <w:r>
        <w:rPr>
          <w:color w:val="auto"/>
          <w:spacing w:val="-9"/>
          <w:position w:val="12"/>
        </w:rPr>
        <w:t>能较大程度地满足人们某方面的需求。时代性强的</w:t>
      </w:r>
    </w:p>
    <w:p w14:paraId="2C48CDB2">
      <w:pPr>
        <w:pStyle w:val="2"/>
        <w:spacing w:before="1" w:line="218" w:lineRule="auto"/>
        <w:ind w:left="150"/>
        <w:rPr>
          <w:color w:val="auto"/>
        </w:rPr>
      </w:pPr>
      <w:r>
        <w:rPr>
          <w:color w:val="auto"/>
        </w:rPr>
        <w:t>作品相对来说使用价值要大，著作权资产的价值也相</w:t>
      </w:r>
      <w:r>
        <w:rPr>
          <w:color w:val="auto"/>
          <w:spacing w:val="-1"/>
        </w:rPr>
        <w:t>对较高。《人民的名义》、《中国机长》</w:t>
      </w:r>
    </w:p>
    <w:p w14:paraId="5DF2A28E">
      <w:pPr>
        <w:pStyle w:val="2"/>
        <w:spacing w:before="126" w:line="218" w:lineRule="auto"/>
        <w:ind w:left="567"/>
        <w:rPr>
          <w:color w:val="auto"/>
        </w:rPr>
      </w:pPr>
      <w:r>
        <w:rPr>
          <w:color w:val="auto"/>
          <w:spacing w:val="-1"/>
        </w:rPr>
        <w:t>③技术水平</w:t>
      </w:r>
    </w:p>
    <w:p w14:paraId="752E0251">
      <w:pPr>
        <w:pStyle w:val="2"/>
        <w:spacing w:before="127" w:line="375" w:lineRule="exact"/>
        <w:ind w:left="572"/>
        <w:rPr>
          <w:color w:val="auto"/>
        </w:rPr>
      </w:pPr>
      <w:r>
        <w:rPr>
          <w:color w:val="auto"/>
          <w:spacing w:val="-7"/>
          <w:position w:val="12"/>
        </w:rPr>
        <w:t>著作权资产所依托的作品的创作难度大， 复制风险也大， 技术上的保密性和反侵权能力是衡量其价</w:t>
      </w:r>
    </w:p>
    <w:p w14:paraId="0BAA7853">
      <w:pPr>
        <w:pStyle w:val="2"/>
        <w:spacing w:line="220" w:lineRule="auto"/>
        <w:ind w:left="149"/>
        <w:rPr>
          <w:color w:val="auto"/>
        </w:rPr>
      </w:pPr>
      <w:r>
        <w:rPr>
          <w:color w:val="auto"/>
          <w:spacing w:val="-5"/>
        </w:rPr>
        <w:t>值的重要标准。</w:t>
      </w:r>
    </w:p>
    <w:p w14:paraId="2D15C8BD">
      <w:pPr>
        <w:pStyle w:val="2"/>
        <w:spacing w:before="124" w:line="221" w:lineRule="auto"/>
        <w:ind w:left="574"/>
        <w:rPr>
          <w:color w:val="auto"/>
        </w:rPr>
      </w:pPr>
      <w:r>
        <w:rPr>
          <w:color w:val="auto"/>
          <w:spacing w:val="-2"/>
        </w:rPr>
        <w:t>（4）作品作者的</w:t>
      </w:r>
      <w:r>
        <w:rPr>
          <w:color w:val="auto"/>
          <w:spacing w:val="-1"/>
        </w:rPr>
        <w:t>知名度</w:t>
      </w:r>
    </w:p>
    <w:p w14:paraId="0744AF31">
      <w:pPr>
        <w:pStyle w:val="2"/>
        <w:spacing w:before="124" w:line="375" w:lineRule="exact"/>
        <w:ind w:left="570"/>
        <w:rPr>
          <w:color w:val="auto"/>
        </w:rPr>
      </w:pPr>
      <w:r>
        <w:rPr>
          <w:color w:val="auto"/>
          <w:spacing w:val="-9"/>
          <w:position w:val="12"/>
        </w:rPr>
        <w:t>有些著作权的价值与创作者的知名度有很大关系，</w:t>
      </w:r>
      <w:r>
        <w:rPr>
          <w:color w:val="auto"/>
          <w:spacing w:val="46"/>
          <w:position w:val="12"/>
        </w:rPr>
        <w:t xml:space="preserve"> </w:t>
      </w:r>
      <w:r>
        <w:rPr>
          <w:color w:val="auto"/>
          <w:spacing w:val="-9"/>
          <w:position w:val="12"/>
        </w:rPr>
        <w:t>如文字、摄影、动漫、音像等创意设计作品，</w:t>
      </w:r>
      <w:r>
        <w:rPr>
          <w:color w:val="auto"/>
          <w:spacing w:val="34"/>
          <w:position w:val="12"/>
        </w:rPr>
        <w:t xml:space="preserve"> </w:t>
      </w:r>
      <w:r>
        <w:rPr>
          <w:color w:val="auto"/>
          <w:spacing w:val="-9"/>
          <w:position w:val="12"/>
        </w:rPr>
        <w:t>创</w:t>
      </w:r>
    </w:p>
    <w:p w14:paraId="74C509C8">
      <w:pPr>
        <w:pStyle w:val="2"/>
        <w:spacing w:before="1" w:line="218" w:lineRule="auto"/>
        <w:ind w:left="150"/>
        <w:rPr>
          <w:color w:val="auto"/>
        </w:rPr>
      </w:pPr>
      <w:r>
        <w:rPr>
          <w:color w:val="auto"/>
          <w:spacing w:val="-3"/>
        </w:rPr>
        <w:t>作者知名度高，价值也就更高。</w:t>
      </w:r>
    </w:p>
    <w:p w14:paraId="19F41BD3">
      <w:pPr>
        <w:pStyle w:val="2"/>
        <w:spacing w:before="127" w:line="220" w:lineRule="auto"/>
        <w:ind w:left="575"/>
        <w:rPr>
          <w:color w:val="auto"/>
          <w:spacing w:val="-1"/>
        </w:rPr>
      </w:pPr>
      <w:r>
        <w:rPr>
          <w:color w:val="auto"/>
          <w:spacing w:val="-1"/>
        </w:rPr>
        <w:t>（5）作品的生产制作能力</w:t>
      </w:r>
    </w:p>
    <w:p w14:paraId="405C25ED">
      <w:pPr>
        <w:pStyle w:val="2"/>
        <w:spacing w:before="123" w:line="330" w:lineRule="auto"/>
        <w:ind w:left="166" w:right="295" w:firstLine="401"/>
        <w:rPr>
          <w:color w:val="auto"/>
        </w:rPr>
      </w:pPr>
      <w:r>
        <w:rPr>
          <w:color w:val="auto"/>
          <w:spacing w:val="-2"/>
        </w:rPr>
        <w:t>①不同类型作品在创作人员、配套资源要求、创作流程等</w:t>
      </w:r>
      <w:r>
        <w:rPr>
          <w:color w:val="auto"/>
          <w:spacing w:val="-3"/>
        </w:rPr>
        <w:t>方面都存在差异。文字、美术、摄影等作</w:t>
      </w:r>
      <w:r>
        <w:rPr>
          <w:color w:val="auto"/>
        </w:rPr>
        <w:t xml:space="preserve"> </w:t>
      </w:r>
      <w:r>
        <w:rPr>
          <w:color w:val="auto"/>
          <w:spacing w:val="-7"/>
        </w:rPr>
        <w:t>品更多依赖于作者个人的创造性工作， 这类作品生产制作能力受作者个人影响较大， 提高供给量的</w:t>
      </w:r>
      <w:r>
        <w:rPr>
          <w:color w:val="auto"/>
          <w:spacing w:val="-8"/>
        </w:rPr>
        <w:t>方式</w:t>
      </w:r>
    </w:p>
    <w:p w14:paraId="677E75FA">
      <w:pPr>
        <w:pStyle w:val="2"/>
        <w:spacing w:before="243" w:line="374" w:lineRule="exact"/>
        <w:ind w:left="567"/>
        <w:rPr>
          <w:color w:val="auto"/>
          <w:spacing w:val="-3"/>
        </w:rPr>
      </w:pPr>
      <w:r>
        <w:rPr>
          <w:color w:val="auto"/>
          <w:spacing w:val="-3"/>
        </w:rPr>
        <w:t>是培养更多专门人才，提高创作人员基数。</w:t>
      </w:r>
    </w:p>
    <w:p w14:paraId="68F14BED">
      <w:pPr>
        <w:pStyle w:val="2"/>
        <w:spacing w:before="243" w:line="374" w:lineRule="exact"/>
        <w:ind w:left="567"/>
        <w:rPr>
          <w:color w:val="auto"/>
        </w:rPr>
      </w:pPr>
      <w:r>
        <w:rPr>
          <w:color w:val="auto"/>
          <w:spacing w:val="-6"/>
          <w:position w:val="12"/>
        </w:rPr>
        <w:t>②影视作品、计算机软件则大部分为集体工作成果，</w:t>
      </w:r>
      <w:r>
        <w:rPr>
          <w:color w:val="auto"/>
          <w:spacing w:val="50"/>
          <w:position w:val="12"/>
        </w:rPr>
        <w:t xml:space="preserve"> </w:t>
      </w:r>
      <w:r>
        <w:rPr>
          <w:color w:val="auto"/>
          <w:spacing w:val="-6"/>
          <w:position w:val="12"/>
        </w:rPr>
        <w:t>其供给量受到剧本、演员、导演、资金等多方</w:t>
      </w:r>
    </w:p>
    <w:p w14:paraId="7E588066">
      <w:pPr>
        <w:pStyle w:val="2"/>
        <w:spacing w:line="219" w:lineRule="auto"/>
        <w:ind w:left="150"/>
        <w:rPr>
          <w:color w:val="auto"/>
        </w:rPr>
      </w:pPr>
      <w:r>
        <w:rPr>
          <w:color w:val="auto"/>
          <w:spacing w:val="-1"/>
        </w:rPr>
        <w:t>面因素限制，提高供给量则需要企业具备比较强的资金实力和资源整合能力、著作权作品储备等。</w:t>
      </w:r>
    </w:p>
    <w:p w14:paraId="08A77230">
      <w:pPr>
        <w:pStyle w:val="2"/>
        <w:spacing w:before="124" w:line="221" w:lineRule="auto"/>
        <w:ind w:left="574"/>
        <w:rPr>
          <w:color w:val="auto"/>
        </w:rPr>
      </w:pPr>
      <w:r>
        <w:rPr>
          <w:color w:val="auto"/>
          <w:spacing w:val="-2"/>
        </w:rPr>
        <w:t>（6）作品的</w:t>
      </w:r>
      <w:r>
        <w:rPr>
          <w:color w:val="auto"/>
          <w:spacing w:val="-1"/>
        </w:rPr>
        <w:t>发表情况</w:t>
      </w:r>
    </w:p>
    <w:p w14:paraId="00A74AC7">
      <w:pPr>
        <w:pStyle w:val="2"/>
        <w:spacing w:before="124" w:line="219" w:lineRule="auto"/>
        <w:ind w:left="568"/>
        <w:rPr>
          <w:color w:val="auto"/>
        </w:rPr>
      </w:pPr>
      <w:r>
        <w:rPr>
          <w:color w:val="auto"/>
          <w:spacing w:val="-2"/>
        </w:rPr>
        <w:t>在进行著作权评估业务过程中，必须考虑作品的发表状况。</w:t>
      </w:r>
    </w:p>
    <w:p w14:paraId="03483ADF">
      <w:pPr>
        <w:pStyle w:val="2"/>
        <w:spacing w:before="125" w:line="218" w:lineRule="auto"/>
        <w:ind w:left="568"/>
        <w:rPr>
          <w:color w:val="auto"/>
        </w:rPr>
      </w:pPr>
      <w:r>
        <w:rPr>
          <w:color w:val="auto"/>
          <w:spacing w:val="-1"/>
        </w:rPr>
        <w:t>①发表状态影响资产的剩余经济寿命。50</w:t>
      </w:r>
      <w:r>
        <w:rPr>
          <w:color w:val="auto"/>
          <w:spacing w:val="-43"/>
        </w:rPr>
        <w:t xml:space="preserve"> </w:t>
      </w:r>
      <w:r>
        <w:rPr>
          <w:color w:val="auto"/>
          <w:spacing w:val="-1"/>
        </w:rPr>
        <w:t>年内未进行发表，法律将</w:t>
      </w:r>
      <w:r>
        <w:rPr>
          <w:color w:val="auto"/>
          <w:spacing w:val="-2"/>
        </w:rPr>
        <w:t>不再保护。</w:t>
      </w:r>
    </w:p>
    <w:p w14:paraId="23BA8D8C">
      <w:pPr>
        <w:pStyle w:val="2"/>
        <w:spacing w:before="127" w:line="330" w:lineRule="auto"/>
        <w:ind w:left="150" w:right="296" w:firstLine="420"/>
        <w:rPr>
          <w:color w:val="auto"/>
        </w:rPr>
      </w:pPr>
      <w:r>
        <w:rPr>
          <w:color w:val="auto"/>
          <w:spacing w:val="-5"/>
        </w:rPr>
        <w:t>法人或者非法人组织的作品、著作权（署名权除外）</w:t>
      </w:r>
      <w:r>
        <w:rPr>
          <w:color w:val="auto"/>
          <w:spacing w:val="24"/>
        </w:rPr>
        <w:t xml:space="preserve"> </w:t>
      </w:r>
      <w:r>
        <w:rPr>
          <w:color w:val="auto"/>
          <w:spacing w:val="-5"/>
        </w:rPr>
        <w:t>由</w:t>
      </w:r>
      <w:r>
        <w:rPr>
          <w:color w:val="auto"/>
          <w:spacing w:val="-6"/>
        </w:rPr>
        <w:t>法人或者非法人组织享有的职务作品、视听</w:t>
      </w:r>
      <w:r>
        <w:rPr>
          <w:color w:val="auto"/>
        </w:rPr>
        <w:t xml:space="preserve"> </w:t>
      </w:r>
      <w:r>
        <w:rPr>
          <w:color w:val="auto"/>
          <w:spacing w:val="-1"/>
        </w:rPr>
        <w:t>作品创作完成后</w:t>
      </w:r>
      <w:r>
        <w:rPr>
          <w:color w:val="auto"/>
          <w:spacing w:val="-29"/>
        </w:rPr>
        <w:t xml:space="preserve"> </w:t>
      </w:r>
      <w:r>
        <w:rPr>
          <w:color w:val="auto"/>
          <w:spacing w:val="-1"/>
        </w:rPr>
        <w:t>50</w:t>
      </w:r>
      <w:r>
        <w:rPr>
          <w:color w:val="auto"/>
          <w:spacing w:val="-42"/>
        </w:rPr>
        <w:t xml:space="preserve"> </w:t>
      </w:r>
      <w:r>
        <w:rPr>
          <w:color w:val="auto"/>
          <w:spacing w:val="-1"/>
        </w:rPr>
        <w:t>年内未进行发表，法律将不再保护。也就是说如果上述几种作品创作完成后未进行</w:t>
      </w:r>
    </w:p>
    <w:p w14:paraId="395936AE">
      <w:pPr>
        <w:pStyle w:val="2"/>
        <w:spacing w:line="220" w:lineRule="auto"/>
        <w:ind w:left="152"/>
        <w:rPr>
          <w:color w:val="auto"/>
        </w:rPr>
      </w:pPr>
      <w:r>
        <w:rPr>
          <w:color w:val="auto"/>
          <w:spacing w:val="-2"/>
        </w:rPr>
        <w:t>发表，其最多只具有</w:t>
      </w:r>
      <w:r>
        <w:rPr>
          <w:color w:val="auto"/>
          <w:spacing w:val="-39"/>
        </w:rPr>
        <w:t xml:space="preserve"> </w:t>
      </w:r>
      <w:r>
        <w:rPr>
          <w:color w:val="auto"/>
          <w:spacing w:val="-2"/>
        </w:rPr>
        <w:t>50</w:t>
      </w:r>
      <w:r>
        <w:rPr>
          <w:color w:val="auto"/>
          <w:spacing w:val="-43"/>
        </w:rPr>
        <w:t xml:space="preserve"> </w:t>
      </w:r>
      <w:r>
        <w:rPr>
          <w:color w:val="auto"/>
          <w:spacing w:val="-2"/>
        </w:rPr>
        <w:t>年的经济寿命，超过</w:t>
      </w:r>
      <w:r>
        <w:rPr>
          <w:color w:val="auto"/>
          <w:spacing w:val="-40"/>
        </w:rPr>
        <w:t xml:space="preserve"> </w:t>
      </w:r>
      <w:r>
        <w:rPr>
          <w:color w:val="auto"/>
          <w:spacing w:val="-2"/>
        </w:rPr>
        <w:t>50</w:t>
      </w:r>
      <w:r>
        <w:rPr>
          <w:color w:val="auto"/>
          <w:spacing w:val="-44"/>
        </w:rPr>
        <w:t xml:space="preserve"> </w:t>
      </w:r>
      <w:r>
        <w:rPr>
          <w:color w:val="auto"/>
          <w:spacing w:val="-2"/>
        </w:rPr>
        <w:t>年后其所产生的经济利益将不再归属于创作人。</w:t>
      </w:r>
    </w:p>
    <w:p w14:paraId="4646C6ED">
      <w:pPr>
        <w:pStyle w:val="2"/>
        <w:spacing w:before="124" w:line="218" w:lineRule="auto"/>
        <w:ind w:left="567"/>
        <w:rPr>
          <w:color w:val="auto"/>
        </w:rPr>
      </w:pPr>
      <w:r>
        <w:rPr>
          <w:color w:val="auto"/>
        </w:rPr>
        <w:t>②发表状态还会影响</w:t>
      </w:r>
      <w:r>
        <w:rPr>
          <w:color w:val="auto"/>
          <w:spacing w:val="-1"/>
        </w:rPr>
        <w:t>作品的影响力和经济利益</w:t>
      </w:r>
      <w:r>
        <w:rPr>
          <w:color w:val="auto"/>
        </w:rPr>
        <w:t>。</w:t>
      </w:r>
    </w:p>
    <w:p w14:paraId="0B928EAA">
      <w:pPr>
        <w:pStyle w:val="2"/>
        <w:spacing w:before="126" w:line="376" w:lineRule="exact"/>
        <w:ind w:left="572"/>
        <w:rPr>
          <w:color w:val="auto"/>
        </w:rPr>
      </w:pPr>
      <w:r>
        <w:rPr>
          <w:color w:val="auto"/>
          <w:spacing w:val="-11"/>
          <w:position w:val="12"/>
        </w:rPr>
        <w:t>发表是作品扩大受众范围的途径，</w:t>
      </w:r>
      <w:r>
        <w:rPr>
          <w:color w:val="auto"/>
          <w:spacing w:val="23"/>
          <w:position w:val="12"/>
        </w:rPr>
        <w:t xml:space="preserve"> </w:t>
      </w:r>
      <w:r>
        <w:rPr>
          <w:color w:val="auto"/>
          <w:spacing w:val="-11"/>
          <w:position w:val="12"/>
        </w:rPr>
        <w:t>作品通过这种方式能够被更多的受众</w:t>
      </w:r>
      <w:r>
        <w:rPr>
          <w:color w:val="auto"/>
          <w:spacing w:val="-12"/>
          <w:position w:val="12"/>
        </w:rPr>
        <w:t>接触，</w:t>
      </w:r>
      <w:r>
        <w:rPr>
          <w:color w:val="auto"/>
          <w:spacing w:val="22"/>
          <w:position w:val="12"/>
        </w:rPr>
        <w:t xml:space="preserve"> </w:t>
      </w:r>
      <w:r>
        <w:rPr>
          <w:color w:val="auto"/>
          <w:spacing w:val="-12"/>
          <w:position w:val="12"/>
        </w:rPr>
        <w:t>扩大其影响力，</w:t>
      </w:r>
      <w:r>
        <w:rPr>
          <w:color w:val="auto"/>
          <w:spacing w:val="22"/>
          <w:position w:val="12"/>
        </w:rPr>
        <w:t xml:space="preserve"> </w:t>
      </w:r>
      <w:r>
        <w:rPr>
          <w:color w:val="auto"/>
          <w:spacing w:val="-12"/>
          <w:position w:val="12"/>
        </w:rPr>
        <w:t>影响</w:t>
      </w:r>
    </w:p>
    <w:p w14:paraId="5944E613">
      <w:pPr>
        <w:pStyle w:val="2"/>
        <w:spacing w:before="1" w:line="218" w:lineRule="auto"/>
        <w:ind w:left="152"/>
        <w:rPr>
          <w:color w:val="auto"/>
        </w:rPr>
      </w:pPr>
      <w:r>
        <w:rPr>
          <w:color w:val="auto"/>
          <w:spacing w:val="-2"/>
        </w:rPr>
        <w:t>著作权资产能够带来的经济利益，从而影响其价值。</w:t>
      </w:r>
    </w:p>
    <w:p w14:paraId="11339B62">
      <w:pPr>
        <w:pStyle w:val="2"/>
        <w:spacing w:before="125" w:line="220" w:lineRule="auto"/>
        <w:ind w:left="574"/>
        <w:rPr>
          <w:color w:val="auto"/>
        </w:rPr>
      </w:pPr>
      <w:r>
        <w:rPr>
          <w:color w:val="auto"/>
          <w:spacing w:val="-3"/>
        </w:rPr>
        <w:t>（7）作品的已传播情况</w:t>
      </w:r>
    </w:p>
    <w:p w14:paraId="4DA4721D">
      <w:pPr>
        <w:pStyle w:val="2"/>
        <w:spacing w:before="126" w:line="220" w:lineRule="auto"/>
        <w:ind w:left="571"/>
        <w:rPr>
          <w:color w:val="auto"/>
        </w:rPr>
      </w:pPr>
      <w:r>
        <w:rPr>
          <w:color w:val="auto"/>
          <w:spacing w:val="-1"/>
        </w:rPr>
        <w:t>指作品被人观看或阅读的次数及其范围，是家喻户晓还是部分人群知道，或者是无人知晓。</w:t>
      </w:r>
    </w:p>
    <w:p w14:paraId="2B116395">
      <w:pPr>
        <w:pStyle w:val="2"/>
        <w:spacing w:before="124" w:line="375" w:lineRule="exact"/>
        <w:ind w:left="546"/>
        <w:rPr>
          <w:color w:val="auto"/>
        </w:rPr>
      </w:pPr>
      <w:r>
        <w:rPr>
          <w:color w:val="auto"/>
          <w:spacing w:val="-8"/>
          <w:position w:val="12"/>
        </w:rPr>
        <w:t>《我和我的祖国》点燃了人们的爱国热情，</w:t>
      </w:r>
      <w:r>
        <w:rPr>
          <w:color w:val="auto"/>
          <w:spacing w:val="30"/>
          <w:position w:val="12"/>
        </w:rPr>
        <w:t xml:space="preserve"> </w:t>
      </w:r>
      <w:r>
        <w:rPr>
          <w:color w:val="auto"/>
          <w:spacing w:val="-8"/>
          <w:position w:val="12"/>
        </w:rPr>
        <w:t>这部电影短时间内就遍地开花，</w:t>
      </w:r>
      <w:r>
        <w:rPr>
          <w:color w:val="auto"/>
          <w:spacing w:val="29"/>
          <w:position w:val="12"/>
        </w:rPr>
        <w:t xml:space="preserve"> </w:t>
      </w:r>
      <w:r>
        <w:rPr>
          <w:color w:val="auto"/>
          <w:spacing w:val="-8"/>
          <w:position w:val="12"/>
        </w:rPr>
        <w:t>那么</w:t>
      </w:r>
      <w:r>
        <w:rPr>
          <w:color w:val="auto"/>
          <w:spacing w:val="-9"/>
          <w:position w:val="12"/>
        </w:rPr>
        <w:t>这部电影的使用价</w:t>
      </w:r>
    </w:p>
    <w:p w14:paraId="1DF259AC">
      <w:pPr>
        <w:pStyle w:val="2"/>
        <w:spacing w:line="218" w:lineRule="auto"/>
        <w:ind w:left="149"/>
        <w:rPr>
          <w:color w:val="auto"/>
        </w:rPr>
      </w:pPr>
      <w:r>
        <w:rPr>
          <w:color w:val="auto"/>
          <w:spacing w:val="-2"/>
        </w:rPr>
        <w:t>值达到最高，其著作权资产的价值也就相对较高。</w:t>
      </w:r>
    </w:p>
    <w:p w14:paraId="6C29B25C">
      <w:pPr>
        <w:pStyle w:val="2"/>
        <w:spacing w:before="128" w:line="220" w:lineRule="auto"/>
        <w:ind w:left="568"/>
        <w:rPr>
          <w:color w:val="auto"/>
        </w:rPr>
      </w:pPr>
      <w:r>
        <w:rPr>
          <w:color w:val="auto"/>
          <w:spacing w:val="-1"/>
        </w:rPr>
        <w:t>4.著作权资产的运营模式</w:t>
      </w:r>
    </w:p>
    <w:p w14:paraId="40C790A6">
      <w:pPr>
        <w:pStyle w:val="2"/>
        <w:spacing w:before="123" w:line="330" w:lineRule="auto"/>
        <w:ind w:left="166" w:right="295" w:firstLine="406"/>
        <w:rPr>
          <w:color w:val="auto"/>
        </w:rPr>
      </w:pPr>
      <w:r>
        <w:rPr>
          <w:color w:val="auto"/>
          <w:spacing w:val="-2"/>
        </w:rPr>
        <w:t>不同的著作权资产运营模式对著作权价值的实现具</w:t>
      </w:r>
      <w:r>
        <w:rPr>
          <w:color w:val="auto"/>
          <w:spacing w:val="-3"/>
        </w:rPr>
        <w:t>有较大的影响。某一种作品可以衍生出更多类型</w:t>
      </w:r>
      <w:r>
        <w:rPr>
          <w:color w:val="auto"/>
        </w:rPr>
        <w:t xml:space="preserve"> </w:t>
      </w:r>
      <w:r>
        <w:rPr>
          <w:color w:val="auto"/>
          <w:spacing w:val="-11"/>
        </w:rPr>
        <w:t>的作品， 从价值上来说，</w:t>
      </w:r>
      <w:r>
        <w:rPr>
          <w:color w:val="auto"/>
          <w:spacing w:val="40"/>
        </w:rPr>
        <w:t xml:space="preserve"> </w:t>
      </w:r>
      <w:r>
        <w:rPr>
          <w:color w:val="auto"/>
          <w:spacing w:val="-11"/>
        </w:rPr>
        <w:t>原始作品与衍生作品互相影响、互为基础。因此，</w:t>
      </w:r>
      <w:r>
        <w:rPr>
          <w:color w:val="auto"/>
          <w:spacing w:val="36"/>
        </w:rPr>
        <w:t xml:space="preserve"> </w:t>
      </w:r>
      <w:r>
        <w:rPr>
          <w:color w:val="auto"/>
          <w:spacing w:val="-11"/>
        </w:rPr>
        <w:t>最优的著作</w:t>
      </w:r>
      <w:r>
        <w:rPr>
          <w:color w:val="auto"/>
          <w:spacing w:val="-12"/>
        </w:rPr>
        <w:t>权资产运营模式</w:t>
      </w:r>
    </w:p>
    <w:p w14:paraId="7D85C7B0">
      <w:pPr>
        <w:pStyle w:val="2"/>
        <w:spacing w:before="1" w:line="218" w:lineRule="auto"/>
        <w:ind w:left="150"/>
        <w:rPr>
          <w:color w:val="auto"/>
        </w:rPr>
      </w:pPr>
      <w:r>
        <w:rPr>
          <w:color w:val="auto"/>
          <w:spacing w:val="-1"/>
        </w:rPr>
        <w:t>就是寻求实现从原始作品至全部衍生作品的全作品链的、各种财产权利价值最大化的模式。</w:t>
      </w:r>
    </w:p>
    <w:p w14:paraId="40F8D036">
      <w:pPr>
        <w:pStyle w:val="2"/>
        <w:spacing w:before="125" w:line="220" w:lineRule="auto"/>
        <w:ind w:left="572"/>
        <w:rPr>
          <w:color w:val="auto"/>
        </w:rPr>
      </w:pPr>
      <w:r>
        <w:rPr>
          <w:color w:val="auto"/>
          <w:spacing w:val="-4"/>
        </w:rPr>
        <w:t>著作权财产权有两种主要的收益方式：</w:t>
      </w:r>
    </w:p>
    <w:p w14:paraId="68EC0A67">
      <w:pPr>
        <w:spacing w:line="41" w:lineRule="exact"/>
        <w:rPr>
          <w:color w:val="auto"/>
        </w:rPr>
      </w:pPr>
    </w:p>
    <w:tbl>
      <w:tblPr>
        <w:tblStyle w:val="5"/>
        <w:tblW w:w="8477" w:type="dxa"/>
        <w:tblInd w:w="5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83"/>
        <w:gridCol w:w="6894"/>
      </w:tblGrid>
      <w:tr w14:paraId="39D37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583" w:type="dxa"/>
            <w:vMerge w:val="restart"/>
            <w:tcBorders>
              <w:bottom w:val="nil"/>
            </w:tcBorders>
            <w:vAlign w:val="top"/>
          </w:tcPr>
          <w:p w14:paraId="2722F1E5">
            <w:pPr>
              <w:spacing w:line="272" w:lineRule="auto"/>
              <w:rPr>
                <w:rFonts w:ascii="Arial"/>
                <w:color w:val="auto"/>
                <w:sz w:val="21"/>
              </w:rPr>
            </w:pPr>
          </w:p>
          <w:p w14:paraId="1C0F0870">
            <w:pPr>
              <w:pStyle w:val="6"/>
              <w:spacing w:before="69" w:line="220" w:lineRule="auto"/>
              <w:ind w:left="57"/>
              <w:rPr>
                <w:rFonts w:ascii="宋体" w:hAnsi="宋体" w:eastAsia="宋体" w:cs="宋体"/>
                <w:snapToGrid w:val="0"/>
                <w:color w:val="auto"/>
                <w:spacing w:val="-1"/>
                <w:kern w:val="0"/>
                <w:sz w:val="21"/>
                <w:szCs w:val="21"/>
                <w:lang w:val="en-US" w:eastAsia="en-US" w:bidi="ar-SA"/>
              </w:rPr>
            </w:pPr>
            <w:r>
              <w:rPr>
                <w:rFonts w:ascii="宋体" w:hAnsi="宋体" w:eastAsia="宋体" w:cs="宋体"/>
                <w:snapToGrid w:val="0"/>
                <w:color w:val="auto"/>
                <w:spacing w:val="-1"/>
                <w:kern w:val="0"/>
                <w:sz w:val="21"/>
                <w:szCs w:val="21"/>
                <w:lang w:val="en-US" w:eastAsia="en-US" w:bidi="ar-SA"/>
              </w:rPr>
              <w:t>销售型（直接收</w:t>
            </w:r>
          </w:p>
          <w:p w14:paraId="47CD2393">
            <w:pPr>
              <w:pStyle w:val="6"/>
              <w:spacing w:before="125" w:line="228" w:lineRule="auto"/>
              <w:ind w:left="479"/>
              <w:rPr>
                <w:color w:val="auto"/>
              </w:rPr>
            </w:pPr>
            <w:r>
              <w:rPr>
                <w:rFonts w:ascii="宋体" w:hAnsi="宋体" w:eastAsia="宋体" w:cs="宋体"/>
                <w:snapToGrid w:val="0"/>
                <w:color w:val="auto"/>
                <w:spacing w:val="-1"/>
                <w:kern w:val="0"/>
                <w:sz w:val="21"/>
                <w:szCs w:val="21"/>
                <w:lang w:val="en-US" w:eastAsia="en-US" w:bidi="ar-SA"/>
              </w:rPr>
              <w:t xml:space="preserve">益型） </w:t>
            </w:r>
          </w:p>
        </w:tc>
        <w:tc>
          <w:tcPr>
            <w:tcW w:w="6894" w:type="dxa"/>
            <w:vAlign w:val="top"/>
          </w:tcPr>
          <w:p w14:paraId="51BB10CF">
            <w:pPr>
              <w:pStyle w:val="6"/>
              <w:spacing w:before="117" w:line="220" w:lineRule="auto"/>
              <w:ind w:left="52"/>
              <w:rPr>
                <w:color w:val="auto"/>
              </w:rPr>
            </w:pPr>
            <w:r>
              <w:rPr>
                <w:color w:val="auto"/>
                <w:spacing w:val="-2"/>
              </w:rPr>
              <w:t>图书作品即通过销售直接获得其收益</w:t>
            </w:r>
          </w:p>
        </w:tc>
      </w:tr>
      <w:tr w14:paraId="44AF7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2" w:hRule="atLeast"/>
        </w:trPr>
        <w:tc>
          <w:tcPr>
            <w:tcW w:w="1583" w:type="dxa"/>
            <w:vMerge w:val="continue"/>
            <w:tcBorders>
              <w:top w:val="nil"/>
            </w:tcBorders>
            <w:vAlign w:val="top"/>
          </w:tcPr>
          <w:p w14:paraId="191828DF">
            <w:pPr>
              <w:rPr>
                <w:rFonts w:ascii="Arial"/>
                <w:color w:val="auto"/>
                <w:sz w:val="21"/>
              </w:rPr>
            </w:pPr>
          </w:p>
        </w:tc>
        <w:tc>
          <w:tcPr>
            <w:tcW w:w="6894" w:type="dxa"/>
            <w:vAlign w:val="top"/>
          </w:tcPr>
          <w:p w14:paraId="66FD449B">
            <w:pPr>
              <w:pStyle w:val="6"/>
              <w:spacing w:before="113" w:line="374" w:lineRule="exact"/>
              <w:ind w:left="30"/>
              <w:rPr>
                <w:color w:val="auto"/>
              </w:rPr>
            </w:pPr>
            <w:r>
              <w:rPr>
                <w:color w:val="auto"/>
                <w:position w:val="12"/>
              </w:rPr>
              <w:t>对于销售型著作权财产权通常会采用一定比例的版税</w:t>
            </w:r>
            <w:r>
              <w:rPr>
                <w:color w:val="auto"/>
                <w:spacing w:val="-1"/>
                <w:position w:val="12"/>
              </w:rPr>
              <w:t>或提成费用的评估方</w:t>
            </w:r>
          </w:p>
          <w:p w14:paraId="76DBDA67">
            <w:pPr>
              <w:pStyle w:val="6"/>
              <w:spacing w:line="218" w:lineRule="auto"/>
              <w:ind w:left="32"/>
              <w:rPr>
                <w:color w:val="auto"/>
              </w:rPr>
            </w:pPr>
            <w:r>
              <w:rPr>
                <w:color w:val="auto"/>
                <w:spacing w:val="-1"/>
              </w:rPr>
              <w:t>法直接获得著作权资产的评估值</w:t>
            </w:r>
          </w:p>
        </w:tc>
      </w:tr>
      <w:tr w14:paraId="66705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1583" w:type="dxa"/>
            <w:vMerge w:val="restart"/>
            <w:tcBorders>
              <w:bottom w:val="nil"/>
            </w:tcBorders>
            <w:vAlign w:val="top"/>
          </w:tcPr>
          <w:p w14:paraId="1D653C5C">
            <w:pPr>
              <w:spacing w:line="270" w:lineRule="auto"/>
              <w:rPr>
                <w:rFonts w:ascii="Arial"/>
                <w:color w:val="auto"/>
                <w:sz w:val="21"/>
              </w:rPr>
            </w:pPr>
          </w:p>
          <w:p w14:paraId="51A111F4">
            <w:pPr>
              <w:pStyle w:val="6"/>
              <w:spacing w:before="68" w:line="220" w:lineRule="auto"/>
              <w:ind w:left="57"/>
              <w:rPr>
                <w:rFonts w:ascii="宋体" w:hAnsi="宋体" w:eastAsia="宋体" w:cs="宋体"/>
                <w:snapToGrid w:val="0"/>
                <w:color w:val="auto"/>
                <w:spacing w:val="-1"/>
                <w:kern w:val="0"/>
                <w:sz w:val="21"/>
                <w:szCs w:val="21"/>
                <w:lang w:val="en-US" w:eastAsia="en-US" w:bidi="ar-SA"/>
              </w:rPr>
            </w:pPr>
            <w:r>
              <w:rPr>
                <w:rFonts w:ascii="宋体" w:hAnsi="宋体" w:eastAsia="宋体" w:cs="宋体"/>
                <w:snapToGrid w:val="0"/>
                <w:color w:val="auto"/>
                <w:spacing w:val="-1"/>
                <w:kern w:val="0"/>
                <w:sz w:val="21"/>
                <w:szCs w:val="21"/>
                <w:lang w:val="en-US" w:eastAsia="en-US" w:bidi="ar-SA"/>
              </w:rPr>
              <w:t>使用型（间接收</w:t>
            </w:r>
          </w:p>
          <w:p w14:paraId="35927DAC">
            <w:pPr>
              <w:pStyle w:val="6"/>
              <w:spacing w:before="125" w:line="228" w:lineRule="auto"/>
              <w:ind w:left="479"/>
              <w:rPr>
                <w:color w:val="auto"/>
              </w:rPr>
            </w:pPr>
            <w:r>
              <w:rPr>
                <w:rFonts w:ascii="宋体" w:hAnsi="宋体" w:eastAsia="宋体" w:cs="宋体"/>
                <w:snapToGrid w:val="0"/>
                <w:color w:val="auto"/>
                <w:spacing w:val="-1"/>
                <w:kern w:val="0"/>
                <w:sz w:val="21"/>
                <w:szCs w:val="21"/>
                <w:lang w:val="en-US" w:eastAsia="en-US" w:bidi="ar-SA"/>
              </w:rPr>
              <w:t xml:space="preserve">益型） </w:t>
            </w:r>
          </w:p>
        </w:tc>
        <w:tc>
          <w:tcPr>
            <w:tcW w:w="6894" w:type="dxa"/>
            <w:vAlign w:val="top"/>
          </w:tcPr>
          <w:p w14:paraId="0D6E7627">
            <w:pPr>
              <w:pStyle w:val="6"/>
              <w:spacing w:before="114" w:line="220" w:lineRule="auto"/>
              <w:ind w:left="34"/>
              <w:rPr>
                <w:color w:val="auto"/>
              </w:rPr>
            </w:pPr>
            <w:r>
              <w:rPr>
                <w:color w:val="auto"/>
                <w:spacing w:val="-1"/>
              </w:rPr>
              <w:t>设计图纸</w:t>
            </w:r>
            <w:r>
              <w:rPr>
                <w:color w:val="auto"/>
              </w:rPr>
              <w:t>－－－</w:t>
            </w:r>
            <w:r>
              <w:rPr>
                <w:color w:val="auto"/>
                <w:spacing w:val="-1"/>
              </w:rPr>
              <w:t>使用图纸制造机器</w:t>
            </w:r>
          </w:p>
        </w:tc>
      </w:tr>
      <w:tr w14:paraId="75808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1583" w:type="dxa"/>
            <w:vMerge w:val="continue"/>
            <w:tcBorders>
              <w:top w:val="nil"/>
            </w:tcBorders>
            <w:vAlign w:val="top"/>
          </w:tcPr>
          <w:p w14:paraId="0F91E4D4">
            <w:pPr>
              <w:rPr>
                <w:rFonts w:ascii="Arial"/>
                <w:color w:val="auto"/>
                <w:sz w:val="21"/>
              </w:rPr>
            </w:pPr>
          </w:p>
        </w:tc>
        <w:tc>
          <w:tcPr>
            <w:tcW w:w="6894" w:type="dxa"/>
            <w:vAlign w:val="top"/>
          </w:tcPr>
          <w:p w14:paraId="59E2FA88">
            <w:pPr>
              <w:pStyle w:val="6"/>
              <w:spacing w:before="118" w:line="374" w:lineRule="exact"/>
              <w:ind w:left="30"/>
              <w:rPr>
                <w:color w:val="auto"/>
              </w:rPr>
            </w:pPr>
            <w:r>
              <w:rPr>
                <w:color w:val="auto"/>
                <w:spacing w:val="-3"/>
                <w:position w:val="12"/>
              </w:rPr>
              <w:t>评估过程中需要考虑作品的社会影响力、技术发展的水平等较难</w:t>
            </w:r>
            <w:r>
              <w:rPr>
                <w:color w:val="auto"/>
                <w:spacing w:val="-4"/>
                <w:position w:val="12"/>
              </w:rPr>
              <w:t>可靠量化的</w:t>
            </w:r>
          </w:p>
          <w:p w14:paraId="18EE49D6">
            <w:pPr>
              <w:pStyle w:val="6"/>
              <w:spacing w:line="220" w:lineRule="auto"/>
              <w:ind w:left="47"/>
              <w:rPr>
                <w:color w:val="auto"/>
              </w:rPr>
            </w:pPr>
            <w:r>
              <w:rPr>
                <w:color w:val="auto"/>
                <w:spacing w:val="-2"/>
              </w:rPr>
              <w:t>因素，因此有可能漏计或多计其贡献</w:t>
            </w:r>
          </w:p>
        </w:tc>
      </w:tr>
    </w:tbl>
    <w:p w14:paraId="5590DF7F">
      <w:pPr>
        <w:pStyle w:val="2"/>
        <w:spacing w:before="83" w:line="220" w:lineRule="auto"/>
        <w:ind w:left="573"/>
        <w:rPr>
          <w:color w:val="auto"/>
        </w:rPr>
      </w:pPr>
      <w:r>
        <w:rPr>
          <w:color w:val="auto"/>
          <w:spacing w:val="-2"/>
        </w:rPr>
        <w:t>5.著作权资产的法律状态</w:t>
      </w:r>
    </w:p>
    <w:p w14:paraId="68A38917">
      <w:pPr>
        <w:pStyle w:val="2"/>
        <w:spacing w:before="125" w:line="329" w:lineRule="auto"/>
        <w:ind w:left="570"/>
        <w:rPr>
          <w:color w:val="auto"/>
        </w:rPr>
      </w:pPr>
      <w:r>
        <w:rPr>
          <w:color w:val="auto"/>
          <w:spacing w:val="-9"/>
        </w:rPr>
        <w:t>我国《著作权法》对作品的保护采用</w:t>
      </w:r>
      <w:r>
        <w:rPr>
          <w:color w:val="auto"/>
          <w:spacing w:val="-61"/>
          <w:u w:val="double" w:color="auto"/>
        </w:rPr>
        <w:t xml:space="preserve"> </w:t>
      </w:r>
      <w:r>
        <w:rPr>
          <w:color w:val="auto"/>
          <w:spacing w:val="-1"/>
        </w:rPr>
        <w:t>自动保护原则</w:t>
      </w:r>
      <w:r>
        <w:rPr>
          <w:color w:val="auto"/>
          <w:spacing w:val="-9"/>
        </w:rPr>
        <w:t>，即作品一旦产生， 作者便享有著作权，</w:t>
      </w:r>
      <w:r>
        <w:rPr>
          <w:color w:val="auto"/>
          <w:spacing w:val="37"/>
        </w:rPr>
        <w:t xml:space="preserve"> </w:t>
      </w:r>
      <w:r>
        <w:rPr>
          <w:color w:val="auto"/>
          <w:spacing w:val="-9"/>
        </w:rPr>
        <w:t>不论登</w:t>
      </w:r>
    </w:p>
    <w:p w14:paraId="4DCC86E2">
      <w:pPr>
        <w:pStyle w:val="2"/>
        <w:spacing w:line="219" w:lineRule="auto"/>
        <w:ind w:left="148"/>
        <w:rPr>
          <w:color w:val="auto"/>
        </w:rPr>
      </w:pPr>
      <w:r>
        <w:rPr>
          <w:color w:val="auto"/>
        </w:rPr>
        <w:t>记与否都受法律保护。作品登记证书可以作</w:t>
      </w:r>
      <w:r>
        <w:rPr>
          <w:color w:val="auto"/>
          <w:spacing w:val="-1"/>
        </w:rPr>
        <w:t>为该著作权资产稳定性、可靠性的依据。</w:t>
      </w:r>
    </w:p>
    <w:p w14:paraId="57AB2753">
      <w:pPr>
        <w:pStyle w:val="2"/>
        <w:spacing w:before="125" w:line="376" w:lineRule="exact"/>
        <w:ind w:left="570"/>
        <w:rPr>
          <w:color w:val="auto"/>
        </w:rPr>
      </w:pPr>
      <w:r>
        <w:rPr>
          <w:color w:val="auto"/>
          <w:spacing w:val="-7"/>
          <w:position w:val="12"/>
        </w:rPr>
        <w:t>此外，</w:t>
      </w:r>
      <w:r>
        <w:rPr>
          <w:color w:val="auto"/>
          <w:spacing w:val="-36"/>
          <w:position w:val="12"/>
        </w:rPr>
        <w:t xml:space="preserve"> </w:t>
      </w:r>
      <w:r>
        <w:rPr>
          <w:color w:val="auto"/>
          <w:spacing w:val="-7"/>
          <w:position w:val="12"/>
        </w:rPr>
        <w:t>著作权资产的时效性与地域性等法律特征也会对其价值产生影响。如一些音乐、歌曲、电影、</w:t>
      </w:r>
    </w:p>
    <w:p w14:paraId="3A66409A">
      <w:pPr>
        <w:pStyle w:val="2"/>
        <w:spacing w:before="1" w:line="218" w:lineRule="auto"/>
        <w:ind w:left="173"/>
        <w:rPr>
          <w:color w:val="auto"/>
        </w:rPr>
      </w:pPr>
      <w:r>
        <w:rPr>
          <w:color w:val="auto"/>
          <w:spacing w:val="-1"/>
        </w:rPr>
        <w:t>电视剧在首次发表时期其收益价值较大，但随</w:t>
      </w:r>
      <w:r>
        <w:rPr>
          <w:color w:val="auto"/>
          <w:spacing w:val="-2"/>
        </w:rPr>
        <w:t>着时间的推移，其价值会有一个较大的衰减。</w:t>
      </w:r>
    </w:p>
    <w:p w14:paraId="09212F92">
      <w:pPr>
        <w:pStyle w:val="2"/>
        <w:spacing w:before="114" w:line="274" w:lineRule="auto"/>
        <w:ind w:left="603" w:right="1406" w:hanging="3"/>
        <w:jc w:val="both"/>
        <w:rPr>
          <w:rFonts w:ascii="黑体" w:hAnsi="黑体" w:eastAsia="黑体" w:cs="黑体"/>
          <w:color w:val="auto"/>
          <w:spacing w:val="-5"/>
          <w:sz w:val="23"/>
          <w:szCs w:val="23"/>
        </w:rPr>
      </w:pPr>
    </w:p>
    <w:p w14:paraId="5237B950">
      <w:pPr>
        <w:pStyle w:val="2"/>
        <w:spacing w:before="114" w:line="274" w:lineRule="auto"/>
        <w:ind w:left="603" w:right="1406" w:hanging="3"/>
        <w:jc w:val="both"/>
        <w:rPr>
          <w:color w:val="auto"/>
          <w:spacing w:val="1"/>
          <w:sz w:val="23"/>
          <w:szCs w:val="23"/>
        </w:rPr>
      </w:pPr>
      <w:r>
        <w:rPr>
          <w:rFonts w:ascii="黑体" w:hAnsi="黑体" w:eastAsia="黑体" w:cs="黑体"/>
          <w:color w:val="auto"/>
          <w:spacing w:val="-5"/>
          <w:sz w:val="23"/>
          <w:szCs w:val="23"/>
        </w:rPr>
        <w:t>【单选题】</w:t>
      </w:r>
      <w:r>
        <w:rPr>
          <w:color w:val="auto"/>
          <w:spacing w:val="-5"/>
          <w:sz w:val="23"/>
          <w:szCs w:val="23"/>
        </w:rPr>
        <w:t>下列关于著作权资产</w:t>
      </w:r>
      <w:r>
        <w:rPr>
          <w:color w:val="auto"/>
          <w:spacing w:val="-6"/>
          <w:sz w:val="23"/>
          <w:szCs w:val="23"/>
        </w:rPr>
        <w:t>评估的说法中，错误的是</w:t>
      </w:r>
      <w:r>
        <w:rPr>
          <w:color w:val="auto"/>
          <w:spacing w:val="-23"/>
          <w:sz w:val="23"/>
          <w:szCs w:val="23"/>
        </w:rPr>
        <w:t>（</w:t>
      </w:r>
      <w:r>
        <w:rPr>
          <w:color w:val="auto"/>
          <w:spacing w:val="33"/>
          <w:sz w:val="23"/>
          <w:szCs w:val="23"/>
        </w:rPr>
        <w:t xml:space="preserve">  </w:t>
      </w:r>
      <w:r>
        <w:rPr>
          <w:color w:val="auto"/>
          <w:spacing w:val="-23"/>
          <w:sz w:val="23"/>
          <w:szCs w:val="23"/>
        </w:rPr>
        <w:t>）</w:t>
      </w:r>
      <w:r>
        <w:rPr>
          <w:color w:val="auto"/>
          <w:spacing w:val="-6"/>
          <w:sz w:val="23"/>
          <w:szCs w:val="23"/>
        </w:rPr>
        <w:t>。</w:t>
      </w:r>
      <w:r>
        <w:rPr>
          <w:color w:val="auto"/>
          <w:spacing w:val="1"/>
          <w:sz w:val="23"/>
          <w:szCs w:val="23"/>
        </w:rPr>
        <w:t xml:space="preserve"> </w:t>
      </w:r>
    </w:p>
    <w:p w14:paraId="7D65DE59">
      <w:pPr>
        <w:pStyle w:val="2"/>
        <w:spacing w:before="114" w:line="274" w:lineRule="auto"/>
        <w:ind w:left="603" w:right="1406" w:hanging="3"/>
        <w:jc w:val="both"/>
        <w:rPr>
          <w:color w:val="auto"/>
          <w:sz w:val="23"/>
          <w:szCs w:val="23"/>
        </w:rPr>
      </w:pPr>
      <w:r>
        <w:rPr>
          <w:color w:val="auto"/>
          <w:spacing w:val="-4"/>
          <w:sz w:val="23"/>
          <w:szCs w:val="23"/>
        </w:rPr>
        <w:t xml:space="preserve">A.我国对作品保护采用自动保护原则， 著作权资产评估无须关注其法律状态  </w:t>
      </w:r>
      <w:r>
        <w:rPr>
          <w:color w:val="auto"/>
          <w:sz w:val="23"/>
          <w:szCs w:val="23"/>
        </w:rPr>
        <w:t>B.评估著作权资产应合理分割其在无形资产组</w:t>
      </w:r>
      <w:r>
        <w:rPr>
          <w:color w:val="auto"/>
          <w:spacing w:val="-1"/>
          <w:sz w:val="23"/>
          <w:szCs w:val="23"/>
        </w:rPr>
        <w:t>合中的贡献</w:t>
      </w:r>
    </w:p>
    <w:p w14:paraId="279B42DF">
      <w:pPr>
        <w:pStyle w:val="2"/>
        <w:spacing w:before="102" w:line="219" w:lineRule="auto"/>
        <w:ind w:left="609"/>
        <w:rPr>
          <w:color w:val="auto"/>
          <w:sz w:val="23"/>
          <w:szCs w:val="23"/>
        </w:rPr>
      </w:pPr>
      <w:r>
        <w:rPr>
          <w:color w:val="auto"/>
          <w:spacing w:val="-1"/>
          <w:sz w:val="23"/>
          <w:szCs w:val="23"/>
        </w:rPr>
        <w:t>C.评估著作权资产应关注作品获取收益的方式和期限</w:t>
      </w:r>
    </w:p>
    <w:p w14:paraId="2A72C2E0">
      <w:pPr>
        <w:pStyle w:val="2"/>
        <w:spacing w:before="102" w:line="374" w:lineRule="exact"/>
        <w:ind w:left="606"/>
        <w:rPr>
          <w:color w:val="auto"/>
          <w:sz w:val="23"/>
          <w:szCs w:val="23"/>
        </w:rPr>
      </w:pPr>
      <w:r>
        <w:rPr>
          <w:color w:val="auto"/>
          <w:spacing w:val="-1"/>
          <w:position w:val="10"/>
          <w:sz w:val="23"/>
          <w:szCs w:val="23"/>
        </w:rPr>
        <w:t>D.评估不同类型作品的著作权应关注不同的价值影响因素</w:t>
      </w:r>
    </w:p>
    <w:p w14:paraId="3DE4CF9C">
      <w:pPr>
        <w:pStyle w:val="2"/>
        <w:spacing w:before="1" w:line="221" w:lineRule="auto"/>
        <w:ind w:left="626"/>
        <w:rPr>
          <w:color w:val="auto"/>
          <w:sz w:val="23"/>
          <w:szCs w:val="23"/>
        </w:rPr>
      </w:pPr>
      <w:r>
        <w:rPr>
          <w:color w:val="auto"/>
          <w:spacing w:val="-17"/>
          <w:sz w:val="23"/>
          <w:szCs w:val="23"/>
        </w:rPr>
        <w:t>『正确答案』</w:t>
      </w:r>
      <w:r>
        <w:rPr>
          <w:color w:val="auto"/>
          <w:spacing w:val="-19"/>
          <w:sz w:val="23"/>
          <w:szCs w:val="23"/>
        </w:rPr>
        <w:t xml:space="preserve"> </w:t>
      </w:r>
      <w:r>
        <w:rPr>
          <w:color w:val="auto"/>
          <w:spacing w:val="-17"/>
          <w:sz w:val="23"/>
          <w:szCs w:val="23"/>
        </w:rPr>
        <w:t>A</w:t>
      </w:r>
    </w:p>
    <w:p w14:paraId="49ACCB5D">
      <w:pPr>
        <w:pStyle w:val="2"/>
        <w:spacing w:before="234" w:line="281" w:lineRule="auto"/>
        <w:ind w:left="151" w:right="296" w:firstLine="463"/>
        <w:jc w:val="both"/>
        <w:rPr>
          <w:color w:val="auto"/>
          <w:sz w:val="23"/>
          <w:szCs w:val="23"/>
        </w:rPr>
      </w:pPr>
      <w:r>
        <w:rPr>
          <w:color w:val="auto"/>
          <w:spacing w:val="-2"/>
          <w:sz w:val="23"/>
          <w:szCs w:val="23"/>
        </w:rPr>
        <w:t>『答案解析』我国《著作权法》对作品的保护采用自动保护原则</w:t>
      </w:r>
      <w:r>
        <w:rPr>
          <w:color w:val="auto"/>
          <w:spacing w:val="-3"/>
          <w:sz w:val="23"/>
          <w:szCs w:val="23"/>
        </w:rPr>
        <w:t>，即作品一旦产生，作者</w:t>
      </w:r>
      <w:r>
        <w:rPr>
          <w:color w:val="auto"/>
          <w:sz w:val="23"/>
          <w:szCs w:val="23"/>
        </w:rPr>
        <w:t xml:space="preserve"> </w:t>
      </w:r>
      <w:r>
        <w:rPr>
          <w:color w:val="auto"/>
          <w:spacing w:val="-5"/>
          <w:sz w:val="23"/>
          <w:szCs w:val="23"/>
        </w:rPr>
        <w:t>便享有著作权，</w:t>
      </w:r>
      <w:r>
        <w:rPr>
          <w:color w:val="auto"/>
          <w:spacing w:val="-45"/>
          <w:sz w:val="23"/>
          <w:szCs w:val="23"/>
        </w:rPr>
        <w:t xml:space="preserve"> </w:t>
      </w:r>
      <w:r>
        <w:rPr>
          <w:color w:val="auto"/>
          <w:spacing w:val="-5"/>
          <w:sz w:val="23"/>
          <w:szCs w:val="23"/>
        </w:rPr>
        <w:t>不论登记与否都受法律保护。但在著</w:t>
      </w:r>
      <w:r>
        <w:rPr>
          <w:color w:val="auto"/>
          <w:spacing w:val="-6"/>
          <w:sz w:val="23"/>
          <w:szCs w:val="23"/>
        </w:rPr>
        <w:t>作权的评估实践中，</w:t>
      </w:r>
      <w:r>
        <w:rPr>
          <w:color w:val="auto"/>
          <w:spacing w:val="-48"/>
          <w:sz w:val="23"/>
          <w:szCs w:val="23"/>
        </w:rPr>
        <w:t xml:space="preserve"> </w:t>
      </w:r>
      <w:r>
        <w:rPr>
          <w:color w:val="auto"/>
          <w:spacing w:val="-6"/>
          <w:sz w:val="23"/>
          <w:szCs w:val="23"/>
        </w:rPr>
        <w:t>作品登记证书可以作</w:t>
      </w:r>
      <w:r>
        <w:rPr>
          <w:color w:val="auto"/>
          <w:sz w:val="23"/>
          <w:szCs w:val="23"/>
        </w:rPr>
        <w:t xml:space="preserve"> </w:t>
      </w:r>
      <w:r>
        <w:rPr>
          <w:color w:val="auto"/>
          <w:spacing w:val="-2"/>
          <w:sz w:val="23"/>
          <w:szCs w:val="23"/>
        </w:rPr>
        <w:t>为该著作权稳定性、可靠性的依据。著作权资产的时效性与地域性等法律特征也会对</w:t>
      </w:r>
      <w:r>
        <w:rPr>
          <w:color w:val="auto"/>
          <w:spacing w:val="-3"/>
          <w:sz w:val="23"/>
          <w:szCs w:val="23"/>
        </w:rPr>
        <w:t>其价值产</w:t>
      </w:r>
      <w:r>
        <w:rPr>
          <w:color w:val="auto"/>
          <w:sz w:val="23"/>
          <w:szCs w:val="23"/>
        </w:rPr>
        <w:t xml:space="preserve"> </w:t>
      </w:r>
      <w:r>
        <w:rPr>
          <w:color w:val="auto"/>
          <w:spacing w:val="-8"/>
          <w:sz w:val="23"/>
          <w:szCs w:val="23"/>
        </w:rPr>
        <w:t>生影响。</w:t>
      </w:r>
    </w:p>
    <w:p w14:paraId="331D7132">
      <w:pPr>
        <w:pStyle w:val="2"/>
        <w:spacing w:before="107" w:line="376" w:lineRule="exact"/>
        <w:ind w:left="574"/>
        <w:rPr>
          <w:color w:val="auto"/>
        </w:rPr>
      </w:pPr>
      <w:r>
        <w:rPr>
          <w:color w:val="auto"/>
          <w:spacing w:val="-2"/>
          <w:position w:val="12"/>
        </w:rPr>
        <w:t>（三）著作权资产评估的注意事项</w:t>
      </w:r>
    </w:p>
    <w:p w14:paraId="12AB1A36">
      <w:pPr>
        <w:pStyle w:val="2"/>
        <w:spacing w:line="218" w:lineRule="auto"/>
        <w:ind w:left="584"/>
        <w:rPr>
          <w:color w:val="auto"/>
        </w:rPr>
      </w:pPr>
      <w:r>
        <w:rPr>
          <w:color w:val="auto"/>
          <w:spacing w:val="-2"/>
        </w:rPr>
        <w:t>1.关注评估对象的识别和清晰披露</w:t>
      </w:r>
    </w:p>
    <w:p w14:paraId="5AAFAF42">
      <w:pPr>
        <w:pStyle w:val="2"/>
        <w:spacing w:before="125" w:line="218" w:lineRule="auto"/>
        <w:ind w:left="568"/>
        <w:rPr>
          <w:color w:val="auto"/>
        </w:rPr>
      </w:pPr>
      <w:r>
        <w:rPr>
          <w:color w:val="auto"/>
          <w:spacing w:val="-2"/>
        </w:rPr>
        <w:t>①可以从</w:t>
      </w:r>
      <w:r>
        <w:rPr>
          <w:color w:val="auto"/>
          <w:spacing w:val="-1"/>
        </w:rPr>
        <w:t>作品类别和财产权利类别</w:t>
      </w:r>
      <w:r>
        <w:rPr>
          <w:color w:val="auto"/>
          <w:spacing w:val="-2"/>
        </w:rPr>
        <w:t>两个维度来识别评估对象；</w:t>
      </w:r>
    </w:p>
    <w:p w14:paraId="56CF7E10">
      <w:pPr>
        <w:pStyle w:val="2"/>
        <w:spacing w:before="127" w:line="219" w:lineRule="auto"/>
        <w:ind w:left="569"/>
        <w:rPr>
          <w:color w:val="auto"/>
        </w:rPr>
      </w:pPr>
      <w:r>
        <w:rPr>
          <w:color w:val="auto"/>
          <w:spacing w:val="-2"/>
        </w:rPr>
        <w:t>确定评估对象是××作品的</w:t>
      </w:r>
      <w:r>
        <w:rPr>
          <w:color w:val="auto"/>
          <w:spacing w:val="-43"/>
        </w:rPr>
        <w:t xml:space="preserve"> </w:t>
      </w:r>
      <w:r>
        <w:rPr>
          <w:color w:val="auto"/>
          <w:spacing w:val="-2"/>
        </w:rPr>
        <w:t>A、B</w:t>
      </w:r>
      <w:r>
        <w:rPr>
          <w:color w:val="auto"/>
          <w:spacing w:val="-43"/>
        </w:rPr>
        <w:t xml:space="preserve"> </w:t>
      </w:r>
      <w:r>
        <w:rPr>
          <w:color w:val="auto"/>
          <w:spacing w:val="-2"/>
        </w:rPr>
        <w:t>两项财产权益。</w:t>
      </w:r>
    </w:p>
    <w:p w14:paraId="472BFD57">
      <w:pPr>
        <w:pStyle w:val="2"/>
        <w:spacing w:before="125" w:line="218" w:lineRule="auto"/>
        <w:ind w:left="567"/>
        <w:rPr>
          <w:color w:val="auto"/>
        </w:rPr>
      </w:pPr>
      <w:r>
        <w:rPr>
          <w:color w:val="auto"/>
          <w:spacing w:val="-1"/>
        </w:rPr>
        <w:t>②再根据经济行为目的，确定评估对象是××作品的</w:t>
      </w:r>
      <w:r>
        <w:rPr>
          <w:color w:val="auto"/>
          <w:spacing w:val="-50"/>
        </w:rPr>
        <w:t xml:space="preserve"> </w:t>
      </w:r>
      <w:r>
        <w:rPr>
          <w:color w:val="auto"/>
          <w:spacing w:val="-1"/>
        </w:rPr>
        <w:t>A、B</w:t>
      </w:r>
      <w:r>
        <w:rPr>
          <w:color w:val="auto"/>
          <w:spacing w:val="-43"/>
        </w:rPr>
        <w:t xml:space="preserve"> </w:t>
      </w:r>
      <w:r>
        <w:rPr>
          <w:color w:val="auto"/>
          <w:spacing w:val="-1"/>
        </w:rPr>
        <w:t>两项财产权益的普通许可使用</w:t>
      </w:r>
      <w:r>
        <w:rPr>
          <w:color w:val="auto"/>
          <w:spacing w:val="-2"/>
        </w:rPr>
        <w:t>权。</w:t>
      </w:r>
    </w:p>
    <w:p w14:paraId="71BE99E9">
      <w:pPr>
        <w:pStyle w:val="2"/>
        <w:spacing w:before="127" w:line="220" w:lineRule="auto"/>
        <w:ind w:left="570"/>
        <w:rPr>
          <w:color w:val="auto"/>
        </w:rPr>
      </w:pPr>
      <w:r>
        <w:rPr>
          <w:color w:val="auto"/>
          <w:spacing w:val="-1"/>
        </w:rPr>
        <w:t>涉及著作权资产的大部分经济行为涉及的都是财产</w:t>
      </w:r>
      <w:r>
        <w:rPr>
          <w:color w:val="auto"/>
          <w:spacing w:val="-2"/>
        </w:rPr>
        <w:t>权益的许可使用权。</w:t>
      </w:r>
    </w:p>
    <w:p w14:paraId="2AB9FFBC">
      <w:pPr>
        <w:pStyle w:val="2"/>
        <w:spacing w:before="125" w:line="220" w:lineRule="auto"/>
        <w:ind w:left="571"/>
        <w:rPr>
          <w:color w:val="auto"/>
        </w:rPr>
      </w:pPr>
      <w:r>
        <w:rPr>
          <w:color w:val="auto"/>
          <w:spacing w:val="-1"/>
        </w:rPr>
        <w:t>2.关注作品获取收益的方式</w:t>
      </w:r>
    </w:p>
    <w:p w14:paraId="2D7966A5">
      <w:pPr>
        <w:pStyle w:val="2"/>
        <w:spacing w:before="124" w:line="218" w:lineRule="auto"/>
        <w:ind w:left="568"/>
        <w:rPr>
          <w:color w:val="auto"/>
        </w:rPr>
      </w:pPr>
      <w:r>
        <w:rPr>
          <w:color w:val="auto"/>
          <w:spacing w:val="-4"/>
        </w:rPr>
        <w:t>①内容信息向最终客户传递的信息流；</w:t>
      </w:r>
    </w:p>
    <w:p w14:paraId="2F56D59A">
      <w:pPr>
        <w:pStyle w:val="2"/>
        <w:spacing w:before="128" w:line="218" w:lineRule="auto"/>
        <w:ind w:left="567"/>
        <w:rPr>
          <w:color w:val="auto"/>
        </w:rPr>
      </w:pPr>
      <w:r>
        <w:rPr>
          <w:color w:val="auto"/>
          <w:spacing w:val="-3"/>
        </w:rPr>
        <w:t>②客户支付向企业流动的现金流。</w:t>
      </w:r>
    </w:p>
    <w:p w14:paraId="66991FB4">
      <w:pPr>
        <w:pStyle w:val="2"/>
        <w:spacing w:before="127" w:line="220" w:lineRule="auto"/>
        <w:ind w:left="573"/>
        <w:rPr>
          <w:color w:val="auto"/>
        </w:rPr>
      </w:pPr>
      <w:r>
        <w:rPr>
          <w:color w:val="auto"/>
          <w:spacing w:val="-2"/>
        </w:rPr>
        <w:t>3.关注作品收益获取期限</w:t>
      </w:r>
    </w:p>
    <w:p w14:paraId="5A963C7D">
      <w:pPr>
        <w:pStyle w:val="2"/>
        <w:spacing w:before="124" w:line="375" w:lineRule="exact"/>
        <w:ind w:left="570"/>
        <w:rPr>
          <w:color w:val="auto"/>
        </w:rPr>
      </w:pPr>
      <w:r>
        <w:rPr>
          <w:color w:val="auto"/>
          <w:spacing w:val="-5"/>
          <w:position w:val="12"/>
        </w:rPr>
        <w:t>文学、艺术作品是体验性产品和注意力产品，</w:t>
      </w:r>
      <w:r>
        <w:rPr>
          <w:color w:val="auto"/>
          <w:spacing w:val="26"/>
          <w:position w:val="12"/>
        </w:rPr>
        <w:t xml:space="preserve"> </w:t>
      </w:r>
      <w:r>
        <w:rPr>
          <w:color w:val="auto"/>
          <w:spacing w:val="-5"/>
          <w:position w:val="12"/>
        </w:rPr>
        <w:t>消费</w:t>
      </w:r>
      <w:r>
        <w:rPr>
          <w:color w:val="auto"/>
          <w:spacing w:val="-6"/>
          <w:position w:val="12"/>
        </w:rPr>
        <w:t>者的注意力已经成为文学、艺术市场价值的决定</w:t>
      </w:r>
    </w:p>
    <w:p w14:paraId="15BB59D0">
      <w:pPr>
        <w:pStyle w:val="2"/>
        <w:spacing w:before="1" w:line="220" w:lineRule="auto"/>
        <w:ind w:left="149"/>
        <w:rPr>
          <w:color w:val="auto"/>
        </w:rPr>
      </w:pPr>
      <w:r>
        <w:rPr>
          <w:color w:val="auto"/>
          <w:spacing w:val="-2"/>
        </w:rPr>
        <w:t>性因素。这些特征决定了文化产品寿命期限较短。</w:t>
      </w:r>
    </w:p>
    <w:p w14:paraId="70EECE3C">
      <w:pPr>
        <w:pStyle w:val="2"/>
        <w:spacing w:before="123" w:line="221" w:lineRule="auto"/>
        <w:ind w:left="593"/>
        <w:rPr>
          <w:color w:val="auto"/>
        </w:rPr>
      </w:pPr>
      <w:r>
        <w:rPr>
          <w:color w:val="auto"/>
          <w:spacing w:val="-4"/>
        </w:rPr>
        <w:t>电影作品院线放映一般在</w:t>
      </w:r>
      <w:r>
        <w:rPr>
          <w:color w:val="auto"/>
          <w:spacing w:val="-1"/>
        </w:rPr>
        <w:t xml:space="preserve"> 30－50 天左右，电视剧作品一般在首轮播放</w:t>
      </w:r>
      <w:r>
        <w:rPr>
          <w:color w:val="auto"/>
          <w:spacing w:val="-4"/>
        </w:rPr>
        <w:t>就能够实现</w:t>
      </w:r>
      <w:r>
        <w:rPr>
          <w:color w:val="auto"/>
          <w:spacing w:val="-61"/>
        </w:rPr>
        <w:t xml:space="preserve"> </w:t>
      </w:r>
      <w:r>
        <w:rPr>
          <w:color w:val="auto"/>
          <w:spacing w:val="-4"/>
        </w:rPr>
        <w:t>80％以上</w:t>
      </w:r>
      <w:r>
        <w:rPr>
          <w:color w:val="auto"/>
          <w:spacing w:val="-5"/>
        </w:rPr>
        <w:t>的收入。</w:t>
      </w:r>
    </w:p>
    <w:p w14:paraId="3492D78F">
      <w:pPr>
        <w:pStyle w:val="2"/>
        <w:spacing w:before="125" w:line="220" w:lineRule="auto"/>
        <w:ind w:left="568"/>
        <w:rPr>
          <w:color w:val="auto"/>
        </w:rPr>
      </w:pPr>
      <w:r>
        <w:rPr>
          <w:color w:val="auto"/>
          <w:spacing w:val="-1"/>
        </w:rPr>
        <w:t>4.关注著作权资产面临的风险</w:t>
      </w:r>
    </w:p>
    <w:p w14:paraId="46F0879D">
      <w:pPr>
        <w:pStyle w:val="2"/>
        <w:spacing w:before="124" w:line="218" w:lineRule="auto"/>
        <w:ind w:left="568"/>
        <w:rPr>
          <w:color w:val="auto"/>
        </w:rPr>
      </w:pPr>
      <w:r>
        <w:rPr>
          <w:color w:val="auto"/>
        </w:rPr>
        <w:t>①文化产品主要满足消费者的精神需求，属于符号效用满足型产品</w:t>
      </w:r>
      <w:r>
        <w:rPr>
          <w:color w:val="auto"/>
          <w:spacing w:val="-1"/>
        </w:rPr>
        <w:t>；《上海堡垒》电影</w:t>
      </w:r>
    </w:p>
    <w:p w14:paraId="08CD1F0B">
      <w:pPr>
        <w:pStyle w:val="2"/>
        <w:spacing w:before="125" w:line="330" w:lineRule="auto"/>
        <w:ind w:left="150" w:right="232" w:firstLine="417"/>
        <w:rPr>
          <w:color w:val="auto"/>
        </w:rPr>
      </w:pPr>
      <w:r>
        <w:rPr>
          <w:color w:val="auto"/>
          <w:spacing w:val="-1"/>
        </w:rPr>
        <w:t>②政府文化政策的不稳定性也会造成文化需求波动的不确定性，比如对凡是有劣迹的导演、编剧、</w:t>
      </w:r>
      <w:r>
        <w:rPr>
          <w:color w:val="auto"/>
          <w:spacing w:val="5"/>
        </w:rPr>
        <w:t xml:space="preserve"> </w:t>
      </w:r>
      <w:r>
        <w:rPr>
          <w:color w:val="auto"/>
          <w:spacing w:val="-5"/>
        </w:rPr>
        <w:t>演员等主创人员参与制作的电影、电视节目、网络剧、微电</w:t>
      </w:r>
      <w:r>
        <w:rPr>
          <w:color w:val="auto"/>
          <w:spacing w:val="-6"/>
        </w:rPr>
        <w:t>影等暂停播出等，</w:t>
      </w:r>
      <w:r>
        <w:rPr>
          <w:color w:val="auto"/>
          <w:spacing w:val="34"/>
        </w:rPr>
        <w:t xml:space="preserve"> </w:t>
      </w:r>
      <w:r>
        <w:rPr>
          <w:color w:val="auto"/>
          <w:spacing w:val="-6"/>
        </w:rPr>
        <w:t>具有更大的不可预见性和</w:t>
      </w:r>
    </w:p>
    <w:p w14:paraId="1588CD48">
      <w:pPr>
        <w:pStyle w:val="2"/>
        <w:spacing w:before="1" w:line="220" w:lineRule="auto"/>
        <w:ind w:left="150"/>
        <w:rPr>
          <w:color w:val="auto"/>
        </w:rPr>
      </w:pPr>
      <w:r>
        <w:rPr>
          <w:color w:val="auto"/>
          <w:spacing w:val="-3"/>
        </w:rPr>
        <w:t>风险性，对文化市场需求影响更大。</w:t>
      </w:r>
    </w:p>
    <w:p w14:paraId="1F012DBB">
      <w:pPr>
        <w:pStyle w:val="2"/>
        <w:spacing w:before="125" w:line="218" w:lineRule="auto"/>
        <w:ind w:left="567"/>
        <w:rPr>
          <w:color w:val="auto"/>
        </w:rPr>
      </w:pPr>
      <w:r>
        <w:rPr>
          <w:color w:val="auto"/>
          <w:spacing w:val="-8"/>
        </w:rPr>
        <w:t>③文化产品不仅生命周期短，</w:t>
      </w:r>
      <w:r>
        <w:rPr>
          <w:color w:val="auto"/>
          <w:spacing w:val="-45"/>
        </w:rPr>
        <w:t xml:space="preserve"> </w:t>
      </w:r>
      <w:r>
        <w:rPr>
          <w:color w:val="auto"/>
          <w:spacing w:val="-8"/>
        </w:rPr>
        <w:t>而且重复利用的价值较低，</w:t>
      </w:r>
      <w:r>
        <w:rPr>
          <w:color w:val="auto"/>
          <w:spacing w:val="-44"/>
        </w:rPr>
        <w:t xml:space="preserve"> </w:t>
      </w:r>
      <w:r>
        <w:rPr>
          <w:color w:val="auto"/>
          <w:spacing w:val="-8"/>
        </w:rPr>
        <w:t>投资所形成的资产具有很强的资产</w:t>
      </w:r>
      <w:r>
        <w:rPr>
          <w:color w:val="auto"/>
          <w:spacing w:val="-9"/>
        </w:rPr>
        <w:t>专用性。</w:t>
      </w:r>
    </w:p>
    <w:p w14:paraId="29D01768">
      <w:pPr>
        <w:pStyle w:val="2"/>
        <w:spacing w:before="126" w:line="219" w:lineRule="auto"/>
        <w:ind w:left="585"/>
        <w:rPr>
          <w:color w:val="auto"/>
        </w:rPr>
      </w:pPr>
      <w:r>
        <w:rPr>
          <w:color w:val="auto"/>
          <w:spacing w:val="-3"/>
        </w:rPr>
        <w:t>因此， 需要关注所评估著作权资产面临的</w:t>
      </w:r>
      <w:r>
        <w:rPr>
          <w:color w:val="auto"/>
          <w:spacing w:val="-1"/>
        </w:rPr>
        <w:t>制作风险、内容风险、政策风险、侵权盗版风险等</w:t>
      </w:r>
      <w:r>
        <w:rPr>
          <w:color w:val="auto"/>
          <w:spacing w:val="-4"/>
        </w:rPr>
        <w:t>方面。</w:t>
      </w:r>
    </w:p>
    <w:p w14:paraId="082DE611">
      <w:pPr>
        <w:pStyle w:val="2"/>
        <w:spacing w:before="127" w:line="220" w:lineRule="auto"/>
        <w:ind w:left="573"/>
        <w:rPr>
          <w:color w:val="auto"/>
        </w:rPr>
      </w:pPr>
      <w:r>
        <w:rPr>
          <w:color w:val="auto"/>
          <w:spacing w:val="-1"/>
        </w:rPr>
        <w:t>5.关注合理分割著作权资产贡献的收益</w:t>
      </w:r>
    </w:p>
    <w:p w14:paraId="57F55F36">
      <w:pPr>
        <w:pStyle w:val="2"/>
        <w:spacing w:before="124" w:line="329" w:lineRule="auto"/>
        <w:ind w:left="570"/>
        <w:rPr>
          <w:color w:val="auto"/>
        </w:rPr>
      </w:pPr>
      <w:r>
        <w:rPr>
          <w:color w:val="auto"/>
          <w:spacing w:val="-4"/>
        </w:rPr>
        <w:t>作品创作并不是单一生产要素的产物， 而是若干种资源共同作用的结果</w:t>
      </w:r>
      <w:r>
        <w:rPr>
          <w:color w:val="auto"/>
          <w:spacing w:val="-5"/>
        </w:rPr>
        <w:t>。作品的生产是</w:t>
      </w:r>
      <w:r>
        <w:rPr>
          <w:color w:val="auto"/>
          <w:spacing w:val="-1"/>
        </w:rPr>
        <w:t>队生产</w:t>
      </w:r>
      <w:r>
        <w:rPr>
          <w:color w:val="auto"/>
          <w:spacing w:val="-5"/>
        </w:rPr>
        <w:t>，具</w:t>
      </w:r>
    </w:p>
    <w:p w14:paraId="2791695B">
      <w:pPr>
        <w:pStyle w:val="2"/>
        <w:spacing w:line="220" w:lineRule="auto"/>
        <w:ind w:left="150"/>
        <w:rPr>
          <w:color w:val="auto"/>
        </w:rPr>
      </w:pPr>
      <w:r>
        <w:rPr>
          <w:color w:val="auto"/>
          <w:spacing w:val="-8"/>
        </w:rPr>
        <w:t>有以下特征：</w:t>
      </w:r>
    </w:p>
    <w:p w14:paraId="38C5B36B">
      <w:pPr>
        <w:pStyle w:val="2"/>
        <w:spacing w:before="125" w:line="218" w:lineRule="auto"/>
        <w:ind w:left="568"/>
        <w:rPr>
          <w:color w:val="auto"/>
        </w:rPr>
      </w:pPr>
      <w:r>
        <w:rPr>
          <w:color w:val="auto"/>
          <w:spacing w:val="-1"/>
        </w:rPr>
        <w:t>①使用几种类型的资源。作品生产过程将运用到文化、创意、资本、人力、土地等资源。</w:t>
      </w:r>
    </w:p>
    <w:p w14:paraId="5A7FA265">
      <w:pPr>
        <w:pStyle w:val="2"/>
        <w:spacing w:before="127" w:line="330" w:lineRule="auto"/>
        <w:ind w:left="567"/>
        <w:rPr>
          <w:color w:val="auto"/>
        </w:rPr>
      </w:pPr>
      <w:r>
        <w:rPr>
          <w:color w:val="auto"/>
          <w:spacing w:val="-3"/>
        </w:rPr>
        <w:t>②作品不是每一参与合作的资源的</w:t>
      </w:r>
      <w:r>
        <w:rPr>
          <w:color w:val="auto"/>
          <w:spacing w:val="-1"/>
        </w:rPr>
        <w:t>分产出之和，它具有不可分性</w:t>
      </w:r>
      <w:r>
        <w:rPr>
          <w:color w:val="auto"/>
          <w:spacing w:val="-3"/>
        </w:rPr>
        <w:t>，是通过创意科技和商业运作等手</w:t>
      </w:r>
    </w:p>
    <w:p w14:paraId="40930213">
      <w:pPr>
        <w:pStyle w:val="2"/>
        <w:spacing w:line="220" w:lineRule="auto"/>
        <w:ind w:left="150"/>
        <w:rPr>
          <w:color w:val="auto"/>
        </w:rPr>
      </w:pPr>
      <w:r>
        <w:rPr>
          <w:color w:val="auto"/>
          <w:spacing w:val="-3"/>
        </w:rPr>
        <w:t>段将文化资源、人力资源等进行整合。</w:t>
      </w:r>
    </w:p>
    <w:p w14:paraId="4611DC83">
      <w:pPr>
        <w:pStyle w:val="2"/>
        <w:spacing w:before="122" w:line="330" w:lineRule="auto"/>
        <w:ind w:left="150" w:right="221" w:firstLine="417"/>
        <w:rPr>
          <w:color w:val="auto"/>
        </w:rPr>
      </w:pPr>
      <w:r>
        <w:rPr>
          <w:color w:val="auto"/>
          <w:spacing w:val="-5"/>
        </w:rPr>
        <w:t>③队生产所使用的所有资源</w:t>
      </w:r>
      <w:r>
        <w:rPr>
          <w:color w:val="auto"/>
          <w:spacing w:val="-1"/>
        </w:rPr>
        <w:t>不属于一个人</w:t>
      </w:r>
      <w:r>
        <w:rPr>
          <w:color w:val="auto"/>
          <w:spacing w:val="-5"/>
        </w:rPr>
        <w:t>。文化产品生产过</w:t>
      </w:r>
      <w:r>
        <w:rPr>
          <w:color w:val="auto"/>
          <w:spacing w:val="-6"/>
        </w:rPr>
        <w:t>程中所涉及的文化、创意、资本、人力、</w:t>
      </w:r>
      <w:r>
        <w:rPr>
          <w:color w:val="auto"/>
        </w:rPr>
        <w:t xml:space="preserve"> </w:t>
      </w:r>
      <w:r>
        <w:rPr>
          <w:color w:val="auto"/>
          <w:spacing w:val="-2"/>
        </w:rPr>
        <w:t>土地等生产资源分别属于国家、艺术家、投资者和企</w:t>
      </w:r>
      <w:r>
        <w:rPr>
          <w:color w:val="auto"/>
          <w:spacing w:val="-3"/>
        </w:rPr>
        <w:t xml:space="preserve">业家等主体。在队生产条件下如果仅仅观察最终产 </w:t>
      </w:r>
      <w:r>
        <w:rPr>
          <w:color w:val="auto"/>
          <w:spacing w:val="-5"/>
        </w:rPr>
        <w:t>品，</w:t>
      </w:r>
      <w:r>
        <w:rPr>
          <w:color w:val="auto"/>
          <w:spacing w:val="-56"/>
        </w:rPr>
        <w:t xml:space="preserve"> </w:t>
      </w:r>
      <w:r>
        <w:rPr>
          <w:color w:val="auto"/>
          <w:spacing w:val="-5"/>
        </w:rPr>
        <w:t>很难确定单个人对他们联合投入的产出所做出的贡献。这是因为产出应属一个队，</w:t>
      </w:r>
      <w:r>
        <w:rPr>
          <w:color w:val="auto"/>
          <w:spacing w:val="-27"/>
        </w:rPr>
        <w:t xml:space="preserve"> </w:t>
      </w:r>
      <w:r>
        <w:rPr>
          <w:color w:val="auto"/>
          <w:spacing w:val="-5"/>
        </w:rPr>
        <w:t>而且</w:t>
      </w:r>
      <w:r>
        <w:rPr>
          <w:color w:val="auto"/>
          <w:spacing w:val="-6"/>
        </w:rPr>
        <w:t>它还不是每</w:t>
      </w:r>
    </w:p>
    <w:p w14:paraId="64E3E82F">
      <w:pPr>
        <w:pStyle w:val="2"/>
        <w:spacing w:line="220" w:lineRule="auto"/>
        <w:ind w:left="149"/>
        <w:rPr>
          <w:color w:val="auto"/>
        </w:rPr>
      </w:pPr>
      <w:r>
        <w:rPr>
          <w:color w:val="auto"/>
          <w:spacing w:val="-7"/>
        </w:rPr>
        <w:t>个成员的分产出之和， 比如很难确定编剧、摄影、市场推广等对电影票</w:t>
      </w:r>
      <w:r>
        <w:rPr>
          <w:color w:val="auto"/>
          <w:spacing w:val="-8"/>
        </w:rPr>
        <w:t>房收入的具体边际贡献和总贡献。</w:t>
      </w:r>
    </w:p>
    <w:p w14:paraId="77864EE5">
      <w:pPr>
        <w:pStyle w:val="2"/>
        <w:spacing w:before="125" w:line="375" w:lineRule="exact"/>
        <w:ind w:left="572"/>
        <w:rPr>
          <w:color w:val="auto"/>
        </w:rPr>
      </w:pPr>
      <w:r>
        <w:rPr>
          <w:color w:val="auto"/>
          <w:spacing w:val="-8"/>
          <w:position w:val="12"/>
        </w:rPr>
        <w:t>著作权资产评估中，</w:t>
      </w:r>
      <w:r>
        <w:rPr>
          <w:color w:val="auto"/>
          <w:spacing w:val="-47"/>
          <w:position w:val="12"/>
        </w:rPr>
        <w:t xml:space="preserve"> </w:t>
      </w:r>
      <w:r>
        <w:rPr>
          <w:color w:val="auto"/>
          <w:spacing w:val="-8"/>
          <w:position w:val="12"/>
        </w:rPr>
        <w:t>在不能够直接获取被评估对象无形资产收益的情况</w:t>
      </w:r>
      <w:r>
        <w:rPr>
          <w:color w:val="auto"/>
          <w:spacing w:val="-9"/>
          <w:position w:val="12"/>
        </w:rPr>
        <w:t>下，</w:t>
      </w:r>
      <w:r>
        <w:rPr>
          <w:color w:val="auto"/>
          <w:spacing w:val="-36"/>
          <w:position w:val="12"/>
        </w:rPr>
        <w:t xml:space="preserve"> </w:t>
      </w:r>
      <w:r>
        <w:rPr>
          <w:color w:val="auto"/>
          <w:spacing w:val="-9"/>
          <w:position w:val="12"/>
        </w:rPr>
        <w:t>需要考虑其他有形资产、</w:t>
      </w:r>
    </w:p>
    <w:p w14:paraId="3CE2BD62">
      <w:pPr>
        <w:pStyle w:val="2"/>
        <w:spacing w:before="1" w:line="218" w:lineRule="auto"/>
        <w:ind w:left="149"/>
        <w:rPr>
          <w:color w:val="auto"/>
        </w:rPr>
      </w:pPr>
      <w:r>
        <w:rPr>
          <w:color w:val="auto"/>
          <w:spacing w:val="-2"/>
        </w:rPr>
        <w:t>被评估对象之外的其他无形资产贡献收益的分割。</w:t>
      </w:r>
    </w:p>
    <w:p w14:paraId="769E865D">
      <w:pPr>
        <w:pStyle w:val="2"/>
        <w:spacing w:before="125" w:line="376" w:lineRule="exact"/>
        <w:ind w:left="573"/>
        <w:rPr>
          <w:color w:val="auto"/>
        </w:rPr>
      </w:pPr>
      <w:r>
        <w:rPr>
          <w:color w:val="auto"/>
          <w:spacing w:val="-5"/>
          <w:position w:val="12"/>
        </w:rPr>
        <w:t>具体分割的方法有经验数据（如分成率、许可费率等统计数据） 、专家打分、层次分析、模糊评判</w:t>
      </w:r>
    </w:p>
    <w:p w14:paraId="011FD341">
      <w:pPr>
        <w:pStyle w:val="2"/>
        <w:spacing w:line="220" w:lineRule="auto"/>
        <w:ind w:left="151"/>
        <w:rPr>
          <w:color w:val="auto"/>
        </w:rPr>
      </w:pPr>
      <w:r>
        <w:rPr>
          <w:color w:val="auto"/>
          <w:spacing w:val="-10"/>
        </w:rPr>
        <w:t>等。</w:t>
      </w:r>
    </w:p>
    <w:p w14:paraId="3B607F8A">
      <w:pPr>
        <w:spacing w:line="333" w:lineRule="auto"/>
        <w:rPr>
          <w:color w:val="auto"/>
          <w:spacing w:val="-11"/>
        </w:rPr>
      </w:pPr>
    </w:p>
    <w:p w14:paraId="436B30A7">
      <w:pPr>
        <w:spacing w:line="333" w:lineRule="auto"/>
        <w:rPr>
          <w:rFonts w:ascii="Arial"/>
          <w:color w:val="auto"/>
          <w:sz w:val="21"/>
        </w:rPr>
      </w:pPr>
      <w:r>
        <w:rPr>
          <w:color w:val="auto"/>
          <w:spacing w:val="-11"/>
        </w:rPr>
        <w:t>需要注意：</w:t>
      </w:r>
    </w:p>
    <w:p w14:paraId="15C1B42A">
      <w:pPr>
        <w:spacing w:line="2260" w:lineRule="exact"/>
        <w:ind w:firstLine="745"/>
        <w:rPr>
          <w:color w:val="auto"/>
        </w:rPr>
      </w:pPr>
      <w:r>
        <w:rPr>
          <w:color w:val="auto"/>
          <w:position w:val="-45"/>
        </w:rPr>
        <w:drawing>
          <wp:inline distT="0" distB="0" distL="0" distR="0">
            <wp:extent cx="4749165" cy="143446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9"/>
                    <a:stretch>
                      <a:fillRect/>
                    </a:stretch>
                  </pic:blipFill>
                  <pic:spPr>
                    <a:xfrm>
                      <a:off x="0" y="0"/>
                      <a:ext cx="4749798" cy="1434944"/>
                    </a:xfrm>
                    <a:prstGeom prst="rect">
                      <a:avLst/>
                    </a:prstGeom>
                  </pic:spPr>
                </pic:pic>
              </a:graphicData>
            </a:graphic>
          </wp:inline>
        </w:drawing>
      </w:r>
    </w:p>
    <w:p w14:paraId="09C17F3B">
      <w:pPr>
        <w:pStyle w:val="2"/>
        <w:spacing w:before="245" w:line="221" w:lineRule="auto"/>
        <w:ind w:left="600"/>
        <w:rPr>
          <w:color w:val="auto"/>
          <w:sz w:val="23"/>
          <w:szCs w:val="23"/>
        </w:rPr>
      </w:pPr>
      <w:r>
        <w:rPr>
          <w:rFonts w:ascii="黑体" w:hAnsi="黑体" w:eastAsia="黑体" w:cs="黑体"/>
          <w:color w:val="auto"/>
          <w:spacing w:val="-4"/>
          <w:sz w:val="23"/>
          <w:szCs w:val="23"/>
        </w:rPr>
        <w:t>【单选题】</w:t>
      </w:r>
      <w:r>
        <w:rPr>
          <w:color w:val="auto"/>
          <w:spacing w:val="-4"/>
          <w:sz w:val="23"/>
          <w:szCs w:val="23"/>
        </w:rPr>
        <w:t>关于著作权资产及其评估的说法错误的是</w:t>
      </w:r>
      <w:r>
        <w:rPr>
          <w:color w:val="auto"/>
          <w:spacing w:val="-32"/>
          <w:sz w:val="23"/>
          <w:szCs w:val="23"/>
        </w:rPr>
        <w:t>（</w:t>
      </w:r>
      <w:r>
        <w:rPr>
          <w:color w:val="auto"/>
          <w:spacing w:val="34"/>
          <w:sz w:val="23"/>
          <w:szCs w:val="23"/>
        </w:rPr>
        <w:t xml:space="preserve">  </w:t>
      </w:r>
      <w:r>
        <w:rPr>
          <w:color w:val="auto"/>
          <w:spacing w:val="-32"/>
          <w:sz w:val="23"/>
          <w:szCs w:val="23"/>
        </w:rPr>
        <w:t>）</w:t>
      </w:r>
      <w:r>
        <w:rPr>
          <w:color w:val="auto"/>
          <w:spacing w:val="-4"/>
          <w:sz w:val="23"/>
          <w:szCs w:val="23"/>
        </w:rPr>
        <w:t>。</w:t>
      </w:r>
    </w:p>
    <w:p w14:paraId="2C547C1F">
      <w:pPr>
        <w:pStyle w:val="2"/>
        <w:spacing w:before="98" w:line="261" w:lineRule="auto"/>
        <w:ind w:left="151" w:right="296" w:firstLine="452"/>
        <w:rPr>
          <w:color w:val="auto"/>
          <w:sz w:val="23"/>
          <w:szCs w:val="23"/>
        </w:rPr>
      </w:pPr>
      <w:r>
        <w:rPr>
          <w:color w:val="auto"/>
          <w:spacing w:val="-5"/>
          <w:sz w:val="23"/>
          <w:szCs w:val="23"/>
        </w:rPr>
        <w:t>A.著作权资产是指权利人拥有或控制的， 能够持续发挥作用并且预期能带来经济利益的著</w:t>
      </w:r>
      <w:r>
        <w:rPr>
          <w:color w:val="auto"/>
          <w:spacing w:val="11"/>
          <w:sz w:val="23"/>
          <w:szCs w:val="23"/>
        </w:rPr>
        <w:t xml:space="preserve"> </w:t>
      </w:r>
      <w:r>
        <w:rPr>
          <w:color w:val="auto"/>
          <w:spacing w:val="-1"/>
          <w:sz w:val="23"/>
          <w:szCs w:val="23"/>
        </w:rPr>
        <w:t>作权的财产权益，不包括与著作权有关权利的财产权益</w:t>
      </w:r>
    </w:p>
    <w:p w14:paraId="16900193">
      <w:pPr>
        <w:pStyle w:val="2"/>
        <w:spacing w:before="99" w:line="221" w:lineRule="auto"/>
        <w:ind w:left="605"/>
        <w:rPr>
          <w:color w:val="auto"/>
          <w:sz w:val="23"/>
          <w:szCs w:val="23"/>
        </w:rPr>
      </w:pPr>
      <w:r>
        <w:rPr>
          <w:color w:val="auto"/>
          <w:sz w:val="23"/>
          <w:szCs w:val="23"/>
        </w:rPr>
        <w:t>B.著作权资产的财产权利形式包含转让或者许可他</w:t>
      </w:r>
      <w:r>
        <w:rPr>
          <w:color w:val="auto"/>
          <w:spacing w:val="-1"/>
          <w:sz w:val="23"/>
          <w:szCs w:val="23"/>
        </w:rPr>
        <w:t>人使用的权利</w:t>
      </w:r>
    </w:p>
    <w:p w14:paraId="268902DE">
      <w:pPr>
        <w:pStyle w:val="2"/>
        <w:spacing w:before="100" w:line="260" w:lineRule="auto"/>
        <w:ind w:left="150" w:right="296" w:firstLine="458"/>
        <w:rPr>
          <w:color w:val="auto"/>
          <w:sz w:val="23"/>
          <w:szCs w:val="23"/>
        </w:rPr>
      </w:pPr>
      <w:r>
        <w:rPr>
          <w:color w:val="auto"/>
          <w:spacing w:val="-2"/>
          <w:sz w:val="23"/>
          <w:szCs w:val="23"/>
        </w:rPr>
        <w:t>C.对于能够通过销售实现收益的著作权资产，通常采用法律规定的或市场上惯用</w:t>
      </w:r>
      <w:r>
        <w:rPr>
          <w:color w:val="auto"/>
          <w:spacing w:val="-3"/>
          <w:sz w:val="23"/>
          <w:szCs w:val="23"/>
        </w:rPr>
        <w:t>的一定比</w:t>
      </w:r>
      <w:r>
        <w:rPr>
          <w:color w:val="auto"/>
          <w:sz w:val="23"/>
          <w:szCs w:val="23"/>
        </w:rPr>
        <w:t xml:space="preserve"> </w:t>
      </w:r>
      <w:r>
        <w:rPr>
          <w:color w:val="auto"/>
          <w:spacing w:val="-1"/>
          <w:sz w:val="23"/>
          <w:szCs w:val="23"/>
        </w:rPr>
        <w:t>例的版税或提成费用的评估方法，直接获得著作权资产的评估值</w:t>
      </w:r>
    </w:p>
    <w:p w14:paraId="490BF19B">
      <w:pPr>
        <w:pStyle w:val="2"/>
        <w:spacing w:before="100" w:line="261" w:lineRule="auto"/>
        <w:ind w:left="152" w:right="296" w:firstLine="454"/>
        <w:rPr>
          <w:color w:val="auto"/>
          <w:sz w:val="23"/>
          <w:szCs w:val="23"/>
        </w:rPr>
      </w:pPr>
      <w:r>
        <w:rPr>
          <w:color w:val="auto"/>
          <w:spacing w:val="-6"/>
          <w:sz w:val="23"/>
          <w:szCs w:val="23"/>
        </w:rPr>
        <w:t>D.在具体的著作权资产评估业务中，</w:t>
      </w:r>
      <w:r>
        <w:rPr>
          <w:color w:val="auto"/>
          <w:spacing w:val="-33"/>
          <w:sz w:val="23"/>
          <w:szCs w:val="23"/>
        </w:rPr>
        <w:t xml:space="preserve"> </w:t>
      </w:r>
      <w:r>
        <w:rPr>
          <w:color w:val="auto"/>
          <w:spacing w:val="-6"/>
          <w:sz w:val="23"/>
          <w:szCs w:val="23"/>
        </w:rPr>
        <w:t>根据不同的评估目的，</w:t>
      </w:r>
      <w:r>
        <w:rPr>
          <w:color w:val="auto"/>
          <w:spacing w:val="-35"/>
          <w:sz w:val="23"/>
          <w:szCs w:val="23"/>
        </w:rPr>
        <w:t xml:space="preserve"> </w:t>
      </w:r>
      <w:r>
        <w:rPr>
          <w:color w:val="auto"/>
          <w:spacing w:val="-6"/>
          <w:sz w:val="23"/>
          <w:szCs w:val="23"/>
        </w:rPr>
        <w:t>评估对象可以是著作</w:t>
      </w:r>
      <w:r>
        <w:rPr>
          <w:color w:val="auto"/>
          <w:spacing w:val="-7"/>
          <w:sz w:val="23"/>
          <w:szCs w:val="23"/>
        </w:rPr>
        <w:t>权财产权</w:t>
      </w:r>
      <w:r>
        <w:rPr>
          <w:color w:val="auto"/>
          <w:sz w:val="23"/>
          <w:szCs w:val="23"/>
        </w:rPr>
        <w:t xml:space="preserve"> </w:t>
      </w:r>
      <w:r>
        <w:rPr>
          <w:color w:val="auto"/>
          <w:spacing w:val="-1"/>
          <w:sz w:val="23"/>
          <w:szCs w:val="23"/>
        </w:rPr>
        <w:t>益中的某一项单项权利，也可以是由几项单项权利组成的权利组合</w:t>
      </w:r>
    </w:p>
    <w:p w14:paraId="713471A1">
      <w:pPr>
        <w:pStyle w:val="2"/>
        <w:spacing w:before="101" w:line="221" w:lineRule="auto"/>
        <w:ind w:left="626"/>
        <w:rPr>
          <w:color w:val="auto"/>
          <w:sz w:val="23"/>
          <w:szCs w:val="23"/>
        </w:rPr>
      </w:pPr>
      <w:r>
        <w:rPr>
          <w:color w:val="auto"/>
          <w:spacing w:val="-17"/>
          <w:sz w:val="23"/>
          <w:szCs w:val="23"/>
        </w:rPr>
        <w:t>『正确答案』</w:t>
      </w:r>
      <w:r>
        <w:rPr>
          <w:color w:val="auto"/>
          <w:spacing w:val="-19"/>
          <w:sz w:val="23"/>
          <w:szCs w:val="23"/>
        </w:rPr>
        <w:t xml:space="preserve"> </w:t>
      </w:r>
      <w:r>
        <w:rPr>
          <w:color w:val="auto"/>
          <w:spacing w:val="-17"/>
          <w:sz w:val="23"/>
          <w:szCs w:val="23"/>
        </w:rPr>
        <w:t>A</w:t>
      </w:r>
    </w:p>
    <w:p w14:paraId="59B1A5C4">
      <w:pPr>
        <w:pStyle w:val="2"/>
        <w:spacing w:before="99" w:line="261" w:lineRule="auto"/>
        <w:ind w:left="151" w:right="308" w:firstLine="450"/>
        <w:rPr>
          <w:color w:val="auto"/>
          <w:sz w:val="23"/>
          <w:szCs w:val="23"/>
        </w:rPr>
      </w:pPr>
      <w:r>
        <w:rPr>
          <w:color w:val="auto"/>
          <w:spacing w:val="-4"/>
          <w:sz w:val="23"/>
          <w:szCs w:val="23"/>
        </w:rPr>
        <w:t>『答案解析』著作权资产是指权利人所拥有或者控制的，</w:t>
      </w:r>
      <w:r>
        <w:rPr>
          <w:color w:val="auto"/>
          <w:spacing w:val="-40"/>
          <w:sz w:val="23"/>
          <w:szCs w:val="23"/>
        </w:rPr>
        <w:t xml:space="preserve"> </w:t>
      </w:r>
      <w:r>
        <w:rPr>
          <w:color w:val="auto"/>
          <w:spacing w:val="-4"/>
          <w:sz w:val="23"/>
          <w:szCs w:val="23"/>
        </w:rPr>
        <w:t>能够持续发挥作</w:t>
      </w:r>
      <w:r>
        <w:rPr>
          <w:color w:val="auto"/>
          <w:spacing w:val="-5"/>
          <w:sz w:val="23"/>
          <w:szCs w:val="23"/>
        </w:rPr>
        <w:t>用并且预期能带</w:t>
      </w:r>
      <w:r>
        <w:rPr>
          <w:color w:val="auto"/>
          <w:sz w:val="23"/>
          <w:szCs w:val="23"/>
        </w:rPr>
        <w:t xml:space="preserve"> </w:t>
      </w:r>
      <w:r>
        <w:rPr>
          <w:color w:val="auto"/>
          <w:spacing w:val="-1"/>
          <w:sz w:val="23"/>
          <w:szCs w:val="23"/>
        </w:rPr>
        <w:t>来经济利益的著作权的财产权益和与著作权有关权</w:t>
      </w:r>
      <w:r>
        <w:rPr>
          <w:color w:val="auto"/>
          <w:spacing w:val="-2"/>
          <w:sz w:val="23"/>
          <w:szCs w:val="23"/>
        </w:rPr>
        <w:t>利的财产权益。</w:t>
      </w:r>
    </w:p>
    <w:p w14:paraId="66F66645">
      <w:pPr>
        <w:spacing w:line="414" w:lineRule="auto"/>
        <w:rPr>
          <w:rFonts w:ascii="Arial"/>
          <w:color w:val="auto"/>
          <w:sz w:val="21"/>
        </w:rPr>
      </w:pPr>
    </w:p>
    <w:p w14:paraId="6FE8BCB1">
      <w:pPr>
        <w:pStyle w:val="2"/>
        <w:spacing w:before="69" w:line="219" w:lineRule="auto"/>
        <w:ind w:firstLine="630" w:firstLineChars="300"/>
        <w:rPr>
          <w:rFonts w:hint="eastAsia" w:eastAsia="宋体"/>
          <w:color w:val="auto"/>
          <w:lang w:eastAsia="zh-CN"/>
        </w:rPr>
      </w:pPr>
      <w:r>
        <w:rPr>
          <w:color w:val="auto"/>
          <w14:textOutline w14:w="3810" w14:cap="flat" w14:cmpd="sng">
            <w14:solidFill>
              <w14:srgbClr w14:val="000000"/>
            </w14:solidFill>
            <w14:prstDash w14:val="solid"/>
            <w14:miter w14:val="0"/>
          </w14:textOutline>
        </w:rPr>
        <w:t>著作权资产评估案例</w:t>
      </w:r>
      <w:r>
        <w:rPr>
          <w:rFonts w:hint="eastAsia"/>
          <w:color w:val="auto"/>
          <w:lang w:eastAsia="zh-CN"/>
          <w14:textOutline w14:w="3810" w14:cap="flat" w14:cmpd="sng">
            <w14:solidFill>
              <w14:srgbClr w14:val="000000"/>
            </w14:solidFill>
            <w14:prstDash w14:val="solid"/>
            <w14:miter w14:val="0"/>
          </w14:textOutline>
        </w:rPr>
        <w:t>：</w:t>
      </w:r>
    </w:p>
    <w:p w14:paraId="58B3DA91">
      <w:pPr>
        <w:spacing w:line="429" w:lineRule="auto"/>
        <w:rPr>
          <w:rFonts w:ascii="Arial"/>
          <w:color w:val="auto"/>
          <w:sz w:val="21"/>
        </w:rPr>
      </w:pPr>
    </w:p>
    <w:p w14:paraId="5EF09035">
      <w:pPr>
        <w:pStyle w:val="2"/>
        <w:spacing w:before="69" w:line="219" w:lineRule="auto"/>
        <w:ind w:left="572"/>
        <w:outlineLvl w:val="0"/>
        <w:rPr>
          <w:color w:val="auto"/>
        </w:rPr>
      </w:pPr>
      <w:r>
        <w:rPr>
          <w:color w:val="auto"/>
          <w:spacing w:val="-1"/>
          <w14:textOutline w14:w="3810" w14:cap="flat" w14:cmpd="sng">
            <w14:solidFill>
              <w14:srgbClr w14:val="000000"/>
            </w14:solidFill>
            <w14:prstDash w14:val="solid"/>
            <w14:miter w14:val="0"/>
          </w14:textOutline>
        </w:rPr>
        <w:t>一、评估案例基本情况</w:t>
      </w:r>
    </w:p>
    <w:p w14:paraId="50CA1B62">
      <w:pPr>
        <w:pStyle w:val="2"/>
        <w:spacing w:before="125" w:line="330" w:lineRule="auto"/>
        <w:ind w:left="150" w:right="295" w:firstLine="421"/>
        <w:rPr>
          <w:color w:val="auto"/>
        </w:rPr>
      </w:pPr>
      <w:r>
        <w:rPr>
          <w:color w:val="auto"/>
          <w:spacing w:val="-4"/>
        </w:rPr>
        <w:t>背景介绍： A</w:t>
      </w:r>
      <w:r>
        <w:rPr>
          <w:color w:val="auto"/>
          <w:spacing w:val="-37"/>
        </w:rPr>
        <w:t xml:space="preserve"> </w:t>
      </w:r>
      <w:r>
        <w:rPr>
          <w:color w:val="auto"/>
          <w:spacing w:val="-4"/>
        </w:rPr>
        <w:t>公司是一家专业从事字形设计、字库产品开发、汉字信息技术研究、汉字应用解决方</w:t>
      </w:r>
      <w:r>
        <w:rPr>
          <w:color w:val="auto"/>
        </w:rPr>
        <w:t xml:space="preserve"> </w:t>
      </w:r>
      <w:r>
        <w:rPr>
          <w:color w:val="auto"/>
          <w:spacing w:val="-4"/>
        </w:rPr>
        <w:t>案的文化创意与信息技术企业。在采用资产基</w:t>
      </w:r>
      <w:r>
        <w:rPr>
          <w:color w:val="auto"/>
          <w:spacing w:val="-5"/>
        </w:rPr>
        <w:t>础法时， 涉及该公司无形资产——字体美术作品著作权资</w:t>
      </w:r>
    </w:p>
    <w:p w14:paraId="2860714E">
      <w:pPr>
        <w:pStyle w:val="2"/>
        <w:spacing w:before="1" w:line="218" w:lineRule="auto"/>
        <w:ind w:left="149"/>
        <w:rPr>
          <w:color w:val="auto"/>
        </w:rPr>
      </w:pPr>
      <w:r>
        <w:rPr>
          <w:color w:val="auto"/>
          <w:spacing w:val="-5"/>
        </w:rPr>
        <w:t>产价值的评估。</w:t>
      </w:r>
    </w:p>
    <w:p w14:paraId="0EE1C7C9">
      <w:pPr>
        <w:pStyle w:val="2"/>
        <w:spacing w:before="125" w:line="376" w:lineRule="exact"/>
        <w:ind w:left="568"/>
        <w:rPr>
          <w:color w:val="auto"/>
        </w:rPr>
      </w:pPr>
      <w:r>
        <w:rPr>
          <w:color w:val="auto"/>
          <w:spacing w:val="-5"/>
          <w:position w:val="12"/>
        </w:rPr>
        <w:t>评估对象： 著作权资产全部财产权益。其实际收益来源主要是该著作权资产的复制权、信息网络传</w:t>
      </w:r>
    </w:p>
    <w:p w14:paraId="58668624">
      <w:pPr>
        <w:pStyle w:val="2"/>
        <w:spacing w:line="220" w:lineRule="auto"/>
        <w:ind w:left="150"/>
        <w:rPr>
          <w:color w:val="auto"/>
        </w:rPr>
      </w:pPr>
      <w:r>
        <w:rPr>
          <w:color w:val="auto"/>
          <w:spacing w:val="-4"/>
        </w:rPr>
        <w:t>播权的许可使用收益。</w:t>
      </w:r>
    </w:p>
    <w:p w14:paraId="217AA09F">
      <w:pPr>
        <w:pStyle w:val="2"/>
        <w:spacing w:before="124" w:line="219" w:lineRule="auto"/>
        <w:ind w:left="570"/>
        <w:rPr>
          <w:color w:val="auto"/>
        </w:rPr>
      </w:pPr>
      <w:r>
        <w:rPr>
          <w:color w:val="auto"/>
          <w:spacing w:val="-4"/>
        </w:rPr>
        <w:t>价值类型：市场价值。</w:t>
      </w:r>
    </w:p>
    <w:p w14:paraId="414E9765">
      <w:pPr>
        <w:pStyle w:val="2"/>
        <w:spacing w:before="126" w:line="219" w:lineRule="auto"/>
        <w:ind w:left="568"/>
        <w:rPr>
          <w:color w:val="auto"/>
        </w:rPr>
      </w:pPr>
      <w:r>
        <w:rPr>
          <w:color w:val="auto"/>
          <w:spacing w:val="-15"/>
        </w:rPr>
        <w:t>评估基准日：</w:t>
      </w:r>
      <w:r>
        <w:rPr>
          <w:color w:val="auto"/>
          <w:spacing w:val="67"/>
        </w:rPr>
        <w:t xml:space="preserve"> </w:t>
      </w:r>
      <w:r>
        <w:rPr>
          <w:color w:val="auto"/>
          <w:spacing w:val="-15"/>
        </w:rPr>
        <w:t>2015</w:t>
      </w:r>
      <w:r>
        <w:rPr>
          <w:color w:val="auto"/>
          <w:spacing w:val="-44"/>
        </w:rPr>
        <w:t xml:space="preserve"> </w:t>
      </w:r>
      <w:r>
        <w:rPr>
          <w:color w:val="auto"/>
          <w:spacing w:val="-15"/>
        </w:rPr>
        <w:t>年</w:t>
      </w:r>
      <w:r>
        <w:rPr>
          <w:color w:val="auto"/>
          <w:spacing w:val="-29"/>
        </w:rPr>
        <w:t xml:space="preserve"> </w:t>
      </w:r>
      <w:r>
        <w:rPr>
          <w:color w:val="auto"/>
          <w:spacing w:val="-15"/>
        </w:rPr>
        <w:t>12</w:t>
      </w:r>
      <w:r>
        <w:rPr>
          <w:color w:val="auto"/>
          <w:spacing w:val="-38"/>
        </w:rPr>
        <w:t xml:space="preserve"> </w:t>
      </w:r>
      <w:r>
        <w:rPr>
          <w:color w:val="auto"/>
          <w:spacing w:val="-15"/>
        </w:rPr>
        <w:t>月</w:t>
      </w:r>
      <w:r>
        <w:rPr>
          <w:color w:val="auto"/>
          <w:spacing w:val="-40"/>
        </w:rPr>
        <w:t xml:space="preserve"> </w:t>
      </w:r>
      <w:r>
        <w:rPr>
          <w:color w:val="auto"/>
          <w:spacing w:val="-15"/>
        </w:rPr>
        <w:t>31 日。</w:t>
      </w:r>
    </w:p>
    <w:p w14:paraId="3BDD4CD4">
      <w:pPr>
        <w:spacing w:line="428" w:lineRule="auto"/>
        <w:rPr>
          <w:rFonts w:ascii="Arial"/>
          <w:color w:val="auto"/>
          <w:sz w:val="21"/>
        </w:rPr>
      </w:pPr>
    </w:p>
    <w:p w14:paraId="1172F0D0">
      <w:pPr>
        <w:pStyle w:val="2"/>
        <w:spacing w:before="69" w:line="219" w:lineRule="auto"/>
        <w:ind w:left="572"/>
        <w:outlineLvl w:val="0"/>
        <w:rPr>
          <w:color w:val="auto"/>
        </w:rPr>
      </w:pPr>
      <w:r>
        <w:rPr>
          <w:color w:val="auto"/>
          <w:spacing w:val="-1"/>
          <w14:textOutline w14:w="3810" w14:cap="flat" w14:cmpd="sng">
            <w14:solidFill>
              <w14:srgbClr w14:val="000000"/>
            </w14:solidFill>
            <w14:prstDash w14:val="solid"/>
            <w14:miter w14:val="0"/>
          </w14:textOutline>
        </w:rPr>
        <w:t>二、评估过程和结果</w:t>
      </w:r>
    </w:p>
    <w:p w14:paraId="358C07D9">
      <w:pPr>
        <w:pStyle w:val="2"/>
        <w:spacing w:before="127" w:line="219" w:lineRule="auto"/>
        <w:ind w:left="568"/>
        <w:rPr>
          <w:color w:val="auto"/>
        </w:rPr>
      </w:pPr>
      <w:r>
        <w:rPr>
          <w:color w:val="auto"/>
          <w:spacing w:val="-9"/>
        </w:rPr>
        <w:t>评估方法：</w:t>
      </w:r>
    </w:p>
    <w:p w14:paraId="4CB1235C">
      <w:pPr>
        <w:pStyle w:val="2"/>
        <w:spacing w:before="125" w:line="376" w:lineRule="exact"/>
        <w:ind w:left="562"/>
        <w:rPr>
          <w:color w:val="auto"/>
        </w:rPr>
      </w:pPr>
      <w:r>
        <w:rPr>
          <w:color w:val="auto"/>
          <w:spacing w:val="-5"/>
          <w:position w:val="12"/>
        </w:rPr>
        <w:t>A</w:t>
      </w:r>
      <w:r>
        <w:rPr>
          <w:color w:val="auto"/>
          <w:spacing w:val="-25"/>
          <w:position w:val="12"/>
        </w:rPr>
        <w:t xml:space="preserve"> </w:t>
      </w:r>
      <w:r>
        <w:rPr>
          <w:color w:val="auto"/>
          <w:spacing w:val="-5"/>
          <w:position w:val="12"/>
        </w:rPr>
        <w:t>公司字体美术作品著作权一般通过授权许可使用方式产生收益，</w:t>
      </w:r>
      <w:r>
        <w:rPr>
          <w:color w:val="auto"/>
          <w:spacing w:val="37"/>
          <w:position w:val="12"/>
        </w:rPr>
        <w:t xml:space="preserve"> </w:t>
      </w:r>
      <w:r>
        <w:rPr>
          <w:color w:val="auto"/>
          <w:spacing w:val="-5"/>
          <w:position w:val="12"/>
        </w:rPr>
        <w:t>由于著作权资产带来的收益可以</w:t>
      </w:r>
    </w:p>
    <w:p w14:paraId="2084C47A">
      <w:pPr>
        <w:pStyle w:val="2"/>
        <w:spacing w:before="1" w:line="218" w:lineRule="auto"/>
        <w:ind w:left="169"/>
        <w:rPr>
          <w:color w:val="auto"/>
        </w:rPr>
      </w:pPr>
      <w:r>
        <w:rPr>
          <w:color w:val="auto"/>
          <w:spacing w:val="-2"/>
        </w:rPr>
        <w:t>明确预测，对该字体美术作品著作权资产的评估采用收</w:t>
      </w:r>
      <w:r>
        <w:rPr>
          <w:color w:val="auto"/>
          <w:spacing w:val="-3"/>
        </w:rPr>
        <w:t>益法。</w:t>
      </w:r>
    </w:p>
    <w:p w14:paraId="1E260233">
      <w:pPr>
        <w:pStyle w:val="2"/>
        <w:spacing w:before="125" w:line="219" w:lineRule="auto"/>
        <w:ind w:left="568"/>
        <w:rPr>
          <w:color w:val="auto"/>
        </w:rPr>
      </w:pPr>
      <w:r>
        <w:rPr>
          <w:color w:val="auto"/>
          <w:spacing w:val="-9"/>
        </w:rPr>
        <w:t>评估过程：</w:t>
      </w:r>
    </w:p>
    <w:p w14:paraId="314968C4">
      <w:pPr>
        <w:pStyle w:val="2"/>
        <w:spacing w:before="126" w:line="220" w:lineRule="auto"/>
        <w:ind w:left="584"/>
        <w:rPr>
          <w:color w:val="auto"/>
        </w:rPr>
      </w:pPr>
      <w:r>
        <w:rPr>
          <w:color w:val="auto"/>
          <w:spacing w:val="-3"/>
        </w:rPr>
        <w:t>1.确定收益期限</w:t>
      </w:r>
    </w:p>
    <w:p w14:paraId="7042B65F">
      <w:pPr>
        <w:pStyle w:val="2"/>
        <w:spacing w:before="124" w:line="330" w:lineRule="auto"/>
        <w:ind w:left="185" w:right="317" w:firstLine="394"/>
        <w:rPr>
          <w:color w:val="auto"/>
          <w:spacing w:val="-7"/>
        </w:rPr>
      </w:pPr>
      <w:r>
        <w:rPr>
          <w:color w:val="auto"/>
          <w:spacing w:val="-2"/>
        </w:rPr>
        <w:t>虽然该字体美术作品著作权法定保护期限为</w:t>
      </w:r>
      <w:r>
        <w:rPr>
          <w:color w:val="auto"/>
          <w:spacing w:val="-39"/>
        </w:rPr>
        <w:t xml:space="preserve"> </w:t>
      </w:r>
      <w:r>
        <w:rPr>
          <w:color w:val="auto"/>
          <w:spacing w:val="-2"/>
        </w:rPr>
        <w:t>50</w:t>
      </w:r>
      <w:r>
        <w:rPr>
          <w:color w:val="auto"/>
          <w:spacing w:val="-43"/>
        </w:rPr>
        <w:t xml:space="preserve"> </w:t>
      </w:r>
      <w:r>
        <w:rPr>
          <w:color w:val="auto"/>
          <w:spacing w:val="-2"/>
        </w:rPr>
        <w:t>年</w:t>
      </w:r>
      <w:r>
        <w:rPr>
          <w:color w:val="auto"/>
          <w:spacing w:val="-3"/>
        </w:rPr>
        <w:t>，该字体自创作完成至基准日</w:t>
      </w:r>
      <w:r>
        <w:rPr>
          <w:color w:val="auto"/>
          <w:spacing w:val="-42"/>
        </w:rPr>
        <w:t xml:space="preserve"> </w:t>
      </w:r>
      <w:r>
        <w:rPr>
          <w:color w:val="auto"/>
          <w:spacing w:val="-3"/>
        </w:rPr>
        <w:t>2015</w:t>
      </w:r>
      <w:r>
        <w:rPr>
          <w:color w:val="auto"/>
          <w:spacing w:val="-42"/>
        </w:rPr>
        <w:t xml:space="preserve"> </w:t>
      </w:r>
      <w:r>
        <w:rPr>
          <w:color w:val="auto"/>
          <w:spacing w:val="-3"/>
        </w:rPr>
        <w:t>年</w:t>
      </w:r>
      <w:r>
        <w:rPr>
          <w:color w:val="auto"/>
          <w:spacing w:val="-29"/>
        </w:rPr>
        <w:t xml:space="preserve"> </w:t>
      </w:r>
      <w:r>
        <w:rPr>
          <w:color w:val="auto"/>
          <w:spacing w:val="-3"/>
        </w:rPr>
        <w:t>12</w:t>
      </w:r>
      <w:r>
        <w:rPr>
          <w:color w:val="auto"/>
          <w:spacing w:val="-38"/>
        </w:rPr>
        <w:t xml:space="preserve"> </w:t>
      </w:r>
      <w:r>
        <w:rPr>
          <w:color w:val="auto"/>
          <w:spacing w:val="-3"/>
        </w:rPr>
        <w:t>月</w:t>
      </w:r>
      <w:r>
        <w:rPr>
          <w:color w:val="auto"/>
          <w:spacing w:val="-41"/>
        </w:rPr>
        <w:t xml:space="preserve"> </w:t>
      </w:r>
      <w:r>
        <w:rPr>
          <w:color w:val="auto"/>
          <w:spacing w:val="-3"/>
        </w:rPr>
        <w:t>31</w:t>
      </w:r>
      <w:r>
        <w:rPr>
          <w:color w:val="auto"/>
        </w:rPr>
        <w:t xml:space="preserve">  </w:t>
      </w:r>
      <w:r>
        <w:rPr>
          <w:color w:val="auto"/>
          <w:spacing w:val="-2"/>
        </w:rPr>
        <w:t>日已使用</w:t>
      </w:r>
      <w:r>
        <w:rPr>
          <w:color w:val="auto"/>
          <w:spacing w:val="-41"/>
        </w:rPr>
        <w:t xml:space="preserve"> </w:t>
      </w:r>
      <w:r>
        <w:rPr>
          <w:color w:val="auto"/>
          <w:spacing w:val="-2"/>
        </w:rPr>
        <w:t>2</w:t>
      </w:r>
      <w:r>
        <w:rPr>
          <w:color w:val="auto"/>
          <w:spacing w:val="-44"/>
        </w:rPr>
        <w:t xml:space="preserve"> </w:t>
      </w:r>
      <w:r>
        <w:rPr>
          <w:color w:val="auto"/>
          <w:spacing w:val="-2"/>
        </w:rPr>
        <w:t>年，剩余保护期限</w:t>
      </w:r>
      <w:r>
        <w:rPr>
          <w:color w:val="auto"/>
          <w:spacing w:val="-45"/>
        </w:rPr>
        <w:t xml:space="preserve"> </w:t>
      </w:r>
      <w:r>
        <w:rPr>
          <w:color w:val="auto"/>
          <w:spacing w:val="-2"/>
        </w:rPr>
        <w:t>48</w:t>
      </w:r>
      <w:r>
        <w:rPr>
          <w:color w:val="auto"/>
          <w:spacing w:val="-43"/>
        </w:rPr>
        <w:t xml:space="preserve"> </w:t>
      </w:r>
      <w:r>
        <w:rPr>
          <w:color w:val="auto"/>
          <w:spacing w:val="-2"/>
        </w:rPr>
        <w:t>年，但根据字体特征、消费者分析并结合企业经验，确定该字</w:t>
      </w:r>
      <w:r>
        <w:rPr>
          <w:color w:val="auto"/>
          <w:spacing w:val="-3"/>
        </w:rPr>
        <w:t>体剩余</w:t>
      </w:r>
      <w:r>
        <w:rPr>
          <w:color w:val="auto"/>
          <w:spacing w:val="-7"/>
        </w:rPr>
        <w:t>经济使用年限为</w:t>
      </w:r>
      <w:r>
        <w:rPr>
          <w:color w:val="auto"/>
          <w:spacing w:val="-26"/>
        </w:rPr>
        <w:t xml:space="preserve"> </w:t>
      </w:r>
      <w:r>
        <w:rPr>
          <w:color w:val="auto"/>
          <w:spacing w:val="-7"/>
        </w:rPr>
        <w:t>7</w:t>
      </w:r>
      <w:r>
        <w:rPr>
          <w:color w:val="auto"/>
          <w:spacing w:val="-42"/>
        </w:rPr>
        <w:t xml:space="preserve"> </w:t>
      </w:r>
      <w:r>
        <w:rPr>
          <w:color w:val="auto"/>
          <w:spacing w:val="-7"/>
        </w:rPr>
        <w:t>年， 即预测收益期至</w:t>
      </w:r>
      <w:r>
        <w:rPr>
          <w:color w:val="auto"/>
          <w:spacing w:val="-42"/>
        </w:rPr>
        <w:t xml:space="preserve"> </w:t>
      </w:r>
      <w:r>
        <w:rPr>
          <w:color w:val="auto"/>
          <w:spacing w:val="-7"/>
        </w:rPr>
        <w:t>2022</w:t>
      </w:r>
      <w:r>
        <w:rPr>
          <w:color w:val="auto"/>
          <w:spacing w:val="-42"/>
        </w:rPr>
        <w:t xml:space="preserve"> </w:t>
      </w:r>
      <w:r>
        <w:rPr>
          <w:color w:val="auto"/>
          <w:spacing w:val="-7"/>
        </w:rPr>
        <w:t>年末。</w:t>
      </w:r>
    </w:p>
    <w:p w14:paraId="62CEBE7F">
      <w:pPr>
        <w:pStyle w:val="2"/>
        <w:spacing w:before="243" w:line="220" w:lineRule="auto"/>
        <w:ind w:left="571"/>
        <w:rPr>
          <w:color w:val="auto"/>
        </w:rPr>
      </w:pPr>
      <w:r>
        <w:rPr>
          <w:color w:val="auto"/>
          <w:spacing w:val="-2"/>
        </w:rPr>
        <w:t>2.预测超额收益</w:t>
      </w:r>
    </w:p>
    <w:p w14:paraId="3A7BEC4D">
      <w:pPr>
        <w:pStyle w:val="2"/>
        <w:spacing w:before="123" w:line="220" w:lineRule="auto"/>
        <w:ind w:left="572"/>
        <w:rPr>
          <w:color w:val="auto"/>
        </w:rPr>
      </w:pPr>
      <w:r>
        <w:rPr>
          <w:color w:val="auto"/>
          <w:spacing w:val="-2"/>
        </w:rPr>
        <w:t>著作权资产未来第</w:t>
      </w:r>
      <w:r>
        <w:rPr>
          <w:color w:val="auto"/>
          <w:spacing w:val="-40"/>
        </w:rPr>
        <w:t xml:space="preserve"> </w:t>
      </w:r>
      <w:r>
        <w:rPr>
          <w:color w:val="auto"/>
          <w:spacing w:val="-2"/>
        </w:rPr>
        <w:t>t</w:t>
      </w:r>
      <w:r>
        <w:rPr>
          <w:color w:val="auto"/>
          <w:spacing w:val="-43"/>
        </w:rPr>
        <w:t xml:space="preserve"> </w:t>
      </w:r>
      <w:r>
        <w:rPr>
          <w:color w:val="auto"/>
          <w:spacing w:val="-2"/>
        </w:rPr>
        <w:t>个收益期的预期超额收益采</w:t>
      </w:r>
      <w:r>
        <w:rPr>
          <w:color w:val="auto"/>
          <w:spacing w:val="-3"/>
        </w:rPr>
        <w:t>用现金流口径，计算公式为：</w:t>
      </w:r>
    </w:p>
    <w:p w14:paraId="3465E409">
      <w:pPr>
        <w:pStyle w:val="2"/>
        <w:spacing w:before="124" w:line="220" w:lineRule="auto"/>
        <w:ind w:left="567"/>
        <w:rPr>
          <w:color w:val="auto"/>
        </w:rPr>
      </w:pPr>
      <w:r>
        <w:rPr>
          <w:color w:val="auto"/>
          <w:spacing w:val="-3"/>
        </w:rPr>
        <w:t>R</w:t>
      </w:r>
      <w:r>
        <w:rPr>
          <w:color w:val="auto"/>
          <w:spacing w:val="-3"/>
          <w:sz w:val="11"/>
          <w:szCs w:val="11"/>
        </w:rPr>
        <w:t>t</w:t>
      </w:r>
      <w:r>
        <w:rPr>
          <w:color w:val="auto"/>
          <w:spacing w:val="-22"/>
          <w:sz w:val="11"/>
          <w:szCs w:val="11"/>
        </w:rPr>
        <w:t xml:space="preserve"> </w:t>
      </w:r>
      <w:r>
        <w:rPr>
          <w:color w:val="auto"/>
          <w:spacing w:val="-3"/>
        </w:rPr>
        <w:t>＝著作权资产收益－贡献资产收益</w:t>
      </w:r>
    </w:p>
    <w:p w14:paraId="4A9971CC">
      <w:pPr>
        <w:pStyle w:val="2"/>
        <w:spacing w:before="125" w:line="374" w:lineRule="exact"/>
        <w:ind w:left="568"/>
        <w:rPr>
          <w:color w:val="auto"/>
        </w:rPr>
      </w:pPr>
      <w:r>
        <w:rPr>
          <w:color w:val="auto"/>
          <w:spacing w:val="-1"/>
          <w:position w:val="12"/>
        </w:rPr>
        <w:t>①该著作权资产历史年度每年可授权许可</w:t>
      </w:r>
      <w:r>
        <w:rPr>
          <w:color w:val="auto"/>
          <w:spacing w:val="-43"/>
          <w:position w:val="12"/>
        </w:rPr>
        <w:t xml:space="preserve"> </w:t>
      </w:r>
      <w:r>
        <w:rPr>
          <w:color w:val="auto"/>
          <w:spacing w:val="-1"/>
          <w:position w:val="12"/>
        </w:rPr>
        <w:t>8～9</w:t>
      </w:r>
      <w:r>
        <w:rPr>
          <w:color w:val="auto"/>
          <w:spacing w:val="-44"/>
          <w:position w:val="12"/>
        </w:rPr>
        <w:t xml:space="preserve"> </w:t>
      </w:r>
      <w:r>
        <w:rPr>
          <w:color w:val="auto"/>
          <w:spacing w:val="-1"/>
          <w:position w:val="12"/>
        </w:rPr>
        <w:t>个客户使用，许可费收入约</w:t>
      </w:r>
      <w:r>
        <w:rPr>
          <w:color w:val="auto"/>
          <w:spacing w:val="-41"/>
          <w:position w:val="12"/>
        </w:rPr>
        <w:t xml:space="preserve"> </w:t>
      </w:r>
      <w:r>
        <w:rPr>
          <w:color w:val="auto"/>
          <w:spacing w:val="-1"/>
          <w:position w:val="12"/>
        </w:rPr>
        <w:t>27000</w:t>
      </w:r>
      <w:r>
        <w:rPr>
          <w:color w:val="auto"/>
          <w:spacing w:val="-42"/>
          <w:position w:val="12"/>
        </w:rPr>
        <w:t xml:space="preserve"> </w:t>
      </w:r>
      <w:r>
        <w:rPr>
          <w:color w:val="auto"/>
          <w:spacing w:val="-1"/>
          <w:position w:val="12"/>
        </w:rPr>
        <w:t>元，最</w:t>
      </w:r>
      <w:r>
        <w:rPr>
          <w:color w:val="auto"/>
          <w:spacing w:val="-2"/>
          <w:position w:val="12"/>
        </w:rPr>
        <w:t>近三年平</w:t>
      </w:r>
    </w:p>
    <w:p w14:paraId="3B13F001">
      <w:pPr>
        <w:pStyle w:val="2"/>
        <w:spacing w:line="220" w:lineRule="auto"/>
        <w:ind w:left="149"/>
        <w:rPr>
          <w:color w:val="auto"/>
        </w:rPr>
      </w:pPr>
      <w:r>
        <w:rPr>
          <w:color w:val="auto"/>
          <w:spacing w:val="4"/>
        </w:rPr>
        <w:t>均增长率</w:t>
      </w:r>
      <w:r>
        <w:rPr>
          <w:color w:val="auto"/>
          <w:spacing w:val="-35"/>
        </w:rPr>
        <w:t xml:space="preserve"> </w:t>
      </w:r>
      <w:r>
        <w:rPr>
          <w:color w:val="auto"/>
          <w:spacing w:val="4"/>
        </w:rPr>
        <w:t>5%;</w:t>
      </w:r>
    </w:p>
    <w:p w14:paraId="2C1B6652">
      <w:pPr>
        <w:pStyle w:val="2"/>
        <w:spacing w:before="125" w:line="375" w:lineRule="exact"/>
        <w:ind w:left="567"/>
        <w:rPr>
          <w:color w:val="auto"/>
        </w:rPr>
      </w:pPr>
      <w:r>
        <w:rPr>
          <w:color w:val="auto"/>
          <w:spacing w:val="-2"/>
          <w:position w:val="12"/>
        </w:rPr>
        <w:t>②简易征收增值税，征收率</w:t>
      </w:r>
      <w:r>
        <w:rPr>
          <w:color w:val="auto"/>
          <w:spacing w:val="-35"/>
          <w:position w:val="12"/>
        </w:rPr>
        <w:t xml:space="preserve"> </w:t>
      </w:r>
      <w:r>
        <w:rPr>
          <w:color w:val="auto"/>
          <w:spacing w:val="-2"/>
          <w:position w:val="12"/>
        </w:rPr>
        <w:t>3</w:t>
      </w:r>
      <w:r>
        <w:rPr>
          <w:color w:val="auto"/>
          <w:spacing w:val="-10"/>
          <w:position w:val="12"/>
        </w:rPr>
        <w:t>％，</w:t>
      </w:r>
      <w:r>
        <w:rPr>
          <w:color w:val="auto"/>
          <w:spacing w:val="-2"/>
          <w:position w:val="12"/>
        </w:rPr>
        <w:t>销售税金及附加为增值税的 10</w:t>
      </w:r>
      <w:r>
        <w:rPr>
          <w:color w:val="auto"/>
          <w:spacing w:val="-10"/>
          <w:position w:val="12"/>
        </w:rPr>
        <w:t>％，</w:t>
      </w:r>
      <w:r>
        <w:rPr>
          <w:color w:val="auto"/>
          <w:spacing w:val="-2"/>
          <w:position w:val="12"/>
        </w:rPr>
        <w:t>营业成本为收入的 10</w:t>
      </w:r>
      <w:r>
        <w:rPr>
          <w:color w:val="auto"/>
          <w:spacing w:val="-10"/>
          <w:position w:val="12"/>
        </w:rPr>
        <w:t>％，</w:t>
      </w:r>
      <w:r>
        <w:rPr>
          <w:color w:val="auto"/>
          <w:spacing w:val="-2"/>
          <w:position w:val="12"/>
        </w:rPr>
        <w:t>销</w:t>
      </w:r>
    </w:p>
    <w:p w14:paraId="70B6EB03">
      <w:pPr>
        <w:pStyle w:val="2"/>
        <w:spacing w:line="220" w:lineRule="auto"/>
        <w:ind w:left="148"/>
        <w:rPr>
          <w:color w:val="auto"/>
        </w:rPr>
      </w:pPr>
      <w:r>
        <w:rPr>
          <w:color w:val="auto"/>
          <w:spacing w:val="-4"/>
        </w:rPr>
        <w:t>售及管理费用分别为收入的</w:t>
      </w:r>
      <w:r>
        <w:rPr>
          <w:color w:val="auto"/>
          <w:spacing w:val="-26"/>
        </w:rPr>
        <w:t xml:space="preserve"> </w:t>
      </w:r>
      <w:r>
        <w:rPr>
          <w:color w:val="auto"/>
          <w:spacing w:val="-4"/>
        </w:rPr>
        <w:t>15％、 10%;</w:t>
      </w:r>
    </w:p>
    <w:p w14:paraId="7B8A0847">
      <w:pPr>
        <w:pStyle w:val="2"/>
        <w:spacing w:before="125" w:line="218" w:lineRule="auto"/>
        <w:ind w:left="566"/>
        <w:rPr>
          <w:color w:val="auto"/>
        </w:rPr>
      </w:pPr>
      <w:r>
        <w:rPr>
          <w:color w:val="auto"/>
          <w:spacing w:val="-5"/>
        </w:rPr>
        <w:t>③流动资产、固定资产对收入贡献分别为</w:t>
      </w:r>
      <w:r>
        <w:rPr>
          <w:color w:val="auto"/>
          <w:spacing w:val="-30"/>
        </w:rPr>
        <w:t xml:space="preserve"> </w:t>
      </w:r>
      <w:r>
        <w:rPr>
          <w:color w:val="auto"/>
          <w:spacing w:val="-5"/>
        </w:rPr>
        <w:t>2％、</w:t>
      </w:r>
      <w:r>
        <w:rPr>
          <w:color w:val="auto"/>
          <w:spacing w:val="-30"/>
        </w:rPr>
        <w:t xml:space="preserve"> </w:t>
      </w:r>
      <w:r>
        <w:rPr>
          <w:color w:val="auto"/>
          <w:spacing w:val="-5"/>
        </w:rPr>
        <w:t>4％。</w:t>
      </w:r>
    </w:p>
    <w:p w14:paraId="431B2F8B">
      <w:pPr>
        <w:pStyle w:val="2"/>
        <w:spacing w:before="127" w:line="220" w:lineRule="auto"/>
        <w:ind w:left="3014"/>
        <w:rPr>
          <w:color w:val="auto"/>
          <w:spacing w:val="-2"/>
        </w:rPr>
      </w:pPr>
    </w:p>
    <w:p w14:paraId="4B6B608C">
      <w:pPr>
        <w:pStyle w:val="2"/>
        <w:spacing w:before="127" w:line="220" w:lineRule="auto"/>
        <w:ind w:left="3014" w:firstLine="206" w:firstLineChars="100"/>
        <w:rPr>
          <w:color w:val="auto"/>
        </w:rPr>
      </w:pPr>
      <w:r>
        <w:rPr>
          <w:color w:val="auto"/>
          <w:spacing w:val="-2"/>
        </w:rPr>
        <w:t>预测期著作权资产超额收益表</w:t>
      </w:r>
    </w:p>
    <w:p w14:paraId="6C11FD8D">
      <w:pPr>
        <w:pStyle w:val="2"/>
        <w:spacing w:before="124" w:line="221" w:lineRule="auto"/>
        <w:ind w:left="8666"/>
        <w:rPr>
          <w:color w:val="auto"/>
        </w:rPr>
      </w:pPr>
      <w:r>
        <w:rPr>
          <w:color w:val="auto"/>
          <w:spacing w:val="-2"/>
        </w:rPr>
        <w:t>单位：元</w:t>
      </w:r>
    </w:p>
    <w:p w14:paraId="4180053F">
      <w:pPr>
        <w:spacing w:line="41" w:lineRule="exact"/>
        <w:rPr>
          <w:color w:val="auto"/>
        </w:rPr>
      </w:pPr>
    </w:p>
    <w:tbl>
      <w:tblPr>
        <w:tblStyle w:val="5"/>
        <w:tblW w:w="8477" w:type="dxa"/>
        <w:tblInd w:w="5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8"/>
        <w:gridCol w:w="1181"/>
        <w:gridCol w:w="1153"/>
        <w:gridCol w:w="660"/>
        <w:gridCol w:w="662"/>
        <w:gridCol w:w="662"/>
        <w:gridCol w:w="634"/>
        <w:gridCol w:w="688"/>
        <w:gridCol w:w="696"/>
        <w:gridCol w:w="633"/>
      </w:tblGrid>
      <w:tr w14:paraId="78C48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08" w:type="dxa"/>
            <w:vAlign w:val="top"/>
          </w:tcPr>
          <w:p w14:paraId="0DDD2455">
            <w:pPr>
              <w:pStyle w:val="2"/>
              <w:spacing w:before="125" w:line="375" w:lineRule="exact"/>
              <w:rPr>
                <w:color w:val="auto"/>
                <w:spacing w:val="-2"/>
                <w:position w:val="12"/>
              </w:rPr>
            </w:pPr>
            <w:r>
              <w:rPr>
                <w:color w:val="auto"/>
                <w:spacing w:val="-2"/>
                <w:position w:val="12"/>
              </w:rPr>
              <w:t>项目</w:t>
            </w:r>
          </w:p>
        </w:tc>
        <w:tc>
          <w:tcPr>
            <w:tcW w:w="1181" w:type="dxa"/>
            <w:vAlign w:val="top"/>
          </w:tcPr>
          <w:p w14:paraId="2CD5F588">
            <w:pPr>
              <w:pStyle w:val="2"/>
              <w:spacing w:before="125" w:line="375" w:lineRule="exact"/>
              <w:rPr>
                <w:color w:val="auto"/>
                <w:spacing w:val="-2"/>
                <w:position w:val="12"/>
              </w:rPr>
            </w:pPr>
            <w:r>
              <w:rPr>
                <w:color w:val="auto"/>
                <w:spacing w:val="-2"/>
                <w:position w:val="12"/>
              </w:rPr>
              <w:t>预测基础</w:t>
            </w:r>
          </w:p>
        </w:tc>
        <w:tc>
          <w:tcPr>
            <w:tcW w:w="1153" w:type="dxa"/>
            <w:vAlign w:val="top"/>
          </w:tcPr>
          <w:p w14:paraId="317E5F1F">
            <w:pPr>
              <w:pStyle w:val="2"/>
              <w:spacing w:before="125" w:line="375" w:lineRule="exact"/>
              <w:rPr>
                <w:color w:val="auto"/>
                <w:spacing w:val="-2"/>
                <w:position w:val="12"/>
              </w:rPr>
            </w:pPr>
            <w:r>
              <w:rPr>
                <w:color w:val="auto"/>
                <w:spacing w:val="-2"/>
                <w:position w:val="12"/>
              </w:rPr>
              <w:t>公式</w:t>
            </w:r>
          </w:p>
        </w:tc>
        <w:tc>
          <w:tcPr>
            <w:tcW w:w="660" w:type="dxa"/>
            <w:vAlign w:val="top"/>
          </w:tcPr>
          <w:p w14:paraId="01159A9D">
            <w:pPr>
              <w:pStyle w:val="2"/>
              <w:spacing w:before="125" w:line="375" w:lineRule="exact"/>
              <w:rPr>
                <w:color w:val="auto"/>
                <w:spacing w:val="-2"/>
                <w:position w:val="12"/>
              </w:rPr>
            </w:pPr>
            <w:r>
              <w:rPr>
                <w:color w:val="auto"/>
                <w:spacing w:val="-2"/>
                <w:position w:val="12"/>
              </w:rPr>
              <w:t>2016年</w:t>
            </w:r>
          </w:p>
        </w:tc>
        <w:tc>
          <w:tcPr>
            <w:tcW w:w="662" w:type="dxa"/>
            <w:vAlign w:val="top"/>
          </w:tcPr>
          <w:p w14:paraId="66BF7D58">
            <w:pPr>
              <w:pStyle w:val="2"/>
              <w:spacing w:before="125" w:line="375" w:lineRule="exact"/>
              <w:rPr>
                <w:color w:val="auto"/>
                <w:spacing w:val="-2"/>
                <w:position w:val="12"/>
              </w:rPr>
            </w:pPr>
            <w:r>
              <w:rPr>
                <w:color w:val="auto"/>
                <w:spacing w:val="-2"/>
                <w:position w:val="12"/>
              </w:rPr>
              <w:t>2017年</w:t>
            </w:r>
          </w:p>
        </w:tc>
        <w:tc>
          <w:tcPr>
            <w:tcW w:w="662" w:type="dxa"/>
            <w:vAlign w:val="top"/>
          </w:tcPr>
          <w:p w14:paraId="1C275A15">
            <w:pPr>
              <w:pStyle w:val="2"/>
              <w:spacing w:before="125" w:line="375" w:lineRule="exact"/>
              <w:rPr>
                <w:color w:val="auto"/>
                <w:spacing w:val="-2"/>
                <w:position w:val="12"/>
              </w:rPr>
            </w:pPr>
            <w:r>
              <w:rPr>
                <w:color w:val="auto"/>
                <w:spacing w:val="-2"/>
                <w:position w:val="12"/>
              </w:rPr>
              <w:t>2018年</w:t>
            </w:r>
          </w:p>
        </w:tc>
        <w:tc>
          <w:tcPr>
            <w:tcW w:w="634" w:type="dxa"/>
            <w:vAlign w:val="top"/>
          </w:tcPr>
          <w:p w14:paraId="5FFA98B0">
            <w:pPr>
              <w:pStyle w:val="2"/>
              <w:spacing w:before="125" w:line="375" w:lineRule="exact"/>
              <w:rPr>
                <w:color w:val="auto"/>
                <w:spacing w:val="-2"/>
                <w:position w:val="12"/>
              </w:rPr>
            </w:pPr>
            <w:r>
              <w:rPr>
                <w:color w:val="auto"/>
                <w:spacing w:val="-2"/>
                <w:position w:val="12"/>
              </w:rPr>
              <w:t>2019年</w:t>
            </w:r>
          </w:p>
        </w:tc>
        <w:tc>
          <w:tcPr>
            <w:tcW w:w="688" w:type="dxa"/>
            <w:vAlign w:val="top"/>
          </w:tcPr>
          <w:p w14:paraId="429215E5">
            <w:pPr>
              <w:pStyle w:val="2"/>
              <w:spacing w:before="125" w:line="375" w:lineRule="exact"/>
              <w:rPr>
                <w:color w:val="auto"/>
                <w:spacing w:val="-2"/>
                <w:position w:val="12"/>
              </w:rPr>
            </w:pPr>
            <w:r>
              <w:rPr>
                <w:color w:val="auto"/>
                <w:spacing w:val="-2"/>
                <w:position w:val="12"/>
              </w:rPr>
              <w:t>2020年</w:t>
            </w:r>
          </w:p>
        </w:tc>
        <w:tc>
          <w:tcPr>
            <w:tcW w:w="696" w:type="dxa"/>
            <w:vAlign w:val="top"/>
          </w:tcPr>
          <w:p w14:paraId="332CE779">
            <w:pPr>
              <w:pStyle w:val="2"/>
              <w:spacing w:before="125" w:line="375" w:lineRule="exact"/>
              <w:rPr>
                <w:color w:val="auto"/>
                <w:spacing w:val="-2"/>
                <w:position w:val="12"/>
              </w:rPr>
            </w:pPr>
            <w:r>
              <w:rPr>
                <w:color w:val="auto"/>
                <w:spacing w:val="-2"/>
                <w:position w:val="12"/>
              </w:rPr>
              <w:t>2021年</w:t>
            </w:r>
          </w:p>
        </w:tc>
        <w:tc>
          <w:tcPr>
            <w:tcW w:w="633" w:type="dxa"/>
            <w:vAlign w:val="top"/>
          </w:tcPr>
          <w:p w14:paraId="30EB390B">
            <w:pPr>
              <w:pStyle w:val="2"/>
              <w:spacing w:before="125" w:line="375" w:lineRule="exact"/>
              <w:rPr>
                <w:color w:val="auto"/>
                <w:spacing w:val="-2"/>
                <w:position w:val="12"/>
              </w:rPr>
            </w:pPr>
            <w:r>
              <w:rPr>
                <w:color w:val="auto"/>
                <w:spacing w:val="-2"/>
                <w:position w:val="12"/>
              </w:rPr>
              <w:t>2022年</w:t>
            </w:r>
          </w:p>
        </w:tc>
      </w:tr>
      <w:tr w14:paraId="0E90E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1" w:hRule="atLeast"/>
        </w:trPr>
        <w:tc>
          <w:tcPr>
            <w:tcW w:w="1508" w:type="dxa"/>
            <w:vAlign w:val="top"/>
          </w:tcPr>
          <w:p w14:paraId="10BB6181">
            <w:pPr>
              <w:pStyle w:val="2"/>
              <w:spacing w:before="125" w:line="375" w:lineRule="exact"/>
              <w:rPr>
                <w:color w:val="auto"/>
                <w:spacing w:val="-2"/>
                <w:position w:val="12"/>
              </w:rPr>
            </w:pPr>
            <w:r>
              <w:rPr>
                <w:color w:val="auto"/>
                <w:spacing w:val="-2"/>
                <w:position w:val="12"/>
              </w:rPr>
              <w:t>著作权资产许可费收入</w:t>
            </w:r>
          </w:p>
        </w:tc>
        <w:tc>
          <w:tcPr>
            <w:tcW w:w="1181" w:type="dxa"/>
            <w:vAlign w:val="top"/>
          </w:tcPr>
          <w:p w14:paraId="7414191A">
            <w:pPr>
              <w:pStyle w:val="2"/>
              <w:spacing w:before="125" w:line="375" w:lineRule="exact"/>
              <w:rPr>
                <w:color w:val="auto"/>
                <w:spacing w:val="-2"/>
                <w:position w:val="12"/>
              </w:rPr>
            </w:pPr>
          </w:p>
        </w:tc>
        <w:tc>
          <w:tcPr>
            <w:tcW w:w="1153" w:type="dxa"/>
            <w:vAlign w:val="top"/>
          </w:tcPr>
          <w:p w14:paraId="3B2E8A85">
            <w:pPr>
              <w:pStyle w:val="2"/>
              <w:spacing w:before="125" w:line="375" w:lineRule="exact"/>
              <w:rPr>
                <w:color w:val="auto"/>
                <w:spacing w:val="-2"/>
                <w:position w:val="12"/>
              </w:rPr>
            </w:pPr>
            <w:r>
              <w:rPr>
                <w:color w:val="auto"/>
                <w:spacing w:val="-2"/>
                <w:position w:val="12"/>
              </w:rPr>
              <w:t>①</w:t>
            </w:r>
          </w:p>
        </w:tc>
        <w:tc>
          <w:tcPr>
            <w:tcW w:w="660" w:type="dxa"/>
            <w:vAlign w:val="top"/>
          </w:tcPr>
          <w:p w14:paraId="5BE81C46">
            <w:pPr>
              <w:pStyle w:val="2"/>
              <w:spacing w:before="125" w:line="375" w:lineRule="exact"/>
              <w:rPr>
                <w:color w:val="auto"/>
                <w:spacing w:val="-2"/>
                <w:position w:val="12"/>
              </w:rPr>
            </w:pPr>
            <w:r>
              <w:rPr>
                <w:color w:val="auto"/>
                <w:spacing w:val="-2"/>
                <w:position w:val="12"/>
              </w:rPr>
              <w:t>28350</w:t>
            </w:r>
          </w:p>
        </w:tc>
        <w:tc>
          <w:tcPr>
            <w:tcW w:w="662" w:type="dxa"/>
            <w:vAlign w:val="top"/>
          </w:tcPr>
          <w:p w14:paraId="627A0C98">
            <w:pPr>
              <w:pStyle w:val="2"/>
              <w:spacing w:before="125" w:line="375" w:lineRule="exact"/>
              <w:rPr>
                <w:color w:val="auto"/>
                <w:spacing w:val="-2"/>
                <w:position w:val="12"/>
              </w:rPr>
            </w:pPr>
            <w:r>
              <w:rPr>
                <w:color w:val="auto"/>
                <w:spacing w:val="-2"/>
                <w:position w:val="12"/>
              </w:rPr>
              <w:t>31200</w:t>
            </w:r>
          </w:p>
        </w:tc>
        <w:tc>
          <w:tcPr>
            <w:tcW w:w="662" w:type="dxa"/>
            <w:vAlign w:val="top"/>
          </w:tcPr>
          <w:p w14:paraId="7A297E04">
            <w:pPr>
              <w:pStyle w:val="2"/>
              <w:spacing w:before="125" w:line="375" w:lineRule="exact"/>
              <w:rPr>
                <w:color w:val="auto"/>
                <w:spacing w:val="-2"/>
                <w:position w:val="12"/>
              </w:rPr>
            </w:pPr>
            <w:r>
              <w:rPr>
                <w:color w:val="auto"/>
                <w:spacing w:val="-2"/>
                <w:position w:val="12"/>
              </w:rPr>
              <w:t>32800</w:t>
            </w:r>
          </w:p>
        </w:tc>
        <w:tc>
          <w:tcPr>
            <w:tcW w:w="634" w:type="dxa"/>
            <w:vAlign w:val="top"/>
          </w:tcPr>
          <w:p w14:paraId="75A0C0AE">
            <w:pPr>
              <w:pStyle w:val="2"/>
              <w:spacing w:before="125" w:line="375" w:lineRule="exact"/>
              <w:rPr>
                <w:color w:val="auto"/>
                <w:spacing w:val="-2"/>
                <w:position w:val="12"/>
              </w:rPr>
            </w:pPr>
            <w:r>
              <w:rPr>
                <w:color w:val="auto"/>
                <w:spacing w:val="-2"/>
                <w:position w:val="12"/>
              </w:rPr>
              <w:t>32800</w:t>
            </w:r>
          </w:p>
        </w:tc>
        <w:tc>
          <w:tcPr>
            <w:tcW w:w="688" w:type="dxa"/>
            <w:vAlign w:val="top"/>
          </w:tcPr>
          <w:p w14:paraId="1BBA54C6">
            <w:pPr>
              <w:pStyle w:val="2"/>
              <w:spacing w:before="125" w:line="375" w:lineRule="exact"/>
              <w:rPr>
                <w:color w:val="auto"/>
                <w:spacing w:val="-2"/>
                <w:position w:val="12"/>
              </w:rPr>
            </w:pPr>
            <w:r>
              <w:rPr>
                <w:color w:val="auto"/>
                <w:spacing w:val="-2"/>
                <w:position w:val="12"/>
              </w:rPr>
              <w:t>31200</w:t>
            </w:r>
          </w:p>
        </w:tc>
        <w:tc>
          <w:tcPr>
            <w:tcW w:w="696" w:type="dxa"/>
            <w:vAlign w:val="top"/>
          </w:tcPr>
          <w:p w14:paraId="02FA180A">
            <w:pPr>
              <w:pStyle w:val="2"/>
              <w:spacing w:before="125" w:line="375" w:lineRule="exact"/>
              <w:rPr>
                <w:color w:val="auto"/>
                <w:spacing w:val="-2"/>
                <w:position w:val="12"/>
              </w:rPr>
            </w:pPr>
            <w:r>
              <w:rPr>
                <w:color w:val="auto"/>
                <w:spacing w:val="-2"/>
                <w:position w:val="12"/>
              </w:rPr>
              <w:t>28100</w:t>
            </w:r>
          </w:p>
        </w:tc>
        <w:tc>
          <w:tcPr>
            <w:tcW w:w="633" w:type="dxa"/>
            <w:vAlign w:val="top"/>
          </w:tcPr>
          <w:p w14:paraId="69E6D2CF">
            <w:pPr>
              <w:pStyle w:val="2"/>
              <w:spacing w:before="125" w:line="375" w:lineRule="exact"/>
              <w:rPr>
                <w:color w:val="auto"/>
                <w:spacing w:val="-2"/>
                <w:position w:val="12"/>
              </w:rPr>
            </w:pPr>
            <w:r>
              <w:rPr>
                <w:color w:val="auto"/>
                <w:spacing w:val="-2"/>
                <w:position w:val="12"/>
              </w:rPr>
              <w:t>22500</w:t>
            </w:r>
          </w:p>
        </w:tc>
      </w:tr>
      <w:tr w14:paraId="600A1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508" w:type="dxa"/>
            <w:vAlign w:val="top"/>
          </w:tcPr>
          <w:p w14:paraId="4492D580">
            <w:pPr>
              <w:pStyle w:val="2"/>
              <w:spacing w:before="125" w:line="375" w:lineRule="exact"/>
              <w:rPr>
                <w:color w:val="auto"/>
                <w:spacing w:val="-2"/>
                <w:position w:val="12"/>
              </w:rPr>
            </w:pPr>
            <w:r>
              <w:rPr>
                <w:color w:val="auto"/>
                <w:spacing w:val="-2"/>
                <w:position w:val="12"/>
              </w:rPr>
              <w:t>增长率(%)</w:t>
            </w:r>
          </w:p>
        </w:tc>
        <w:tc>
          <w:tcPr>
            <w:tcW w:w="1181" w:type="dxa"/>
            <w:vAlign w:val="top"/>
          </w:tcPr>
          <w:p w14:paraId="3E8639F2">
            <w:pPr>
              <w:pStyle w:val="2"/>
              <w:spacing w:before="125" w:line="375" w:lineRule="exact"/>
              <w:rPr>
                <w:color w:val="auto"/>
                <w:spacing w:val="-2"/>
                <w:position w:val="12"/>
              </w:rPr>
            </w:pPr>
          </w:p>
        </w:tc>
        <w:tc>
          <w:tcPr>
            <w:tcW w:w="1153" w:type="dxa"/>
            <w:vAlign w:val="top"/>
          </w:tcPr>
          <w:p w14:paraId="4C0395BF">
            <w:pPr>
              <w:pStyle w:val="2"/>
              <w:spacing w:before="125" w:line="375" w:lineRule="exact"/>
              <w:rPr>
                <w:color w:val="auto"/>
                <w:spacing w:val="-2"/>
                <w:position w:val="12"/>
              </w:rPr>
            </w:pPr>
          </w:p>
        </w:tc>
        <w:tc>
          <w:tcPr>
            <w:tcW w:w="660" w:type="dxa"/>
            <w:vAlign w:val="top"/>
          </w:tcPr>
          <w:p w14:paraId="02CC1C19">
            <w:pPr>
              <w:pStyle w:val="2"/>
              <w:spacing w:before="125" w:line="375" w:lineRule="exact"/>
              <w:rPr>
                <w:color w:val="auto"/>
                <w:spacing w:val="-2"/>
                <w:position w:val="12"/>
              </w:rPr>
            </w:pPr>
            <w:r>
              <w:rPr>
                <w:color w:val="auto"/>
                <w:spacing w:val="-2"/>
                <w:position w:val="12"/>
              </w:rPr>
              <w:t>5</w:t>
            </w:r>
          </w:p>
        </w:tc>
        <w:tc>
          <w:tcPr>
            <w:tcW w:w="662" w:type="dxa"/>
            <w:vAlign w:val="top"/>
          </w:tcPr>
          <w:p w14:paraId="49004FA7">
            <w:pPr>
              <w:pStyle w:val="2"/>
              <w:spacing w:before="125" w:line="375" w:lineRule="exact"/>
              <w:rPr>
                <w:color w:val="auto"/>
                <w:spacing w:val="-2"/>
                <w:position w:val="12"/>
              </w:rPr>
            </w:pPr>
            <w:r>
              <w:rPr>
                <w:color w:val="auto"/>
                <w:spacing w:val="-2"/>
                <w:position w:val="12"/>
              </w:rPr>
              <w:t>10</w:t>
            </w:r>
          </w:p>
        </w:tc>
        <w:tc>
          <w:tcPr>
            <w:tcW w:w="662" w:type="dxa"/>
            <w:vAlign w:val="top"/>
          </w:tcPr>
          <w:p w14:paraId="37C87763">
            <w:pPr>
              <w:pStyle w:val="2"/>
              <w:spacing w:before="125" w:line="375" w:lineRule="exact"/>
              <w:rPr>
                <w:color w:val="auto"/>
                <w:spacing w:val="-2"/>
                <w:position w:val="12"/>
              </w:rPr>
            </w:pPr>
            <w:r>
              <w:rPr>
                <w:color w:val="auto"/>
                <w:spacing w:val="-2"/>
                <w:position w:val="12"/>
              </w:rPr>
              <w:t>5</w:t>
            </w:r>
          </w:p>
        </w:tc>
        <w:tc>
          <w:tcPr>
            <w:tcW w:w="634" w:type="dxa"/>
            <w:vAlign w:val="top"/>
          </w:tcPr>
          <w:p w14:paraId="2D63CCA0">
            <w:pPr>
              <w:pStyle w:val="2"/>
              <w:spacing w:before="125" w:line="375" w:lineRule="exact"/>
              <w:rPr>
                <w:color w:val="auto"/>
                <w:spacing w:val="-2"/>
                <w:position w:val="12"/>
              </w:rPr>
            </w:pPr>
            <w:r>
              <w:rPr>
                <w:color w:val="auto"/>
                <w:spacing w:val="-2"/>
                <w:position w:val="12"/>
              </w:rPr>
              <w:t>0</w:t>
            </w:r>
          </w:p>
        </w:tc>
        <w:tc>
          <w:tcPr>
            <w:tcW w:w="688" w:type="dxa"/>
            <w:vAlign w:val="top"/>
          </w:tcPr>
          <w:p w14:paraId="003E1616">
            <w:pPr>
              <w:pStyle w:val="2"/>
              <w:spacing w:before="125" w:line="375" w:lineRule="exact"/>
              <w:rPr>
                <w:color w:val="auto"/>
                <w:spacing w:val="-2"/>
                <w:position w:val="12"/>
              </w:rPr>
            </w:pPr>
            <w:r>
              <w:rPr>
                <w:color w:val="auto"/>
                <w:spacing w:val="-2"/>
                <w:position w:val="12"/>
              </w:rPr>
              <w:t>-5</w:t>
            </w:r>
          </w:p>
        </w:tc>
        <w:tc>
          <w:tcPr>
            <w:tcW w:w="696" w:type="dxa"/>
            <w:vAlign w:val="top"/>
          </w:tcPr>
          <w:p w14:paraId="340237B6">
            <w:pPr>
              <w:pStyle w:val="2"/>
              <w:spacing w:before="125" w:line="375" w:lineRule="exact"/>
              <w:rPr>
                <w:color w:val="auto"/>
                <w:spacing w:val="-2"/>
                <w:position w:val="12"/>
              </w:rPr>
            </w:pPr>
            <w:r>
              <w:rPr>
                <w:color w:val="auto"/>
                <w:spacing w:val="-2"/>
                <w:position w:val="12"/>
              </w:rPr>
              <w:t>- 10</w:t>
            </w:r>
          </w:p>
        </w:tc>
        <w:tc>
          <w:tcPr>
            <w:tcW w:w="633" w:type="dxa"/>
            <w:vAlign w:val="top"/>
          </w:tcPr>
          <w:p w14:paraId="44000133">
            <w:pPr>
              <w:pStyle w:val="2"/>
              <w:spacing w:before="125" w:line="375" w:lineRule="exact"/>
              <w:rPr>
                <w:color w:val="auto"/>
                <w:spacing w:val="-2"/>
                <w:position w:val="12"/>
              </w:rPr>
            </w:pPr>
            <w:r>
              <w:rPr>
                <w:color w:val="auto"/>
                <w:spacing w:val="-2"/>
                <w:position w:val="12"/>
              </w:rPr>
              <w:t>-20</w:t>
            </w:r>
          </w:p>
        </w:tc>
      </w:tr>
      <w:tr w14:paraId="120ED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1508" w:type="dxa"/>
            <w:vAlign w:val="top"/>
          </w:tcPr>
          <w:p w14:paraId="77B65C89">
            <w:pPr>
              <w:pStyle w:val="2"/>
              <w:spacing w:before="125" w:line="375" w:lineRule="exact"/>
              <w:rPr>
                <w:color w:val="auto"/>
                <w:spacing w:val="-2"/>
                <w:position w:val="12"/>
              </w:rPr>
            </w:pPr>
            <w:r>
              <w:rPr>
                <w:color w:val="auto"/>
                <w:spacing w:val="-2"/>
                <w:position w:val="12"/>
              </w:rPr>
              <w:t>应纳增值税（简易征收）</w:t>
            </w:r>
          </w:p>
        </w:tc>
        <w:tc>
          <w:tcPr>
            <w:tcW w:w="1181" w:type="dxa"/>
            <w:vAlign w:val="top"/>
          </w:tcPr>
          <w:p w14:paraId="6C1F035F">
            <w:pPr>
              <w:pStyle w:val="2"/>
              <w:spacing w:before="125" w:line="375" w:lineRule="exact"/>
              <w:rPr>
                <w:color w:val="auto"/>
                <w:spacing w:val="-2"/>
                <w:position w:val="12"/>
              </w:rPr>
            </w:pPr>
            <w:r>
              <w:rPr>
                <w:color w:val="auto"/>
                <w:spacing w:val="-2"/>
                <w:position w:val="12"/>
              </w:rPr>
              <w:t>销售额×征收率3%</w:t>
            </w:r>
          </w:p>
        </w:tc>
        <w:tc>
          <w:tcPr>
            <w:tcW w:w="1153" w:type="dxa"/>
            <w:vAlign w:val="top"/>
          </w:tcPr>
          <w:p w14:paraId="46E7055F">
            <w:pPr>
              <w:pStyle w:val="2"/>
              <w:spacing w:before="125" w:line="375" w:lineRule="exact"/>
              <w:rPr>
                <w:color w:val="auto"/>
                <w:spacing w:val="-2"/>
                <w:position w:val="12"/>
              </w:rPr>
            </w:pPr>
          </w:p>
        </w:tc>
        <w:tc>
          <w:tcPr>
            <w:tcW w:w="660" w:type="dxa"/>
            <w:vAlign w:val="top"/>
          </w:tcPr>
          <w:p w14:paraId="5463B22B">
            <w:pPr>
              <w:pStyle w:val="2"/>
              <w:spacing w:before="125" w:line="375" w:lineRule="exact"/>
              <w:rPr>
                <w:color w:val="auto"/>
                <w:spacing w:val="-2"/>
                <w:position w:val="12"/>
              </w:rPr>
            </w:pPr>
            <w:r>
              <w:rPr>
                <w:color w:val="auto"/>
                <w:spacing w:val="-2"/>
                <w:position w:val="12"/>
              </w:rPr>
              <w:t>851</w:t>
            </w:r>
          </w:p>
        </w:tc>
        <w:tc>
          <w:tcPr>
            <w:tcW w:w="662" w:type="dxa"/>
            <w:vAlign w:val="top"/>
          </w:tcPr>
          <w:p w14:paraId="4C501A4C">
            <w:pPr>
              <w:pStyle w:val="2"/>
              <w:spacing w:before="125" w:line="375" w:lineRule="exact"/>
              <w:rPr>
                <w:color w:val="auto"/>
                <w:spacing w:val="-2"/>
                <w:position w:val="12"/>
              </w:rPr>
            </w:pPr>
            <w:r>
              <w:rPr>
                <w:color w:val="auto"/>
                <w:spacing w:val="-2"/>
                <w:position w:val="12"/>
              </w:rPr>
              <w:t>936</w:t>
            </w:r>
          </w:p>
        </w:tc>
        <w:tc>
          <w:tcPr>
            <w:tcW w:w="662" w:type="dxa"/>
            <w:vAlign w:val="top"/>
          </w:tcPr>
          <w:p w14:paraId="0030D055">
            <w:pPr>
              <w:pStyle w:val="2"/>
              <w:spacing w:before="125" w:line="375" w:lineRule="exact"/>
              <w:rPr>
                <w:color w:val="auto"/>
                <w:spacing w:val="-2"/>
                <w:position w:val="12"/>
              </w:rPr>
            </w:pPr>
            <w:r>
              <w:rPr>
                <w:color w:val="auto"/>
                <w:spacing w:val="-2"/>
                <w:position w:val="12"/>
              </w:rPr>
              <w:t>984</w:t>
            </w:r>
          </w:p>
        </w:tc>
        <w:tc>
          <w:tcPr>
            <w:tcW w:w="634" w:type="dxa"/>
            <w:vAlign w:val="top"/>
          </w:tcPr>
          <w:p w14:paraId="4E608B33">
            <w:pPr>
              <w:pStyle w:val="2"/>
              <w:spacing w:before="125" w:line="375" w:lineRule="exact"/>
              <w:rPr>
                <w:color w:val="auto"/>
                <w:spacing w:val="-2"/>
                <w:position w:val="12"/>
              </w:rPr>
            </w:pPr>
            <w:r>
              <w:rPr>
                <w:color w:val="auto"/>
                <w:spacing w:val="-2"/>
                <w:position w:val="12"/>
              </w:rPr>
              <w:t>984</w:t>
            </w:r>
          </w:p>
        </w:tc>
        <w:tc>
          <w:tcPr>
            <w:tcW w:w="688" w:type="dxa"/>
            <w:vAlign w:val="top"/>
          </w:tcPr>
          <w:p w14:paraId="29E2FA52">
            <w:pPr>
              <w:pStyle w:val="2"/>
              <w:spacing w:before="125" w:line="375" w:lineRule="exact"/>
              <w:rPr>
                <w:color w:val="auto"/>
                <w:spacing w:val="-2"/>
                <w:position w:val="12"/>
              </w:rPr>
            </w:pPr>
            <w:r>
              <w:rPr>
                <w:color w:val="auto"/>
                <w:spacing w:val="-2"/>
                <w:position w:val="12"/>
              </w:rPr>
              <w:t>936</w:t>
            </w:r>
          </w:p>
        </w:tc>
        <w:tc>
          <w:tcPr>
            <w:tcW w:w="696" w:type="dxa"/>
            <w:vAlign w:val="top"/>
          </w:tcPr>
          <w:p w14:paraId="48EE1F88">
            <w:pPr>
              <w:pStyle w:val="2"/>
              <w:spacing w:before="125" w:line="375" w:lineRule="exact"/>
              <w:rPr>
                <w:color w:val="auto"/>
                <w:spacing w:val="-2"/>
                <w:position w:val="12"/>
              </w:rPr>
            </w:pPr>
            <w:r>
              <w:rPr>
                <w:color w:val="auto"/>
                <w:spacing w:val="-2"/>
                <w:position w:val="12"/>
              </w:rPr>
              <w:t>843</w:t>
            </w:r>
          </w:p>
        </w:tc>
        <w:tc>
          <w:tcPr>
            <w:tcW w:w="633" w:type="dxa"/>
            <w:vAlign w:val="top"/>
          </w:tcPr>
          <w:p w14:paraId="2E10A211">
            <w:pPr>
              <w:pStyle w:val="2"/>
              <w:spacing w:before="125" w:line="375" w:lineRule="exact"/>
              <w:rPr>
                <w:color w:val="auto"/>
                <w:spacing w:val="-2"/>
                <w:position w:val="12"/>
              </w:rPr>
            </w:pPr>
            <w:r>
              <w:rPr>
                <w:color w:val="auto"/>
                <w:spacing w:val="-2"/>
                <w:position w:val="12"/>
              </w:rPr>
              <w:t>675</w:t>
            </w:r>
          </w:p>
        </w:tc>
      </w:tr>
      <w:tr w14:paraId="2EB06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1508" w:type="dxa"/>
            <w:vAlign w:val="top"/>
          </w:tcPr>
          <w:p w14:paraId="55002010">
            <w:pPr>
              <w:pStyle w:val="2"/>
              <w:spacing w:before="125" w:line="375" w:lineRule="exact"/>
              <w:rPr>
                <w:color w:val="auto"/>
                <w:spacing w:val="-2"/>
                <w:position w:val="12"/>
              </w:rPr>
            </w:pPr>
            <w:r>
              <w:rPr>
                <w:color w:val="auto"/>
                <w:spacing w:val="-2"/>
                <w:position w:val="12"/>
              </w:rPr>
              <w:t>销售税金及附加</w:t>
            </w:r>
          </w:p>
        </w:tc>
        <w:tc>
          <w:tcPr>
            <w:tcW w:w="1181" w:type="dxa"/>
            <w:vAlign w:val="top"/>
          </w:tcPr>
          <w:p w14:paraId="59BC5C0E">
            <w:pPr>
              <w:pStyle w:val="2"/>
              <w:spacing w:before="125" w:line="375" w:lineRule="exact"/>
              <w:rPr>
                <w:color w:val="auto"/>
                <w:spacing w:val="-2"/>
                <w:position w:val="12"/>
              </w:rPr>
            </w:pPr>
            <w:r>
              <w:rPr>
                <w:color w:val="auto"/>
                <w:spacing w:val="-2"/>
                <w:position w:val="12"/>
              </w:rPr>
              <w:t>增值税的10%</w:t>
            </w:r>
          </w:p>
        </w:tc>
        <w:tc>
          <w:tcPr>
            <w:tcW w:w="1153" w:type="dxa"/>
            <w:vAlign w:val="top"/>
          </w:tcPr>
          <w:p w14:paraId="721804B6">
            <w:pPr>
              <w:pStyle w:val="2"/>
              <w:spacing w:before="125" w:line="375" w:lineRule="exact"/>
              <w:rPr>
                <w:color w:val="auto"/>
                <w:spacing w:val="-2"/>
                <w:position w:val="12"/>
              </w:rPr>
            </w:pPr>
            <w:r>
              <w:rPr>
                <w:color w:val="auto"/>
                <w:spacing w:val="-2"/>
                <w:position w:val="12"/>
              </w:rPr>
              <w:t>②</w:t>
            </w:r>
          </w:p>
        </w:tc>
        <w:tc>
          <w:tcPr>
            <w:tcW w:w="660" w:type="dxa"/>
            <w:vAlign w:val="top"/>
          </w:tcPr>
          <w:p w14:paraId="68D4ABCB">
            <w:pPr>
              <w:pStyle w:val="2"/>
              <w:spacing w:before="125" w:line="375" w:lineRule="exact"/>
              <w:rPr>
                <w:color w:val="auto"/>
                <w:spacing w:val="-2"/>
                <w:position w:val="12"/>
              </w:rPr>
            </w:pPr>
            <w:r>
              <w:rPr>
                <w:color w:val="auto"/>
                <w:spacing w:val="-2"/>
                <w:position w:val="12"/>
              </w:rPr>
              <w:t>85</w:t>
            </w:r>
          </w:p>
        </w:tc>
        <w:tc>
          <w:tcPr>
            <w:tcW w:w="662" w:type="dxa"/>
            <w:vAlign w:val="top"/>
          </w:tcPr>
          <w:p w14:paraId="035949C5">
            <w:pPr>
              <w:pStyle w:val="2"/>
              <w:spacing w:before="125" w:line="375" w:lineRule="exact"/>
              <w:rPr>
                <w:color w:val="auto"/>
                <w:spacing w:val="-2"/>
                <w:position w:val="12"/>
              </w:rPr>
            </w:pPr>
            <w:r>
              <w:rPr>
                <w:color w:val="auto"/>
                <w:spacing w:val="-2"/>
                <w:position w:val="12"/>
              </w:rPr>
              <w:t>94</w:t>
            </w:r>
          </w:p>
        </w:tc>
        <w:tc>
          <w:tcPr>
            <w:tcW w:w="662" w:type="dxa"/>
            <w:vAlign w:val="top"/>
          </w:tcPr>
          <w:p w14:paraId="636B9243">
            <w:pPr>
              <w:pStyle w:val="2"/>
              <w:spacing w:before="125" w:line="375" w:lineRule="exact"/>
              <w:rPr>
                <w:color w:val="auto"/>
                <w:spacing w:val="-2"/>
                <w:position w:val="12"/>
              </w:rPr>
            </w:pPr>
            <w:r>
              <w:rPr>
                <w:color w:val="auto"/>
                <w:spacing w:val="-2"/>
                <w:position w:val="12"/>
              </w:rPr>
              <w:t>98</w:t>
            </w:r>
          </w:p>
        </w:tc>
        <w:tc>
          <w:tcPr>
            <w:tcW w:w="634" w:type="dxa"/>
            <w:vAlign w:val="top"/>
          </w:tcPr>
          <w:p w14:paraId="63C989AF">
            <w:pPr>
              <w:pStyle w:val="2"/>
              <w:spacing w:before="125" w:line="375" w:lineRule="exact"/>
              <w:rPr>
                <w:color w:val="auto"/>
                <w:spacing w:val="-2"/>
                <w:position w:val="12"/>
              </w:rPr>
            </w:pPr>
            <w:r>
              <w:rPr>
                <w:color w:val="auto"/>
                <w:spacing w:val="-2"/>
                <w:position w:val="12"/>
              </w:rPr>
              <w:t>98</w:t>
            </w:r>
          </w:p>
        </w:tc>
        <w:tc>
          <w:tcPr>
            <w:tcW w:w="688" w:type="dxa"/>
            <w:vAlign w:val="top"/>
          </w:tcPr>
          <w:p w14:paraId="3C224C47">
            <w:pPr>
              <w:pStyle w:val="2"/>
              <w:spacing w:before="125" w:line="375" w:lineRule="exact"/>
              <w:rPr>
                <w:color w:val="auto"/>
                <w:spacing w:val="-2"/>
                <w:position w:val="12"/>
              </w:rPr>
            </w:pPr>
            <w:r>
              <w:rPr>
                <w:color w:val="auto"/>
                <w:spacing w:val="-2"/>
                <w:position w:val="12"/>
              </w:rPr>
              <w:t>94</w:t>
            </w:r>
          </w:p>
        </w:tc>
        <w:tc>
          <w:tcPr>
            <w:tcW w:w="696" w:type="dxa"/>
            <w:vAlign w:val="top"/>
          </w:tcPr>
          <w:p w14:paraId="68689F07">
            <w:pPr>
              <w:pStyle w:val="2"/>
              <w:spacing w:before="125" w:line="375" w:lineRule="exact"/>
              <w:rPr>
                <w:color w:val="auto"/>
                <w:spacing w:val="-2"/>
                <w:position w:val="12"/>
              </w:rPr>
            </w:pPr>
            <w:r>
              <w:rPr>
                <w:color w:val="auto"/>
                <w:spacing w:val="-2"/>
                <w:position w:val="12"/>
              </w:rPr>
              <w:t>84</w:t>
            </w:r>
          </w:p>
        </w:tc>
        <w:tc>
          <w:tcPr>
            <w:tcW w:w="633" w:type="dxa"/>
            <w:vAlign w:val="top"/>
          </w:tcPr>
          <w:p w14:paraId="52302811">
            <w:pPr>
              <w:pStyle w:val="2"/>
              <w:spacing w:before="125" w:line="375" w:lineRule="exact"/>
              <w:rPr>
                <w:color w:val="auto"/>
                <w:spacing w:val="-2"/>
                <w:position w:val="12"/>
              </w:rPr>
            </w:pPr>
            <w:r>
              <w:rPr>
                <w:color w:val="auto"/>
                <w:spacing w:val="-2"/>
                <w:position w:val="12"/>
              </w:rPr>
              <w:t>68</w:t>
            </w:r>
          </w:p>
        </w:tc>
      </w:tr>
      <w:tr w14:paraId="30012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3" w:hRule="atLeast"/>
        </w:trPr>
        <w:tc>
          <w:tcPr>
            <w:tcW w:w="1508" w:type="dxa"/>
            <w:vAlign w:val="top"/>
          </w:tcPr>
          <w:p w14:paraId="487E6396">
            <w:pPr>
              <w:pStyle w:val="2"/>
              <w:spacing w:before="125" w:line="375" w:lineRule="exact"/>
              <w:rPr>
                <w:color w:val="auto"/>
                <w:spacing w:val="-2"/>
                <w:position w:val="12"/>
              </w:rPr>
            </w:pPr>
            <w:r>
              <w:rPr>
                <w:color w:val="auto"/>
                <w:spacing w:val="-2"/>
                <w:position w:val="12"/>
              </w:rPr>
              <w:t>营业成本</w:t>
            </w:r>
          </w:p>
        </w:tc>
        <w:tc>
          <w:tcPr>
            <w:tcW w:w="1181" w:type="dxa"/>
            <w:vAlign w:val="top"/>
          </w:tcPr>
          <w:p w14:paraId="5EDBC68B">
            <w:pPr>
              <w:pStyle w:val="2"/>
              <w:spacing w:before="125" w:line="375" w:lineRule="exact"/>
              <w:rPr>
                <w:color w:val="auto"/>
                <w:spacing w:val="-2"/>
                <w:position w:val="12"/>
              </w:rPr>
            </w:pPr>
            <w:r>
              <w:rPr>
                <w:color w:val="auto"/>
                <w:spacing w:val="-2"/>
                <w:position w:val="12"/>
              </w:rPr>
              <w:t>（成本/收入=10%)</w:t>
            </w:r>
          </w:p>
        </w:tc>
        <w:tc>
          <w:tcPr>
            <w:tcW w:w="1153" w:type="dxa"/>
            <w:vAlign w:val="top"/>
          </w:tcPr>
          <w:p w14:paraId="072271B4">
            <w:pPr>
              <w:pStyle w:val="2"/>
              <w:spacing w:before="125" w:line="375" w:lineRule="exact"/>
              <w:rPr>
                <w:color w:val="auto"/>
                <w:spacing w:val="-2"/>
                <w:position w:val="12"/>
              </w:rPr>
            </w:pPr>
            <w:r>
              <w:rPr>
                <w:color w:val="auto"/>
                <w:spacing w:val="-2"/>
                <w:position w:val="12"/>
              </w:rPr>
              <w:t>③</w:t>
            </w:r>
          </w:p>
        </w:tc>
        <w:tc>
          <w:tcPr>
            <w:tcW w:w="660" w:type="dxa"/>
            <w:vAlign w:val="top"/>
          </w:tcPr>
          <w:p w14:paraId="4F531897">
            <w:pPr>
              <w:pStyle w:val="2"/>
              <w:spacing w:before="125" w:line="375" w:lineRule="exact"/>
              <w:rPr>
                <w:color w:val="auto"/>
                <w:spacing w:val="-2"/>
                <w:position w:val="12"/>
              </w:rPr>
            </w:pPr>
            <w:r>
              <w:rPr>
                <w:color w:val="auto"/>
                <w:spacing w:val="-2"/>
                <w:position w:val="12"/>
              </w:rPr>
              <w:t>2835</w:t>
            </w:r>
          </w:p>
        </w:tc>
        <w:tc>
          <w:tcPr>
            <w:tcW w:w="662" w:type="dxa"/>
            <w:vAlign w:val="top"/>
          </w:tcPr>
          <w:p w14:paraId="07F4D040">
            <w:pPr>
              <w:pStyle w:val="2"/>
              <w:spacing w:before="125" w:line="375" w:lineRule="exact"/>
              <w:rPr>
                <w:color w:val="auto"/>
                <w:spacing w:val="-2"/>
                <w:position w:val="12"/>
              </w:rPr>
            </w:pPr>
            <w:r>
              <w:rPr>
                <w:color w:val="auto"/>
                <w:spacing w:val="-2"/>
                <w:position w:val="12"/>
              </w:rPr>
              <w:t>3120</w:t>
            </w:r>
          </w:p>
        </w:tc>
        <w:tc>
          <w:tcPr>
            <w:tcW w:w="662" w:type="dxa"/>
            <w:vAlign w:val="top"/>
          </w:tcPr>
          <w:p w14:paraId="025D4D23">
            <w:pPr>
              <w:pStyle w:val="2"/>
              <w:spacing w:before="125" w:line="375" w:lineRule="exact"/>
              <w:rPr>
                <w:color w:val="auto"/>
                <w:spacing w:val="-2"/>
                <w:position w:val="12"/>
              </w:rPr>
            </w:pPr>
            <w:r>
              <w:rPr>
                <w:color w:val="auto"/>
                <w:spacing w:val="-2"/>
                <w:position w:val="12"/>
              </w:rPr>
              <w:t>3280</w:t>
            </w:r>
          </w:p>
        </w:tc>
        <w:tc>
          <w:tcPr>
            <w:tcW w:w="634" w:type="dxa"/>
            <w:vAlign w:val="top"/>
          </w:tcPr>
          <w:p w14:paraId="6DDBD2EF">
            <w:pPr>
              <w:pStyle w:val="2"/>
              <w:spacing w:before="125" w:line="375" w:lineRule="exact"/>
              <w:rPr>
                <w:color w:val="auto"/>
                <w:spacing w:val="-2"/>
                <w:position w:val="12"/>
              </w:rPr>
            </w:pPr>
            <w:r>
              <w:rPr>
                <w:color w:val="auto"/>
                <w:spacing w:val="-2"/>
                <w:position w:val="12"/>
              </w:rPr>
              <w:t>3280</w:t>
            </w:r>
          </w:p>
        </w:tc>
        <w:tc>
          <w:tcPr>
            <w:tcW w:w="688" w:type="dxa"/>
            <w:vAlign w:val="top"/>
          </w:tcPr>
          <w:p w14:paraId="651AABD1">
            <w:pPr>
              <w:pStyle w:val="2"/>
              <w:spacing w:before="125" w:line="375" w:lineRule="exact"/>
              <w:rPr>
                <w:color w:val="auto"/>
                <w:spacing w:val="-2"/>
                <w:position w:val="12"/>
              </w:rPr>
            </w:pPr>
            <w:r>
              <w:rPr>
                <w:color w:val="auto"/>
                <w:spacing w:val="-2"/>
                <w:position w:val="12"/>
              </w:rPr>
              <w:t>3120</w:t>
            </w:r>
          </w:p>
        </w:tc>
        <w:tc>
          <w:tcPr>
            <w:tcW w:w="696" w:type="dxa"/>
            <w:vAlign w:val="top"/>
          </w:tcPr>
          <w:p w14:paraId="056D82BD">
            <w:pPr>
              <w:pStyle w:val="2"/>
              <w:spacing w:before="125" w:line="375" w:lineRule="exact"/>
              <w:rPr>
                <w:color w:val="auto"/>
                <w:spacing w:val="-2"/>
                <w:position w:val="12"/>
              </w:rPr>
            </w:pPr>
            <w:r>
              <w:rPr>
                <w:color w:val="auto"/>
                <w:spacing w:val="-2"/>
                <w:position w:val="12"/>
              </w:rPr>
              <w:t>2810</w:t>
            </w:r>
          </w:p>
        </w:tc>
        <w:tc>
          <w:tcPr>
            <w:tcW w:w="633" w:type="dxa"/>
            <w:vAlign w:val="top"/>
          </w:tcPr>
          <w:p w14:paraId="663E3C1A">
            <w:pPr>
              <w:pStyle w:val="2"/>
              <w:spacing w:before="125" w:line="375" w:lineRule="exact"/>
              <w:rPr>
                <w:color w:val="auto"/>
                <w:spacing w:val="-2"/>
                <w:position w:val="12"/>
              </w:rPr>
            </w:pPr>
            <w:r>
              <w:rPr>
                <w:color w:val="auto"/>
                <w:spacing w:val="-2"/>
                <w:position w:val="12"/>
              </w:rPr>
              <w:t>2250</w:t>
            </w:r>
          </w:p>
        </w:tc>
      </w:tr>
      <w:tr w14:paraId="5D1B6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1508" w:type="dxa"/>
            <w:vAlign w:val="top"/>
          </w:tcPr>
          <w:p w14:paraId="3C886E01">
            <w:pPr>
              <w:pStyle w:val="2"/>
              <w:spacing w:before="125" w:line="375" w:lineRule="exact"/>
              <w:rPr>
                <w:color w:val="auto"/>
                <w:spacing w:val="-2"/>
                <w:position w:val="12"/>
              </w:rPr>
            </w:pPr>
            <w:r>
              <w:rPr>
                <w:color w:val="auto"/>
                <w:spacing w:val="-2"/>
                <w:position w:val="12"/>
              </w:rPr>
              <w:t>销售利润</w:t>
            </w:r>
          </w:p>
        </w:tc>
        <w:tc>
          <w:tcPr>
            <w:tcW w:w="1181" w:type="dxa"/>
            <w:vAlign w:val="top"/>
          </w:tcPr>
          <w:p w14:paraId="2F108DA3">
            <w:pPr>
              <w:pStyle w:val="2"/>
              <w:spacing w:before="125" w:line="375" w:lineRule="exact"/>
              <w:rPr>
                <w:color w:val="auto"/>
                <w:spacing w:val="-2"/>
                <w:position w:val="12"/>
              </w:rPr>
            </w:pPr>
          </w:p>
        </w:tc>
        <w:tc>
          <w:tcPr>
            <w:tcW w:w="1153" w:type="dxa"/>
            <w:vAlign w:val="top"/>
          </w:tcPr>
          <w:p w14:paraId="4928B5B4">
            <w:pPr>
              <w:pStyle w:val="2"/>
              <w:spacing w:before="125" w:line="375" w:lineRule="exact"/>
              <w:rPr>
                <w:color w:val="auto"/>
                <w:spacing w:val="-2"/>
                <w:position w:val="12"/>
              </w:rPr>
            </w:pPr>
            <w:r>
              <w:rPr>
                <w:color w:val="auto"/>
                <w:spacing w:val="-2"/>
                <w:position w:val="12"/>
              </w:rPr>
              <w:t>④=①-②-③</w:t>
            </w:r>
          </w:p>
        </w:tc>
        <w:tc>
          <w:tcPr>
            <w:tcW w:w="660" w:type="dxa"/>
            <w:vAlign w:val="top"/>
          </w:tcPr>
          <w:p w14:paraId="78365015">
            <w:pPr>
              <w:pStyle w:val="2"/>
              <w:spacing w:before="125" w:line="375" w:lineRule="exact"/>
              <w:rPr>
                <w:color w:val="auto"/>
                <w:spacing w:val="-2"/>
                <w:position w:val="12"/>
              </w:rPr>
            </w:pPr>
            <w:r>
              <w:rPr>
                <w:color w:val="auto"/>
                <w:spacing w:val="-2"/>
                <w:position w:val="12"/>
              </w:rPr>
              <w:t>25430</w:t>
            </w:r>
          </w:p>
        </w:tc>
        <w:tc>
          <w:tcPr>
            <w:tcW w:w="662" w:type="dxa"/>
            <w:vAlign w:val="top"/>
          </w:tcPr>
          <w:p w14:paraId="19B06C8A">
            <w:pPr>
              <w:pStyle w:val="2"/>
              <w:spacing w:before="125" w:line="375" w:lineRule="exact"/>
              <w:rPr>
                <w:color w:val="auto"/>
                <w:spacing w:val="-2"/>
                <w:position w:val="12"/>
              </w:rPr>
            </w:pPr>
            <w:r>
              <w:rPr>
                <w:color w:val="auto"/>
                <w:spacing w:val="-2"/>
                <w:position w:val="12"/>
              </w:rPr>
              <w:t>27986</w:t>
            </w:r>
          </w:p>
        </w:tc>
        <w:tc>
          <w:tcPr>
            <w:tcW w:w="662" w:type="dxa"/>
            <w:vAlign w:val="top"/>
          </w:tcPr>
          <w:p w14:paraId="0455CFDA">
            <w:pPr>
              <w:pStyle w:val="2"/>
              <w:spacing w:before="125" w:line="375" w:lineRule="exact"/>
              <w:rPr>
                <w:color w:val="auto"/>
                <w:spacing w:val="-2"/>
                <w:position w:val="12"/>
              </w:rPr>
            </w:pPr>
            <w:r>
              <w:rPr>
                <w:color w:val="auto"/>
                <w:spacing w:val="-2"/>
                <w:position w:val="12"/>
              </w:rPr>
              <w:t>29422</w:t>
            </w:r>
          </w:p>
        </w:tc>
        <w:tc>
          <w:tcPr>
            <w:tcW w:w="634" w:type="dxa"/>
            <w:vAlign w:val="top"/>
          </w:tcPr>
          <w:p w14:paraId="417989DA">
            <w:pPr>
              <w:pStyle w:val="2"/>
              <w:spacing w:before="125" w:line="375" w:lineRule="exact"/>
              <w:rPr>
                <w:color w:val="auto"/>
                <w:spacing w:val="-2"/>
                <w:position w:val="12"/>
              </w:rPr>
            </w:pPr>
            <w:r>
              <w:rPr>
                <w:color w:val="auto"/>
                <w:spacing w:val="-2"/>
                <w:position w:val="12"/>
              </w:rPr>
              <w:t>29422</w:t>
            </w:r>
          </w:p>
        </w:tc>
        <w:tc>
          <w:tcPr>
            <w:tcW w:w="688" w:type="dxa"/>
            <w:vAlign w:val="top"/>
          </w:tcPr>
          <w:p w14:paraId="347F6E0E">
            <w:pPr>
              <w:pStyle w:val="2"/>
              <w:spacing w:before="125" w:line="375" w:lineRule="exact"/>
              <w:rPr>
                <w:color w:val="auto"/>
                <w:spacing w:val="-2"/>
                <w:position w:val="12"/>
              </w:rPr>
            </w:pPr>
            <w:r>
              <w:rPr>
                <w:color w:val="auto"/>
                <w:spacing w:val="-2"/>
                <w:position w:val="12"/>
              </w:rPr>
              <w:t>27986</w:t>
            </w:r>
          </w:p>
        </w:tc>
        <w:tc>
          <w:tcPr>
            <w:tcW w:w="696" w:type="dxa"/>
            <w:vAlign w:val="top"/>
          </w:tcPr>
          <w:p w14:paraId="5F3BEC73">
            <w:pPr>
              <w:pStyle w:val="2"/>
              <w:spacing w:before="125" w:line="375" w:lineRule="exact"/>
              <w:rPr>
                <w:color w:val="auto"/>
                <w:spacing w:val="-2"/>
                <w:position w:val="12"/>
              </w:rPr>
            </w:pPr>
            <w:r>
              <w:rPr>
                <w:color w:val="auto"/>
                <w:spacing w:val="-2"/>
                <w:position w:val="12"/>
              </w:rPr>
              <w:t>25206</w:t>
            </w:r>
          </w:p>
        </w:tc>
        <w:tc>
          <w:tcPr>
            <w:tcW w:w="633" w:type="dxa"/>
            <w:vAlign w:val="top"/>
          </w:tcPr>
          <w:p w14:paraId="3BFE0449">
            <w:pPr>
              <w:pStyle w:val="2"/>
              <w:spacing w:before="125" w:line="375" w:lineRule="exact"/>
              <w:rPr>
                <w:color w:val="auto"/>
                <w:spacing w:val="-2"/>
                <w:position w:val="12"/>
              </w:rPr>
            </w:pPr>
            <w:r>
              <w:rPr>
                <w:color w:val="auto"/>
                <w:spacing w:val="-2"/>
                <w:position w:val="12"/>
              </w:rPr>
              <w:t>20182</w:t>
            </w:r>
          </w:p>
        </w:tc>
      </w:tr>
      <w:tr w14:paraId="14A00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1508" w:type="dxa"/>
            <w:vAlign w:val="top"/>
          </w:tcPr>
          <w:p w14:paraId="4613C98B">
            <w:pPr>
              <w:pStyle w:val="2"/>
              <w:spacing w:before="125" w:line="375" w:lineRule="exact"/>
              <w:rPr>
                <w:color w:val="auto"/>
                <w:spacing w:val="-2"/>
                <w:position w:val="12"/>
              </w:rPr>
            </w:pPr>
            <w:r>
              <w:rPr>
                <w:color w:val="auto"/>
                <w:spacing w:val="-2"/>
                <w:position w:val="12"/>
              </w:rPr>
              <w:t>销售费用</w:t>
            </w:r>
          </w:p>
        </w:tc>
        <w:tc>
          <w:tcPr>
            <w:tcW w:w="1181" w:type="dxa"/>
            <w:vAlign w:val="top"/>
          </w:tcPr>
          <w:p w14:paraId="11F63A07">
            <w:pPr>
              <w:pStyle w:val="2"/>
              <w:spacing w:before="125" w:line="375" w:lineRule="exact"/>
              <w:rPr>
                <w:color w:val="auto"/>
                <w:spacing w:val="-2"/>
                <w:position w:val="12"/>
              </w:rPr>
            </w:pPr>
            <w:r>
              <w:rPr>
                <w:color w:val="auto"/>
                <w:spacing w:val="-2"/>
                <w:position w:val="12"/>
              </w:rPr>
              <w:t>占销售收入的15%</w:t>
            </w:r>
          </w:p>
        </w:tc>
        <w:tc>
          <w:tcPr>
            <w:tcW w:w="1153" w:type="dxa"/>
            <w:vAlign w:val="top"/>
          </w:tcPr>
          <w:p w14:paraId="11F3CCC2">
            <w:pPr>
              <w:pStyle w:val="2"/>
              <w:spacing w:before="125" w:line="375" w:lineRule="exact"/>
              <w:rPr>
                <w:color w:val="auto"/>
                <w:spacing w:val="-2"/>
                <w:position w:val="12"/>
              </w:rPr>
            </w:pPr>
            <w:r>
              <w:rPr>
                <w:color w:val="auto"/>
                <w:spacing w:val="-2"/>
                <w:position w:val="12"/>
              </w:rPr>
              <w:t>⑤=①×15%</w:t>
            </w:r>
          </w:p>
        </w:tc>
        <w:tc>
          <w:tcPr>
            <w:tcW w:w="660" w:type="dxa"/>
            <w:vAlign w:val="top"/>
          </w:tcPr>
          <w:p w14:paraId="45CA3A7B">
            <w:pPr>
              <w:pStyle w:val="2"/>
              <w:spacing w:before="125" w:line="375" w:lineRule="exact"/>
              <w:rPr>
                <w:color w:val="auto"/>
                <w:spacing w:val="-2"/>
                <w:position w:val="12"/>
              </w:rPr>
            </w:pPr>
            <w:r>
              <w:rPr>
                <w:color w:val="auto"/>
                <w:spacing w:val="-2"/>
                <w:position w:val="12"/>
              </w:rPr>
              <w:t>4253</w:t>
            </w:r>
          </w:p>
        </w:tc>
        <w:tc>
          <w:tcPr>
            <w:tcW w:w="662" w:type="dxa"/>
            <w:vAlign w:val="top"/>
          </w:tcPr>
          <w:p w14:paraId="5780FF2E">
            <w:pPr>
              <w:pStyle w:val="2"/>
              <w:spacing w:before="125" w:line="375" w:lineRule="exact"/>
              <w:rPr>
                <w:color w:val="auto"/>
                <w:spacing w:val="-2"/>
                <w:position w:val="12"/>
              </w:rPr>
            </w:pPr>
            <w:r>
              <w:rPr>
                <w:color w:val="auto"/>
                <w:spacing w:val="-2"/>
                <w:position w:val="12"/>
              </w:rPr>
              <w:t>4680</w:t>
            </w:r>
          </w:p>
        </w:tc>
        <w:tc>
          <w:tcPr>
            <w:tcW w:w="662" w:type="dxa"/>
            <w:vAlign w:val="top"/>
          </w:tcPr>
          <w:p w14:paraId="27CAB755">
            <w:pPr>
              <w:pStyle w:val="2"/>
              <w:spacing w:before="125" w:line="375" w:lineRule="exact"/>
              <w:rPr>
                <w:color w:val="auto"/>
                <w:spacing w:val="-2"/>
                <w:position w:val="12"/>
              </w:rPr>
            </w:pPr>
            <w:r>
              <w:rPr>
                <w:color w:val="auto"/>
                <w:spacing w:val="-2"/>
                <w:position w:val="12"/>
              </w:rPr>
              <w:t>4920</w:t>
            </w:r>
          </w:p>
        </w:tc>
        <w:tc>
          <w:tcPr>
            <w:tcW w:w="634" w:type="dxa"/>
            <w:vAlign w:val="top"/>
          </w:tcPr>
          <w:p w14:paraId="5D0D767B">
            <w:pPr>
              <w:pStyle w:val="2"/>
              <w:spacing w:before="125" w:line="375" w:lineRule="exact"/>
              <w:rPr>
                <w:color w:val="auto"/>
                <w:spacing w:val="-2"/>
                <w:position w:val="12"/>
              </w:rPr>
            </w:pPr>
            <w:r>
              <w:rPr>
                <w:color w:val="auto"/>
                <w:spacing w:val="-2"/>
                <w:position w:val="12"/>
              </w:rPr>
              <w:t>4920</w:t>
            </w:r>
          </w:p>
        </w:tc>
        <w:tc>
          <w:tcPr>
            <w:tcW w:w="688" w:type="dxa"/>
            <w:vAlign w:val="top"/>
          </w:tcPr>
          <w:p w14:paraId="1599D43C">
            <w:pPr>
              <w:pStyle w:val="2"/>
              <w:spacing w:before="125" w:line="375" w:lineRule="exact"/>
              <w:rPr>
                <w:color w:val="auto"/>
                <w:spacing w:val="-2"/>
                <w:position w:val="12"/>
              </w:rPr>
            </w:pPr>
            <w:r>
              <w:rPr>
                <w:color w:val="auto"/>
                <w:spacing w:val="-2"/>
                <w:position w:val="12"/>
              </w:rPr>
              <w:t>4680</w:t>
            </w:r>
          </w:p>
        </w:tc>
        <w:tc>
          <w:tcPr>
            <w:tcW w:w="696" w:type="dxa"/>
            <w:vAlign w:val="top"/>
          </w:tcPr>
          <w:p w14:paraId="1DFF8DA7">
            <w:pPr>
              <w:pStyle w:val="2"/>
              <w:spacing w:before="125" w:line="375" w:lineRule="exact"/>
              <w:rPr>
                <w:color w:val="auto"/>
                <w:spacing w:val="-2"/>
                <w:position w:val="12"/>
              </w:rPr>
            </w:pPr>
            <w:r>
              <w:rPr>
                <w:color w:val="auto"/>
                <w:spacing w:val="-2"/>
                <w:position w:val="12"/>
              </w:rPr>
              <w:t>4215</w:t>
            </w:r>
          </w:p>
        </w:tc>
        <w:tc>
          <w:tcPr>
            <w:tcW w:w="633" w:type="dxa"/>
            <w:vAlign w:val="top"/>
          </w:tcPr>
          <w:p w14:paraId="2D9DD94B">
            <w:pPr>
              <w:pStyle w:val="2"/>
              <w:spacing w:before="125" w:line="375" w:lineRule="exact"/>
              <w:rPr>
                <w:color w:val="auto"/>
                <w:spacing w:val="-2"/>
                <w:position w:val="12"/>
              </w:rPr>
            </w:pPr>
            <w:r>
              <w:rPr>
                <w:color w:val="auto"/>
                <w:spacing w:val="-2"/>
                <w:position w:val="12"/>
              </w:rPr>
              <w:t>3375</w:t>
            </w:r>
          </w:p>
        </w:tc>
      </w:tr>
      <w:tr w14:paraId="21FF1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1508" w:type="dxa"/>
            <w:vAlign w:val="top"/>
          </w:tcPr>
          <w:p w14:paraId="49AB91D1">
            <w:pPr>
              <w:pStyle w:val="2"/>
              <w:spacing w:before="125" w:line="375" w:lineRule="exact"/>
              <w:rPr>
                <w:color w:val="auto"/>
                <w:spacing w:val="-2"/>
                <w:position w:val="12"/>
              </w:rPr>
            </w:pPr>
            <w:r>
              <w:rPr>
                <w:color w:val="auto"/>
                <w:spacing w:val="-2"/>
                <w:position w:val="12"/>
              </w:rPr>
              <w:t>管理费用</w:t>
            </w:r>
          </w:p>
        </w:tc>
        <w:tc>
          <w:tcPr>
            <w:tcW w:w="1181" w:type="dxa"/>
            <w:vAlign w:val="top"/>
          </w:tcPr>
          <w:p w14:paraId="563FD8E8">
            <w:pPr>
              <w:pStyle w:val="2"/>
              <w:spacing w:before="125" w:line="375" w:lineRule="exact"/>
              <w:rPr>
                <w:color w:val="auto"/>
                <w:spacing w:val="-2"/>
                <w:position w:val="12"/>
              </w:rPr>
            </w:pPr>
            <w:r>
              <w:rPr>
                <w:color w:val="auto"/>
                <w:spacing w:val="-2"/>
                <w:position w:val="12"/>
              </w:rPr>
              <w:t>占销售收入的10%</w:t>
            </w:r>
          </w:p>
        </w:tc>
        <w:tc>
          <w:tcPr>
            <w:tcW w:w="1153" w:type="dxa"/>
            <w:vAlign w:val="top"/>
          </w:tcPr>
          <w:p w14:paraId="68702F7D">
            <w:pPr>
              <w:pStyle w:val="2"/>
              <w:spacing w:before="125" w:line="375" w:lineRule="exact"/>
              <w:rPr>
                <w:color w:val="auto"/>
                <w:spacing w:val="-2"/>
                <w:position w:val="12"/>
              </w:rPr>
            </w:pPr>
            <w:r>
              <w:rPr>
                <w:color w:val="auto"/>
                <w:spacing w:val="-2"/>
                <w:position w:val="12"/>
              </w:rPr>
              <w:t>⑥=①×10%</w:t>
            </w:r>
          </w:p>
        </w:tc>
        <w:tc>
          <w:tcPr>
            <w:tcW w:w="660" w:type="dxa"/>
            <w:vAlign w:val="top"/>
          </w:tcPr>
          <w:p w14:paraId="0814F89E">
            <w:pPr>
              <w:pStyle w:val="2"/>
              <w:spacing w:before="125" w:line="375" w:lineRule="exact"/>
              <w:rPr>
                <w:color w:val="auto"/>
                <w:spacing w:val="-2"/>
                <w:position w:val="12"/>
              </w:rPr>
            </w:pPr>
            <w:r>
              <w:rPr>
                <w:color w:val="auto"/>
                <w:spacing w:val="-2"/>
                <w:position w:val="12"/>
              </w:rPr>
              <w:t>2835</w:t>
            </w:r>
          </w:p>
        </w:tc>
        <w:tc>
          <w:tcPr>
            <w:tcW w:w="662" w:type="dxa"/>
            <w:vAlign w:val="top"/>
          </w:tcPr>
          <w:p w14:paraId="7FDC8258">
            <w:pPr>
              <w:pStyle w:val="2"/>
              <w:spacing w:before="125" w:line="375" w:lineRule="exact"/>
              <w:rPr>
                <w:color w:val="auto"/>
                <w:spacing w:val="-2"/>
                <w:position w:val="12"/>
              </w:rPr>
            </w:pPr>
            <w:r>
              <w:rPr>
                <w:color w:val="auto"/>
                <w:spacing w:val="-2"/>
                <w:position w:val="12"/>
              </w:rPr>
              <w:t>3120</w:t>
            </w:r>
          </w:p>
        </w:tc>
        <w:tc>
          <w:tcPr>
            <w:tcW w:w="662" w:type="dxa"/>
            <w:vAlign w:val="top"/>
          </w:tcPr>
          <w:p w14:paraId="6C9DE060">
            <w:pPr>
              <w:pStyle w:val="2"/>
              <w:spacing w:before="125" w:line="375" w:lineRule="exact"/>
              <w:rPr>
                <w:color w:val="auto"/>
                <w:spacing w:val="-2"/>
                <w:position w:val="12"/>
              </w:rPr>
            </w:pPr>
            <w:r>
              <w:rPr>
                <w:color w:val="auto"/>
                <w:spacing w:val="-2"/>
                <w:position w:val="12"/>
              </w:rPr>
              <w:t>3280</w:t>
            </w:r>
          </w:p>
        </w:tc>
        <w:tc>
          <w:tcPr>
            <w:tcW w:w="634" w:type="dxa"/>
            <w:vAlign w:val="top"/>
          </w:tcPr>
          <w:p w14:paraId="5ADB0DB4">
            <w:pPr>
              <w:pStyle w:val="2"/>
              <w:spacing w:before="125" w:line="375" w:lineRule="exact"/>
              <w:rPr>
                <w:color w:val="auto"/>
                <w:spacing w:val="-2"/>
                <w:position w:val="12"/>
              </w:rPr>
            </w:pPr>
            <w:r>
              <w:rPr>
                <w:color w:val="auto"/>
                <w:spacing w:val="-2"/>
                <w:position w:val="12"/>
              </w:rPr>
              <w:t>3280</w:t>
            </w:r>
          </w:p>
        </w:tc>
        <w:tc>
          <w:tcPr>
            <w:tcW w:w="688" w:type="dxa"/>
            <w:vAlign w:val="top"/>
          </w:tcPr>
          <w:p w14:paraId="52FB5BC6">
            <w:pPr>
              <w:pStyle w:val="2"/>
              <w:spacing w:before="125" w:line="375" w:lineRule="exact"/>
              <w:rPr>
                <w:color w:val="auto"/>
                <w:spacing w:val="-2"/>
                <w:position w:val="12"/>
              </w:rPr>
            </w:pPr>
            <w:r>
              <w:rPr>
                <w:color w:val="auto"/>
                <w:spacing w:val="-2"/>
                <w:position w:val="12"/>
              </w:rPr>
              <w:t>3120</w:t>
            </w:r>
          </w:p>
        </w:tc>
        <w:tc>
          <w:tcPr>
            <w:tcW w:w="696" w:type="dxa"/>
            <w:vAlign w:val="top"/>
          </w:tcPr>
          <w:p w14:paraId="2C06DA34">
            <w:pPr>
              <w:pStyle w:val="2"/>
              <w:spacing w:before="125" w:line="375" w:lineRule="exact"/>
              <w:rPr>
                <w:color w:val="auto"/>
                <w:spacing w:val="-2"/>
                <w:position w:val="12"/>
              </w:rPr>
            </w:pPr>
            <w:r>
              <w:rPr>
                <w:color w:val="auto"/>
                <w:spacing w:val="-2"/>
                <w:position w:val="12"/>
              </w:rPr>
              <w:t>2810</w:t>
            </w:r>
          </w:p>
        </w:tc>
        <w:tc>
          <w:tcPr>
            <w:tcW w:w="633" w:type="dxa"/>
            <w:vAlign w:val="top"/>
          </w:tcPr>
          <w:p w14:paraId="3A5C4F94">
            <w:pPr>
              <w:pStyle w:val="2"/>
              <w:spacing w:before="125" w:line="375" w:lineRule="exact"/>
              <w:rPr>
                <w:color w:val="auto"/>
                <w:spacing w:val="-2"/>
                <w:position w:val="12"/>
              </w:rPr>
            </w:pPr>
            <w:r>
              <w:rPr>
                <w:color w:val="auto"/>
                <w:spacing w:val="-2"/>
                <w:position w:val="12"/>
              </w:rPr>
              <w:t>2250</w:t>
            </w:r>
          </w:p>
        </w:tc>
      </w:tr>
      <w:tr w14:paraId="4E890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508" w:type="dxa"/>
            <w:vAlign w:val="top"/>
          </w:tcPr>
          <w:p w14:paraId="166E0242">
            <w:pPr>
              <w:pStyle w:val="2"/>
              <w:spacing w:before="125" w:line="375" w:lineRule="exact"/>
              <w:rPr>
                <w:color w:val="auto"/>
                <w:spacing w:val="-2"/>
                <w:position w:val="12"/>
              </w:rPr>
            </w:pPr>
            <w:r>
              <w:rPr>
                <w:color w:val="auto"/>
                <w:spacing w:val="-2"/>
                <w:position w:val="12"/>
              </w:rPr>
              <w:t>利润总额</w:t>
            </w:r>
          </w:p>
        </w:tc>
        <w:tc>
          <w:tcPr>
            <w:tcW w:w="1181" w:type="dxa"/>
            <w:vAlign w:val="top"/>
          </w:tcPr>
          <w:p w14:paraId="0A265826">
            <w:pPr>
              <w:pStyle w:val="2"/>
              <w:spacing w:before="125" w:line="375" w:lineRule="exact"/>
              <w:rPr>
                <w:color w:val="auto"/>
                <w:spacing w:val="-2"/>
                <w:position w:val="12"/>
              </w:rPr>
            </w:pPr>
          </w:p>
        </w:tc>
        <w:tc>
          <w:tcPr>
            <w:tcW w:w="1153" w:type="dxa"/>
            <w:vAlign w:val="top"/>
          </w:tcPr>
          <w:p w14:paraId="597CB6B1">
            <w:pPr>
              <w:pStyle w:val="2"/>
              <w:spacing w:before="125" w:line="375" w:lineRule="exact"/>
              <w:rPr>
                <w:color w:val="auto"/>
                <w:spacing w:val="-2"/>
                <w:position w:val="12"/>
              </w:rPr>
            </w:pPr>
            <w:r>
              <w:rPr>
                <w:color w:val="auto"/>
                <w:spacing w:val="-2"/>
                <w:position w:val="12"/>
              </w:rPr>
              <w:t>⑦=④-⑤-⑥</w:t>
            </w:r>
          </w:p>
        </w:tc>
        <w:tc>
          <w:tcPr>
            <w:tcW w:w="660" w:type="dxa"/>
            <w:vAlign w:val="top"/>
          </w:tcPr>
          <w:p w14:paraId="716D55F4">
            <w:pPr>
              <w:pStyle w:val="2"/>
              <w:spacing w:before="125" w:line="375" w:lineRule="exact"/>
              <w:rPr>
                <w:color w:val="auto"/>
                <w:spacing w:val="-2"/>
                <w:position w:val="12"/>
              </w:rPr>
            </w:pPr>
            <w:r>
              <w:rPr>
                <w:color w:val="auto"/>
                <w:spacing w:val="-2"/>
                <w:position w:val="12"/>
              </w:rPr>
              <w:t>18342</w:t>
            </w:r>
          </w:p>
        </w:tc>
        <w:tc>
          <w:tcPr>
            <w:tcW w:w="662" w:type="dxa"/>
            <w:vAlign w:val="top"/>
          </w:tcPr>
          <w:p w14:paraId="0C652B32">
            <w:pPr>
              <w:pStyle w:val="2"/>
              <w:spacing w:before="125" w:line="375" w:lineRule="exact"/>
              <w:rPr>
                <w:color w:val="auto"/>
                <w:spacing w:val="-2"/>
                <w:position w:val="12"/>
              </w:rPr>
            </w:pPr>
            <w:r>
              <w:rPr>
                <w:color w:val="auto"/>
                <w:spacing w:val="-2"/>
                <w:position w:val="12"/>
              </w:rPr>
              <w:t>20186</w:t>
            </w:r>
          </w:p>
        </w:tc>
        <w:tc>
          <w:tcPr>
            <w:tcW w:w="662" w:type="dxa"/>
            <w:vAlign w:val="top"/>
          </w:tcPr>
          <w:p w14:paraId="217B19BF">
            <w:pPr>
              <w:pStyle w:val="2"/>
              <w:spacing w:before="125" w:line="375" w:lineRule="exact"/>
              <w:rPr>
                <w:color w:val="auto"/>
                <w:spacing w:val="-2"/>
                <w:position w:val="12"/>
              </w:rPr>
            </w:pPr>
            <w:r>
              <w:rPr>
                <w:color w:val="auto"/>
                <w:spacing w:val="-2"/>
                <w:position w:val="12"/>
              </w:rPr>
              <w:t>21222</w:t>
            </w:r>
          </w:p>
        </w:tc>
        <w:tc>
          <w:tcPr>
            <w:tcW w:w="634" w:type="dxa"/>
            <w:vAlign w:val="top"/>
          </w:tcPr>
          <w:p w14:paraId="7317B6E7">
            <w:pPr>
              <w:pStyle w:val="2"/>
              <w:spacing w:before="125" w:line="375" w:lineRule="exact"/>
              <w:rPr>
                <w:color w:val="auto"/>
                <w:spacing w:val="-2"/>
                <w:position w:val="12"/>
              </w:rPr>
            </w:pPr>
            <w:r>
              <w:rPr>
                <w:color w:val="auto"/>
                <w:spacing w:val="-2"/>
                <w:position w:val="12"/>
              </w:rPr>
              <w:t>21222</w:t>
            </w:r>
          </w:p>
        </w:tc>
        <w:tc>
          <w:tcPr>
            <w:tcW w:w="688" w:type="dxa"/>
            <w:vAlign w:val="top"/>
          </w:tcPr>
          <w:p w14:paraId="53EFB761">
            <w:pPr>
              <w:pStyle w:val="2"/>
              <w:spacing w:before="125" w:line="375" w:lineRule="exact"/>
              <w:rPr>
                <w:color w:val="auto"/>
                <w:spacing w:val="-2"/>
                <w:position w:val="12"/>
              </w:rPr>
            </w:pPr>
            <w:r>
              <w:rPr>
                <w:color w:val="auto"/>
                <w:spacing w:val="-2"/>
                <w:position w:val="12"/>
              </w:rPr>
              <w:t>20186</w:t>
            </w:r>
          </w:p>
        </w:tc>
        <w:tc>
          <w:tcPr>
            <w:tcW w:w="696" w:type="dxa"/>
            <w:vAlign w:val="top"/>
          </w:tcPr>
          <w:p w14:paraId="42190FBF">
            <w:pPr>
              <w:pStyle w:val="2"/>
              <w:spacing w:before="125" w:line="375" w:lineRule="exact"/>
              <w:rPr>
                <w:color w:val="auto"/>
                <w:spacing w:val="-2"/>
                <w:position w:val="12"/>
              </w:rPr>
            </w:pPr>
            <w:r>
              <w:rPr>
                <w:color w:val="auto"/>
                <w:spacing w:val="-2"/>
                <w:position w:val="12"/>
              </w:rPr>
              <w:t>18181</w:t>
            </w:r>
          </w:p>
        </w:tc>
        <w:tc>
          <w:tcPr>
            <w:tcW w:w="633" w:type="dxa"/>
            <w:vAlign w:val="top"/>
          </w:tcPr>
          <w:p w14:paraId="1DBBB4DC">
            <w:pPr>
              <w:pStyle w:val="2"/>
              <w:spacing w:before="125" w:line="375" w:lineRule="exact"/>
              <w:rPr>
                <w:color w:val="auto"/>
                <w:spacing w:val="-2"/>
                <w:position w:val="12"/>
              </w:rPr>
            </w:pPr>
            <w:r>
              <w:rPr>
                <w:color w:val="auto"/>
                <w:spacing w:val="-2"/>
                <w:position w:val="12"/>
              </w:rPr>
              <w:t>14557</w:t>
            </w:r>
          </w:p>
        </w:tc>
      </w:tr>
      <w:tr w14:paraId="5CB6E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1508" w:type="dxa"/>
            <w:vAlign w:val="top"/>
          </w:tcPr>
          <w:p w14:paraId="45E5B539">
            <w:pPr>
              <w:pStyle w:val="2"/>
              <w:spacing w:before="125" w:line="375" w:lineRule="exact"/>
              <w:rPr>
                <w:color w:val="auto"/>
                <w:spacing w:val="-2"/>
                <w:position w:val="12"/>
              </w:rPr>
            </w:pPr>
            <w:r>
              <w:rPr>
                <w:color w:val="auto"/>
                <w:spacing w:val="-2"/>
                <w:position w:val="12"/>
              </w:rPr>
              <w:t>减：流动资产期望收益</w:t>
            </w:r>
          </w:p>
        </w:tc>
        <w:tc>
          <w:tcPr>
            <w:tcW w:w="1181" w:type="dxa"/>
            <w:vAlign w:val="top"/>
          </w:tcPr>
          <w:p w14:paraId="57F52017">
            <w:pPr>
              <w:pStyle w:val="2"/>
              <w:spacing w:before="125" w:line="375" w:lineRule="exact"/>
              <w:rPr>
                <w:color w:val="auto"/>
                <w:spacing w:val="-2"/>
                <w:position w:val="12"/>
              </w:rPr>
            </w:pPr>
            <w:r>
              <w:rPr>
                <w:color w:val="auto"/>
                <w:spacing w:val="-2"/>
                <w:position w:val="12"/>
              </w:rPr>
              <w:t>占销售收入的2%</w:t>
            </w:r>
          </w:p>
        </w:tc>
        <w:tc>
          <w:tcPr>
            <w:tcW w:w="1153" w:type="dxa"/>
            <w:vAlign w:val="top"/>
          </w:tcPr>
          <w:p w14:paraId="4E595D24">
            <w:pPr>
              <w:pStyle w:val="2"/>
              <w:spacing w:before="125" w:line="375" w:lineRule="exact"/>
              <w:rPr>
                <w:color w:val="auto"/>
                <w:spacing w:val="-2"/>
                <w:position w:val="12"/>
              </w:rPr>
            </w:pPr>
            <w:r>
              <w:rPr>
                <w:color w:val="auto"/>
                <w:spacing w:val="-2"/>
                <w:position w:val="12"/>
              </w:rPr>
              <w:t>⑧=①×2%</w:t>
            </w:r>
          </w:p>
        </w:tc>
        <w:tc>
          <w:tcPr>
            <w:tcW w:w="660" w:type="dxa"/>
            <w:vAlign w:val="top"/>
          </w:tcPr>
          <w:p w14:paraId="41661502">
            <w:pPr>
              <w:pStyle w:val="2"/>
              <w:spacing w:before="125" w:line="375" w:lineRule="exact"/>
              <w:rPr>
                <w:color w:val="auto"/>
                <w:spacing w:val="-2"/>
                <w:position w:val="12"/>
              </w:rPr>
            </w:pPr>
            <w:r>
              <w:rPr>
                <w:color w:val="auto"/>
                <w:spacing w:val="-2"/>
                <w:position w:val="12"/>
              </w:rPr>
              <w:t>567</w:t>
            </w:r>
          </w:p>
        </w:tc>
        <w:tc>
          <w:tcPr>
            <w:tcW w:w="662" w:type="dxa"/>
            <w:vAlign w:val="top"/>
          </w:tcPr>
          <w:p w14:paraId="2A9D4DF2">
            <w:pPr>
              <w:pStyle w:val="2"/>
              <w:spacing w:before="125" w:line="375" w:lineRule="exact"/>
              <w:rPr>
                <w:color w:val="auto"/>
                <w:spacing w:val="-2"/>
                <w:position w:val="12"/>
              </w:rPr>
            </w:pPr>
            <w:r>
              <w:rPr>
                <w:color w:val="auto"/>
                <w:spacing w:val="-2"/>
                <w:position w:val="12"/>
              </w:rPr>
              <w:t>624</w:t>
            </w:r>
          </w:p>
        </w:tc>
        <w:tc>
          <w:tcPr>
            <w:tcW w:w="662" w:type="dxa"/>
            <w:vAlign w:val="top"/>
          </w:tcPr>
          <w:p w14:paraId="13BDFCDB">
            <w:pPr>
              <w:pStyle w:val="2"/>
              <w:spacing w:before="125" w:line="375" w:lineRule="exact"/>
              <w:rPr>
                <w:color w:val="auto"/>
                <w:spacing w:val="-2"/>
                <w:position w:val="12"/>
              </w:rPr>
            </w:pPr>
            <w:r>
              <w:rPr>
                <w:color w:val="auto"/>
                <w:spacing w:val="-2"/>
                <w:position w:val="12"/>
              </w:rPr>
              <w:t>656</w:t>
            </w:r>
          </w:p>
        </w:tc>
        <w:tc>
          <w:tcPr>
            <w:tcW w:w="634" w:type="dxa"/>
            <w:vAlign w:val="top"/>
          </w:tcPr>
          <w:p w14:paraId="4E2CCDC1">
            <w:pPr>
              <w:pStyle w:val="2"/>
              <w:spacing w:before="125" w:line="375" w:lineRule="exact"/>
              <w:rPr>
                <w:color w:val="auto"/>
                <w:spacing w:val="-2"/>
                <w:position w:val="12"/>
              </w:rPr>
            </w:pPr>
            <w:r>
              <w:rPr>
                <w:color w:val="auto"/>
                <w:spacing w:val="-2"/>
                <w:position w:val="12"/>
              </w:rPr>
              <w:t>656</w:t>
            </w:r>
          </w:p>
        </w:tc>
        <w:tc>
          <w:tcPr>
            <w:tcW w:w="688" w:type="dxa"/>
            <w:vAlign w:val="top"/>
          </w:tcPr>
          <w:p w14:paraId="4D3E21EB">
            <w:pPr>
              <w:pStyle w:val="2"/>
              <w:spacing w:before="125" w:line="375" w:lineRule="exact"/>
              <w:rPr>
                <w:color w:val="auto"/>
                <w:spacing w:val="-2"/>
                <w:position w:val="12"/>
              </w:rPr>
            </w:pPr>
            <w:r>
              <w:rPr>
                <w:color w:val="auto"/>
                <w:spacing w:val="-2"/>
                <w:position w:val="12"/>
              </w:rPr>
              <w:t>624</w:t>
            </w:r>
          </w:p>
        </w:tc>
        <w:tc>
          <w:tcPr>
            <w:tcW w:w="696" w:type="dxa"/>
            <w:vAlign w:val="top"/>
          </w:tcPr>
          <w:p w14:paraId="01791FCC">
            <w:pPr>
              <w:pStyle w:val="2"/>
              <w:spacing w:before="125" w:line="375" w:lineRule="exact"/>
              <w:rPr>
                <w:color w:val="auto"/>
                <w:spacing w:val="-2"/>
                <w:position w:val="12"/>
              </w:rPr>
            </w:pPr>
            <w:r>
              <w:rPr>
                <w:color w:val="auto"/>
                <w:spacing w:val="-2"/>
                <w:position w:val="12"/>
              </w:rPr>
              <w:t>562</w:t>
            </w:r>
          </w:p>
        </w:tc>
        <w:tc>
          <w:tcPr>
            <w:tcW w:w="633" w:type="dxa"/>
            <w:vAlign w:val="top"/>
          </w:tcPr>
          <w:p w14:paraId="4E497A2C">
            <w:pPr>
              <w:pStyle w:val="2"/>
              <w:spacing w:before="125" w:line="375" w:lineRule="exact"/>
              <w:rPr>
                <w:color w:val="auto"/>
                <w:spacing w:val="-2"/>
                <w:position w:val="12"/>
              </w:rPr>
            </w:pPr>
            <w:r>
              <w:rPr>
                <w:color w:val="auto"/>
                <w:spacing w:val="-2"/>
                <w:position w:val="12"/>
              </w:rPr>
              <w:t>450</w:t>
            </w:r>
          </w:p>
        </w:tc>
      </w:tr>
      <w:tr w14:paraId="24258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1508" w:type="dxa"/>
            <w:vAlign w:val="top"/>
          </w:tcPr>
          <w:p w14:paraId="27C75F20">
            <w:pPr>
              <w:pStyle w:val="2"/>
              <w:spacing w:before="125" w:line="375" w:lineRule="exact"/>
              <w:rPr>
                <w:color w:val="auto"/>
                <w:spacing w:val="-2"/>
                <w:position w:val="12"/>
              </w:rPr>
            </w:pPr>
            <w:r>
              <w:rPr>
                <w:color w:val="auto"/>
                <w:spacing w:val="-2"/>
                <w:position w:val="12"/>
              </w:rPr>
              <w:t>固定资产期望收益</w:t>
            </w:r>
          </w:p>
        </w:tc>
        <w:tc>
          <w:tcPr>
            <w:tcW w:w="1181" w:type="dxa"/>
            <w:vAlign w:val="top"/>
          </w:tcPr>
          <w:p w14:paraId="501D0EB0">
            <w:pPr>
              <w:pStyle w:val="2"/>
              <w:spacing w:before="125" w:line="375" w:lineRule="exact"/>
              <w:rPr>
                <w:color w:val="auto"/>
                <w:spacing w:val="-2"/>
                <w:position w:val="12"/>
              </w:rPr>
            </w:pPr>
            <w:r>
              <w:rPr>
                <w:color w:val="auto"/>
                <w:spacing w:val="-2"/>
                <w:position w:val="12"/>
              </w:rPr>
              <w:t>占销售收入的4%</w:t>
            </w:r>
          </w:p>
        </w:tc>
        <w:tc>
          <w:tcPr>
            <w:tcW w:w="1153" w:type="dxa"/>
            <w:vAlign w:val="top"/>
          </w:tcPr>
          <w:p w14:paraId="591F1968">
            <w:pPr>
              <w:pStyle w:val="2"/>
              <w:spacing w:before="125" w:line="375" w:lineRule="exact"/>
              <w:rPr>
                <w:color w:val="auto"/>
                <w:spacing w:val="-2"/>
                <w:position w:val="12"/>
              </w:rPr>
            </w:pPr>
            <w:r>
              <w:rPr>
                <w:color w:val="auto"/>
                <w:spacing w:val="-2"/>
                <w:position w:val="12"/>
              </w:rPr>
              <w:t>⑨=①×4%</w:t>
            </w:r>
          </w:p>
        </w:tc>
        <w:tc>
          <w:tcPr>
            <w:tcW w:w="660" w:type="dxa"/>
            <w:vAlign w:val="top"/>
          </w:tcPr>
          <w:p w14:paraId="19BC0A01">
            <w:pPr>
              <w:pStyle w:val="2"/>
              <w:spacing w:before="125" w:line="375" w:lineRule="exact"/>
              <w:rPr>
                <w:color w:val="auto"/>
                <w:spacing w:val="-2"/>
                <w:position w:val="12"/>
              </w:rPr>
            </w:pPr>
            <w:r>
              <w:rPr>
                <w:color w:val="auto"/>
                <w:spacing w:val="-2"/>
                <w:position w:val="12"/>
              </w:rPr>
              <w:t>1134</w:t>
            </w:r>
          </w:p>
        </w:tc>
        <w:tc>
          <w:tcPr>
            <w:tcW w:w="662" w:type="dxa"/>
            <w:vAlign w:val="top"/>
          </w:tcPr>
          <w:p w14:paraId="060FA73D">
            <w:pPr>
              <w:pStyle w:val="2"/>
              <w:spacing w:before="125" w:line="375" w:lineRule="exact"/>
              <w:rPr>
                <w:color w:val="auto"/>
                <w:spacing w:val="-2"/>
                <w:position w:val="12"/>
              </w:rPr>
            </w:pPr>
            <w:r>
              <w:rPr>
                <w:color w:val="auto"/>
                <w:spacing w:val="-2"/>
                <w:position w:val="12"/>
              </w:rPr>
              <w:t>1248</w:t>
            </w:r>
          </w:p>
        </w:tc>
        <w:tc>
          <w:tcPr>
            <w:tcW w:w="662" w:type="dxa"/>
            <w:vAlign w:val="top"/>
          </w:tcPr>
          <w:p w14:paraId="68574CAA">
            <w:pPr>
              <w:pStyle w:val="2"/>
              <w:spacing w:before="125" w:line="375" w:lineRule="exact"/>
              <w:rPr>
                <w:color w:val="auto"/>
                <w:spacing w:val="-2"/>
                <w:position w:val="12"/>
              </w:rPr>
            </w:pPr>
            <w:r>
              <w:rPr>
                <w:color w:val="auto"/>
                <w:spacing w:val="-2"/>
                <w:position w:val="12"/>
              </w:rPr>
              <w:t>1312</w:t>
            </w:r>
          </w:p>
        </w:tc>
        <w:tc>
          <w:tcPr>
            <w:tcW w:w="634" w:type="dxa"/>
            <w:vAlign w:val="top"/>
          </w:tcPr>
          <w:p w14:paraId="3F1A28CC">
            <w:pPr>
              <w:pStyle w:val="2"/>
              <w:spacing w:before="125" w:line="375" w:lineRule="exact"/>
              <w:rPr>
                <w:color w:val="auto"/>
                <w:spacing w:val="-2"/>
                <w:position w:val="12"/>
              </w:rPr>
            </w:pPr>
            <w:r>
              <w:rPr>
                <w:color w:val="auto"/>
                <w:spacing w:val="-2"/>
                <w:position w:val="12"/>
              </w:rPr>
              <w:t>1312</w:t>
            </w:r>
          </w:p>
        </w:tc>
        <w:tc>
          <w:tcPr>
            <w:tcW w:w="688" w:type="dxa"/>
            <w:vAlign w:val="top"/>
          </w:tcPr>
          <w:p w14:paraId="3D99E620">
            <w:pPr>
              <w:pStyle w:val="2"/>
              <w:spacing w:before="125" w:line="375" w:lineRule="exact"/>
              <w:rPr>
                <w:color w:val="auto"/>
                <w:spacing w:val="-2"/>
                <w:position w:val="12"/>
              </w:rPr>
            </w:pPr>
            <w:r>
              <w:rPr>
                <w:color w:val="auto"/>
                <w:spacing w:val="-2"/>
                <w:position w:val="12"/>
              </w:rPr>
              <w:t>1248</w:t>
            </w:r>
          </w:p>
        </w:tc>
        <w:tc>
          <w:tcPr>
            <w:tcW w:w="696" w:type="dxa"/>
            <w:vAlign w:val="top"/>
          </w:tcPr>
          <w:p w14:paraId="2EE38E74">
            <w:pPr>
              <w:pStyle w:val="2"/>
              <w:spacing w:before="125" w:line="375" w:lineRule="exact"/>
              <w:rPr>
                <w:color w:val="auto"/>
                <w:spacing w:val="-2"/>
                <w:position w:val="12"/>
              </w:rPr>
            </w:pPr>
            <w:r>
              <w:rPr>
                <w:color w:val="auto"/>
                <w:spacing w:val="-2"/>
                <w:position w:val="12"/>
              </w:rPr>
              <w:t>1124</w:t>
            </w:r>
          </w:p>
        </w:tc>
        <w:tc>
          <w:tcPr>
            <w:tcW w:w="633" w:type="dxa"/>
            <w:vAlign w:val="top"/>
          </w:tcPr>
          <w:p w14:paraId="6E5388B3">
            <w:pPr>
              <w:pStyle w:val="2"/>
              <w:spacing w:before="125" w:line="375" w:lineRule="exact"/>
              <w:rPr>
                <w:color w:val="auto"/>
                <w:spacing w:val="-2"/>
                <w:position w:val="12"/>
              </w:rPr>
            </w:pPr>
            <w:r>
              <w:rPr>
                <w:color w:val="auto"/>
                <w:spacing w:val="-2"/>
                <w:position w:val="12"/>
              </w:rPr>
              <w:t>900</w:t>
            </w:r>
          </w:p>
        </w:tc>
      </w:tr>
      <w:tr w14:paraId="16881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1508" w:type="dxa"/>
            <w:vAlign w:val="top"/>
          </w:tcPr>
          <w:p w14:paraId="5CD0C89D">
            <w:pPr>
              <w:pStyle w:val="2"/>
              <w:spacing w:before="125" w:line="375" w:lineRule="exact"/>
              <w:rPr>
                <w:color w:val="auto"/>
                <w:spacing w:val="-2"/>
                <w:position w:val="12"/>
              </w:rPr>
            </w:pPr>
            <w:r>
              <w:rPr>
                <w:color w:val="auto"/>
                <w:spacing w:val="-2"/>
                <w:position w:val="12"/>
              </w:rPr>
              <w:t>超额收益</w:t>
            </w:r>
          </w:p>
        </w:tc>
        <w:tc>
          <w:tcPr>
            <w:tcW w:w="1181" w:type="dxa"/>
            <w:vAlign w:val="top"/>
          </w:tcPr>
          <w:p w14:paraId="5B2A692D">
            <w:pPr>
              <w:pStyle w:val="2"/>
              <w:spacing w:before="125" w:line="375" w:lineRule="exact"/>
              <w:rPr>
                <w:color w:val="auto"/>
                <w:spacing w:val="-2"/>
                <w:position w:val="12"/>
              </w:rPr>
            </w:pPr>
          </w:p>
        </w:tc>
        <w:tc>
          <w:tcPr>
            <w:tcW w:w="1153" w:type="dxa"/>
            <w:vAlign w:val="top"/>
          </w:tcPr>
          <w:p w14:paraId="0C85AA97">
            <w:pPr>
              <w:pStyle w:val="2"/>
              <w:spacing w:before="125" w:line="375" w:lineRule="exact"/>
              <w:rPr>
                <w:color w:val="auto"/>
                <w:spacing w:val="-2"/>
                <w:position w:val="12"/>
              </w:rPr>
            </w:pPr>
            <w:r>
              <w:rPr>
                <w:color w:val="auto"/>
                <w:spacing w:val="-2"/>
                <w:position w:val="12"/>
              </w:rPr>
              <w:t>⑩=⑦-⑧-⑨</w:t>
            </w:r>
          </w:p>
        </w:tc>
        <w:tc>
          <w:tcPr>
            <w:tcW w:w="660" w:type="dxa"/>
            <w:vAlign w:val="top"/>
          </w:tcPr>
          <w:p w14:paraId="209E90CD">
            <w:pPr>
              <w:pStyle w:val="2"/>
              <w:spacing w:before="125" w:line="375" w:lineRule="exact"/>
              <w:rPr>
                <w:color w:val="auto"/>
                <w:spacing w:val="-2"/>
                <w:position w:val="12"/>
              </w:rPr>
            </w:pPr>
            <w:r>
              <w:rPr>
                <w:color w:val="auto"/>
                <w:spacing w:val="-2"/>
                <w:position w:val="12"/>
              </w:rPr>
              <w:t>16641</w:t>
            </w:r>
          </w:p>
        </w:tc>
        <w:tc>
          <w:tcPr>
            <w:tcW w:w="662" w:type="dxa"/>
            <w:vAlign w:val="top"/>
          </w:tcPr>
          <w:p w14:paraId="7EA45F6F">
            <w:pPr>
              <w:pStyle w:val="2"/>
              <w:spacing w:before="125" w:line="375" w:lineRule="exact"/>
              <w:rPr>
                <w:color w:val="auto"/>
                <w:spacing w:val="-2"/>
                <w:position w:val="12"/>
              </w:rPr>
            </w:pPr>
            <w:r>
              <w:rPr>
                <w:color w:val="auto"/>
                <w:spacing w:val="-2"/>
                <w:position w:val="12"/>
              </w:rPr>
              <w:t>18314</w:t>
            </w:r>
          </w:p>
        </w:tc>
        <w:tc>
          <w:tcPr>
            <w:tcW w:w="662" w:type="dxa"/>
            <w:vAlign w:val="top"/>
          </w:tcPr>
          <w:p w14:paraId="0A478C3D">
            <w:pPr>
              <w:pStyle w:val="2"/>
              <w:spacing w:before="125" w:line="375" w:lineRule="exact"/>
              <w:rPr>
                <w:color w:val="auto"/>
                <w:spacing w:val="-2"/>
                <w:position w:val="12"/>
              </w:rPr>
            </w:pPr>
            <w:r>
              <w:rPr>
                <w:color w:val="auto"/>
                <w:spacing w:val="-2"/>
                <w:position w:val="12"/>
              </w:rPr>
              <w:t>19254</w:t>
            </w:r>
          </w:p>
        </w:tc>
        <w:tc>
          <w:tcPr>
            <w:tcW w:w="634" w:type="dxa"/>
            <w:vAlign w:val="top"/>
          </w:tcPr>
          <w:p w14:paraId="1348006F">
            <w:pPr>
              <w:pStyle w:val="2"/>
              <w:spacing w:before="125" w:line="375" w:lineRule="exact"/>
              <w:rPr>
                <w:color w:val="auto"/>
                <w:spacing w:val="-2"/>
                <w:position w:val="12"/>
              </w:rPr>
            </w:pPr>
            <w:r>
              <w:rPr>
                <w:color w:val="auto"/>
                <w:spacing w:val="-2"/>
                <w:position w:val="12"/>
              </w:rPr>
              <w:t>19254</w:t>
            </w:r>
          </w:p>
        </w:tc>
        <w:tc>
          <w:tcPr>
            <w:tcW w:w="688" w:type="dxa"/>
            <w:vAlign w:val="top"/>
          </w:tcPr>
          <w:p w14:paraId="7228C53B">
            <w:pPr>
              <w:pStyle w:val="2"/>
              <w:spacing w:before="125" w:line="375" w:lineRule="exact"/>
              <w:rPr>
                <w:color w:val="auto"/>
                <w:spacing w:val="-2"/>
                <w:position w:val="12"/>
              </w:rPr>
            </w:pPr>
            <w:r>
              <w:rPr>
                <w:color w:val="auto"/>
                <w:spacing w:val="-2"/>
                <w:position w:val="12"/>
              </w:rPr>
              <w:t>18314</w:t>
            </w:r>
          </w:p>
        </w:tc>
        <w:tc>
          <w:tcPr>
            <w:tcW w:w="696" w:type="dxa"/>
            <w:vAlign w:val="top"/>
          </w:tcPr>
          <w:p w14:paraId="590B3B0D">
            <w:pPr>
              <w:pStyle w:val="2"/>
              <w:spacing w:before="125" w:line="375" w:lineRule="exact"/>
              <w:rPr>
                <w:color w:val="auto"/>
                <w:spacing w:val="-2"/>
                <w:position w:val="12"/>
              </w:rPr>
            </w:pPr>
            <w:r>
              <w:rPr>
                <w:color w:val="auto"/>
                <w:spacing w:val="-2"/>
                <w:position w:val="12"/>
              </w:rPr>
              <w:t>16495</w:t>
            </w:r>
          </w:p>
        </w:tc>
        <w:tc>
          <w:tcPr>
            <w:tcW w:w="633" w:type="dxa"/>
            <w:vAlign w:val="top"/>
          </w:tcPr>
          <w:p w14:paraId="0A1F45B1">
            <w:pPr>
              <w:pStyle w:val="2"/>
              <w:spacing w:before="125" w:line="375" w:lineRule="exact"/>
              <w:rPr>
                <w:color w:val="auto"/>
                <w:spacing w:val="-2"/>
                <w:position w:val="12"/>
              </w:rPr>
            </w:pPr>
            <w:r>
              <w:rPr>
                <w:color w:val="auto"/>
                <w:spacing w:val="-2"/>
                <w:position w:val="12"/>
              </w:rPr>
              <w:t>13207</w:t>
            </w:r>
          </w:p>
        </w:tc>
      </w:tr>
    </w:tbl>
    <w:p w14:paraId="5046C46F">
      <w:pPr>
        <w:pStyle w:val="2"/>
        <w:spacing w:before="243" w:line="220" w:lineRule="auto"/>
        <w:ind w:left="570"/>
        <w:rPr>
          <w:color w:val="auto"/>
          <w:spacing w:val="-2"/>
        </w:rPr>
      </w:pPr>
      <w:r>
        <w:rPr>
          <w:color w:val="auto"/>
          <w:spacing w:val="-2"/>
        </w:rPr>
        <w:t>3.预测折现率</w:t>
      </w:r>
    </w:p>
    <w:p w14:paraId="61BBC321">
      <w:pPr>
        <w:pStyle w:val="2"/>
        <w:spacing w:before="243" w:line="220" w:lineRule="auto"/>
        <w:ind w:left="570"/>
        <w:rPr>
          <w:color w:val="auto"/>
        </w:rPr>
      </w:pPr>
      <w:r>
        <w:rPr>
          <w:color w:val="auto"/>
          <w:spacing w:val="-1"/>
        </w:rPr>
        <w:t>无形资产折现率＝无风险报酬率＋风险报酬率</w:t>
      </w:r>
    </w:p>
    <w:p w14:paraId="3310BA28">
      <w:pPr>
        <w:pStyle w:val="2"/>
        <w:spacing w:before="124" w:line="222" w:lineRule="auto"/>
        <w:ind w:left="2059"/>
        <w:rPr>
          <w:color w:val="auto"/>
        </w:rPr>
      </w:pPr>
      <w:r>
        <w:rPr>
          <w:color w:val="auto"/>
          <w:spacing w:val="9"/>
        </w:rPr>
        <w:t>=2.84</w:t>
      </w:r>
      <w:r>
        <w:rPr>
          <w:color w:val="auto"/>
          <w:spacing w:val="-12"/>
        </w:rPr>
        <w:t>％＋</w:t>
      </w:r>
      <w:r>
        <w:rPr>
          <w:color w:val="auto"/>
          <w:spacing w:val="9"/>
        </w:rPr>
        <w:t>12</w:t>
      </w:r>
      <w:r>
        <w:rPr>
          <w:color w:val="auto"/>
          <w:spacing w:val="-12"/>
        </w:rPr>
        <w:t>％＝</w:t>
      </w:r>
      <w:r>
        <w:rPr>
          <w:color w:val="auto"/>
          <w:spacing w:val="9"/>
        </w:rPr>
        <w:t>14.84</w:t>
      </w:r>
      <w:r>
        <w:rPr>
          <w:color w:val="auto"/>
          <w:spacing w:val="-12"/>
        </w:rPr>
        <w:t>％＝</w:t>
      </w:r>
      <w:r>
        <w:rPr>
          <w:color w:val="auto"/>
          <w:spacing w:val="9"/>
        </w:rPr>
        <w:t>15</w:t>
      </w:r>
      <w:r>
        <w:rPr>
          <w:color w:val="auto"/>
          <w:spacing w:val="-12"/>
        </w:rPr>
        <w:t>％（</w:t>
      </w:r>
      <w:r>
        <w:rPr>
          <w:color w:val="auto"/>
          <w:spacing w:val="9"/>
        </w:rPr>
        <w:t>取整）</w:t>
      </w:r>
    </w:p>
    <w:p w14:paraId="3A65D8D7">
      <w:pPr>
        <w:pStyle w:val="2"/>
        <w:spacing w:before="121" w:line="219" w:lineRule="auto"/>
        <w:ind w:left="3645"/>
        <w:rPr>
          <w:color w:val="auto"/>
          <w:spacing w:val="-2"/>
        </w:rPr>
      </w:pPr>
    </w:p>
    <w:p w14:paraId="48348331">
      <w:pPr>
        <w:pStyle w:val="2"/>
        <w:spacing w:before="121" w:line="219" w:lineRule="auto"/>
        <w:ind w:left="3645"/>
        <w:rPr>
          <w:rFonts w:hint="eastAsia" w:eastAsia="宋体"/>
          <w:color w:val="auto"/>
          <w:lang w:val="en-US" w:eastAsia="zh-CN"/>
        </w:rPr>
      </w:pPr>
      <w:r>
        <w:rPr>
          <w:color w:val="auto"/>
          <w:spacing w:val="-2"/>
        </w:rPr>
        <w:t>评估值计算过程</w:t>
      </w:r>
      <w:r>
        <w:rPr>
          <w:rFonts w:hint="eastAsia"/>
          <w:color w:val="auto"/>
          <w:spacing w:val="-2"/>
          <w:lang w:val="en-US" w:eastAsia="zh-CN"/>
        </w:rPr>
        <w:t>表</w:t>
      </w:r>
    </w:p>
    <w:p w14:paraId="1A2BAA69">
      <w:pPr>
        <w:pStyle w:val="2"/>
        <w:spacing w:before="126" w:line="221" w:lineRule="auto"/>
        <w:jc w:val="right"/>
        <w:rPr>
          <w:color w:val="auto"/>
        </w:rPr>
      </w:pPr>
      <w:r>
        <w:rPr>
          <w:color w:val="auto"/>
          <w:spacing w:val="-2"/>
        </w:rPr>
        <w:t>单位：元</w:t>
      </w:r>
    </w:p>
    <w:p w14:paraId="3A2AA55C">
      <w:pPr>
        <w:spacing w:line="40" w:lineRule="exact"/>
        <w:rPr>
          <w:color w:val="auto"/>
        </w:rPr>
      </w:pPr>
    </w:p>
    <w:tbl>
      <w:tblPr>
        <w:tblStyle w:val="5"/>
        <w:tblW w:w="8477" w:type="dxa"/>
        <w:tblInd w:w="5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9"/>
        <w:gridCol w:w="963"/>
        <w:gridCol w:w="963"/>
        <w:gridCol w:w="965"/>
        <w:gridCol w:w="965"/>
        <w:gridCol w:w="965"/>
        <w:gridCol w:w="965"/>
        <w:gridCol w:w="972"/>
      </w:tblGrid>
      <w:tr w14:paraId="4584F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719" w:type="dxa"/>
            <w:vAlign w:val="top"/>
          </w:tcPr>
          <w:p w14:paraId="594A2CCA">
            <w:pPr>
              <w:pStyle w:val="6"/>
              <w:spacing w:before="118" w:line="221" w:lineRule="auto"/>
              <w:ind w:left="655"/>
              <w:rPr>
                <w:color w:val="auto"/>
              </w:rPr>
            </w:pPr>
            <w:r>
              <w:rPr>
                <w:color w:val="auto"/>
                <w:spacing w:val="-3"/>
              </w:rPr>
              <w:t>项目</w:t>
            </w:r>
          </w:p>
        </w:tc>
        <w:tc>
          <w:tcPr>
            <w:tcW w:w="963" w:type="dxa"/>
            <w:vAlign w:val="top"/>
          </w:tcPr>
          <w:p w14:paraId="19FCA116">
            <w:pPr>
              <w:pStyle w:val="6"/>
              <w:spacing w:before="118" w:line="220" w:lineRule="auto"/>
              <w:ind w:left="142"/>
              <w:rPr>
                <w:color w:val="auto"/>
              </w:rPr>
            </w:pPr>
            <w:r>
              <w:rPr>
                <w:color w:val="auto"/>
                <w:spacing w:val="-3"/>
              </w:rPr>
              <w:t>2016</w:t>
            </w:r>
            <w:r>
              <w:rPr>
                <w:color w:val="auto"/>
                <w:spacing w:val="-39"/>
              </w:rPr>
              <w:t xml:space="preserve"> </w:t>
            </w:r>
            <w:r>
              <w:rPr>
                <w:color w:val="auto"/>
                <w:spacing w:val="-3"/>
              </w:rPr>
              <w:t>年</w:t>
            </w:r>
          </w:p>
        </w:tc>
        <w:tc>
          <w:tcPr>
            <w:tcW w:w="963" w:type="dxa"/>
            <w:vAlign w:val="top"/>
          </w:tcPr>
          <w:p w14:paraId="0E83A82C">
            <w:pPr>
              <w:pStyle w:val="6"/>
              <w:spacing w:before="118" w:line="220" w:lineRule="auto"/>
              <w:ind w:left="144"/>
              <w:rPr>
                <w:color w:val="auto"/>
              </w:rPr>
            </w:pPr>
            <w:r>
              <w:rPr>
                <w:color w:val="auto"/>
                <w:spacing w:val="-3"/>
              </w:rPr>
              <w:t>2017</w:t>
            </w:r>
            <w:r>
              <w:rPr>
                <w:color w:val="auto"/>
                <w:spacing w:val="-39"/>
              </w:rPr>
              <w:t xml:space="preserve"> </w:t>
            </w:r>
            <w:r>
              <w:rPr>
                <w:color w:val="auto"/>
                <w:spacing w:val="-3"/>
              </w:rPr>
              <w:t>年</w:t>
            </w:r>
          </w:p>
        </w:tc>
        <w:tc>
          <w:tcPr>
            <w:tcW w:w="965" w:type="dxa"/>
            <w:vAlign w:val="top"/>
          </w:tcPr>
          <w:p w14:paraId="6B89A722">
            <w:pPr>
              <w:pStyle w:val="6"/>
              <w:spacing w:before="118" w:line="220" w:lineRule="auto"/>
              <w:ind w:left="148"/>
              <w:rPr>
                <w:color w:val="auto"/>
              </w:rPr>
            </w:pPr>
            <w:r>
              <w:rPr>
                <w:color w:val="auto"/>
                <w:spacing w:val="-3"/>
              </w:rPr>
              <w:t>2018</w:t>
            </w:r>
            <w:r>
              <w:rPr>
                <w:color w:val="auto"/>
                <w:spacing w:val="-39"/>
              </w:rPr>
              <w:t xml:space="preserve"> </w:t>
            </w:r>
            <w:r>
              <w:rPr>
                <w:color w:val="auto"/>
                <w:spacing w:val="-3"/>
              </w:rPr>
              <w:t>年</w:t>
            </w:r>
          </w:p>
        </w:tc>
        <w:tc>
          <w:tcPr>
            <w:tcW w:w="965" w:type="dxa"/>
            <w:vAlign w:val="top"/>
          </w:tcPr>
          <w:p w14:paraId="17C3771D">
            <w:pPr>
              <w:pStyle w:val="6"/>
              <w:spacing w:before="118" w:line="220" w:lineRule="auto"/>
              <w:ind w:left="149"/>
              <w:rPr>
                <w:color w:val="auto"/>
              </w:rPr>
            </w:pPr>
            <w:r>
              <w:rPr>
                <w:color w:val="auto"/>
                <w:spacing w:val="-3"/>
              </w:rPr>
              <w:t>2019</w:t>
            </w:r>
            <w:r>
              <w:rPr>
                <w:color w:val="auto"/>
                <w:spacing w:val="-39"/>
              </w:rPr>
              <w:t xml:space="preserve"> </w:t>
            </w:r>
            <w:r>
              <w:rPr>
                <w:color w:val="auto"/>
                <w:spacing w:val="-3"/>
              </w:rPr>
              <w:t>年</w:t>
            </w:r>
          </w:p>
        </w:tc>
        <w:tc>
          <w:tcPr>
            <w:tcW w:w="965" w:type="dxa"/>
            <w:vAlign w:val="top"/>
          </w:tcPr>
          <w:p w14:paraId="0FD43B3A">
            <w:pPr>
              <w:pStyle w:val="6"/>
              <w:spacing w:before="118" w:line="220" w:lineRule="auto"/>
              <w:ind w:left="150"/>
              <w:rPr>
                <w:color w:val="auto"/>
              </w:rPr>
            </w:pPr>
            <w:r>
              <w:rPr>
                <w:color w:val="auto"/>
                <w:spacing w:val="-3"/>
              </w:rPr>
              <w:t>2020</w:t>
            </w:r>
            <w:r>
              <w:rPr>
                <w:color w:val="auto"/>
                <w:spacing w:val="-39"/>
              </w:rPr>
              <w:t xml:space="preserve"> </w:t>
            </w:r>
            <w:r>
              <w:rPr>
                <w:color w:val="auto"/>
                <w:spacing w:val="-3"/>
              </w:rPr>
              <w:t>年</w:t>
            </w:r>
          </w:p>
        </w:tc>
        <w:tc>
          <w:tcPr>
            <w:tcW w:w="965" w:type="dxa"/>
            <w:vAlign w:val="top"/>
          </w:tcPr>
          <w:p w14:paraId="4AC17DA5">
            <w:pPr>
              <w:pStyle w:val="6"/>
              <w:spacing w:before="118" w:line="220" w:lineRule="auto"/>
              <w:ind w:left="150"/>
              <w:rPr>
                <w:color w:val="auto"/>
              </w:rPr>
            </w:pPr>
            <w:r>
              <w:rPr>
                <w:color w:val="auto"/>
                <w:spacing w:val="-3"/>
              </w:rPr>
              <w:t>2021</w:t>
            </w:r>
            <w:r>
              <w:rPr>
                <w:color w:val="auto"/>
                <w:spacing w:val="-39"/>
              </w:rPr>
              <w:t xml:space="preserve"> </w:t>
            </w:r>
            <w:r>
              <w:rPr>
                <w:color w:val="auto"/>
                <w:spacing w:val="-3"/>
              </w:rPr>
              <w:t>年</w:t>
            </w:r>
          </w:p>
        </w:tc>
        <w:tc>
          <w:tcPr>
            <w:tcW w:w="972" w:type="dxa"/>
            <w:vAlign w:val="top"/>
          </w:tcPr>
          <w:p w14:paraId="52B32089">
            <w:pPr>
              <w:pStyle w:val="6"/>
              <w:spacing w:before="118" w:line="220" w:lineRule="auto"/>
              <w:ind w:left="152"/>
              <w:rPr>
                <w:color w:val="auto"/>
              </w:rPr>
            </w:pPr>
            <w:r>
              <w:rPr>
                <w:color w:val="auto"/>
                <w:spacing w:val="-3"/>
              </w:rPr>
              <w:t>2022</w:t>
            </w:r>
            <w:r>
              <w:rPr>
                <w:color w:val="auto"/>
                <w:spacing w:val="-39"/>
              </w:rPr>
              <w:t xml:space="preserve"> </w:t>
            </w:r>
            <w:r>
              <w:rPr>
                <w:color w:val="auto"/>
                <w:spacing w:val="-3"/>
              </w:rPr>
              <w:t>年</w:t>
            </w:r>
          </w:p>
        </w:tc>
      </w:tr>
      <w:tr w14:paraId="7C7E4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719" w:type="dxa"/>
            <w:vAlign w:val="top"/>
          </w:tcPr>
          <w:p w14:paraId="419CAD4D">
            <w:pPr>
              <w:pStyle w:val="6"/>
              <w:spacing w:before="113" w:line="220" w:lineRule="auto"/>
              <w:ind w:left="441"/>
              <w:rPr>
                <w:color w:val="auto"/>
              </w:rPr>
            </w:pPr>
            <w:r>
              <w:rPr>
                <w:color w:val="auto"/>
                <w:spacing w:val="-2"/>
              </w:rPr>
              <w:t>超额收益</w:t>
            </w:r>
          </w:p>
        </w:tc>
        <w:tc>
          <w:tcPr>
            <w:tcW w:w="963" w:type="dxa"/>
            <w:vAlign w:val="top"/>
          </w:tcPr>
          <w:p w14:paraId="44C04875">
            <w:pPr>
              <w:pStyle w:val="6"/>
              <w:spacing w:before="147" w:line="182" w:lineRule="auto"/>
              <w:ind w:left="235"/>
              <w:rPr>
                <w:color w:val="auto"/>
              </w:rPr>
            </w:pPr>
            <w:r>
              <w:rPr>
                <w:color w:val="auto"/>
                <w:spacing w:val="-5"/>
              </w:rPr>
              <w:t>16641</w:t>
            </w:r>
          </w:p>
        </w:tc>
        <w:tc>
          <w:tcPr>
            <w:tcW w:w="963" w:type="dxa"/>
            <w:vAlign w:val="top"/>
          </w:tcPr>
          <w:p w14:paraId="34684BDE">
            <w:pPr>
              <w:pStyle w:val="6"/>
              <w:spacing w:before="147" w:line="182" w:lineRule="auto"/>
              <w:ind w:left="236"/>
              <w:rPr>
                <w:color w:val="auto"/>
              </w:rPr>
            </w:pPr>
            <w:r>
              <w:rPr>
                <w:color w:val="auto"/>
                <w:spacing w:val="-5"/>
              </w:rPr>
              <w:t>18314</w:t>
            </w:r>
          </w:p>
        </w:tc>
        <w:tc>
          <w:tcPr>
            <w:tcW w:w="965" w:type="dxa"/>
            <w:vAlign w:val="top"/>
          </w:tcPr>
          <w:p w14:paraId="2E085EB8">
            <w:pPr>
              <w:pStyle w:val="6"/>
              <w:spacing w:before="147" w:line="182" w:lineRule="auto"/>
              <w:ind w:left="239"/>
              <w:rPr>
                <w:color w:val="auto"/>
              </w:rPr>
            </w:pPr>
            <w:r>
              <w:rPr>
                <w:color w:val="auto"/>
                <w:spacing w:val="-5"/>
              </w:rPr>
              <w:t>19254</w:t>
            </w:r>
          </w:p>
        </w:tc>
        <w:tc>
          <w:tcPr>
            <w:tcW w:w="965" w:type="dxa"/>
            <w:vAlign w:val="top"/>
          </w:tcPr>
          <w:p w14:paraId="473FB52B">
            <w:pPr>
              <w:pStyle w:val="6"/>
              <w:spacing w:before="147" w:line="182" w:lineRule="auto"/>
              <w:ind w:left="240"/>
              <w:rPr>
                <w:color w:val="auto"/>
              </w:rPr>
            </w:pPr>
            <w:r>
              <w:rPr>
                <w:color w:val="auto"/>
                <w:spacing w:val="-5"/>
              </w:rPr>
              <w:t>19254</w:t>
            </w:r>
          </w:p>
        </w:tc>
        <w:tc>
          <w:tcPr>
            <w:tcW w:w="965" w:type="dxa"/>
            <w:vAlign w:val="top"/>
          </w:tcPr>
          <w:p w14:paraId="4269F1EF">
            <w:pPr>
              <w:pStyle w:val="6"/>
              <w:spacing w:before="147" w:line="182" w:lineRule="auto"/>
              <w:ind w:left="241"/>
              <w:rPr>
                <w:color w:val="auto"/>
              </w:rPr>
            </w:pPr>
            <w:r>
              <w:rPr>
                <w:color w:val="auto"/>
                <w:spacing w:val="-5"/>
              </w:rPr>
              <w:t>18314</w:t>
            </w:r>
          </w:p>
        </w:tc>
        <w:tc>
          <w:tcPr>
            <w:tcW w:w="965" w:type="dxa"/>
            <w:vAlign w:val="top"/>
          </w:tcPr>
          <w:p w14:paraId="1D57B94F">
            <w:pPr>
              <w:pStyle w:val="6"/>
              <w:spacing w:before="147" w:line="182" w:lineRule="auto"/>
              <w:ind w:left="241"/>
              <w:rPr>
                <w:color w:val="auto"/>
              </w:rPr>
            </w:pPr>
            <w:r>
              <w:rPr>
                <w:color w:val="auto"/>
                <w:spacing w:val="-5"/>
              </w:rPr>
              <w:t>16495</w:t>
            </w:r>
          </w:p>
        </w:tc>
        <w:tc>
          <w:tcPr>
            <w:tcW w:w="972" w:type="dxa"/>
            <w:vAlign w:val="top"/>
          </w:tcPr>
          <w:p w14:paraId="37C5C148">
            <w:pPr>
              <w:pStyle w:val="6"/>
              <w:spacing w:before="147" w:line="182" w:lineRule="auto"/>
              <w:ind w:left="243"/>
              <w:rPr>
                <w:color w:val="auto"/>
              </w:rPr>
            </w:pPr>
            <w:r>
              <w:rPr>
                <w:color w:val="auto"/>
                <w:spacing w:val="-5"/>
              </w:rPr>
              <w:t>13207</w:t>
            </w:r>
          </w:p>
        </w:tc>
      </w:tr>
      <w:tr w14:paraId="07047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719" w:type="dxa"/>
            <w:vAlign w:val="top"/>
          </w:tcPr>
          <w:p w14:paraId="26E154A6">
            <w:pPr>
              <w:pStyle w:val="6"/>
              <w:spacing w:before="115" w:line="220" w:lineRule="auto"/>
              <w:ind w:left="233"/>
              <w:rPr>
                <w:color w:val="auto"/>
              </w:rPr>
            </w:pPr>
            <w:r>
              <w:rPr>
                <w:color w:val="auto"/>
                <w:spacing w:val="31"/>
              </w:rPr>
              <w:t>折现率(%)</w:t>
            </w:r>
          </w:p>
        </w:tc>
        <w:tc>
          <w:tcPr>
            <w:tcW w:w="963" w:type="dxa"/>
            <w:vAlign w:val="top"/>
          </w:tcPr>
          <w:p w14:paraId="0441E25D">
            <w:pPr>
              <w:pStyle w:val="6"/>
              <w:spacing w:before="149" w:line="182" w:lineRule="auto"/>
              <w:ind w:left="392"/>
              <w:rPr>
                <w:color w:val="auto"/>
              </w:rPr>
            </w:pPr>
            <w:r>
              <w:rPr>
                <w:color w:val="auto"/>
                <w:spacing w:val="-12"/>
              </w:rPr>
              <w:t>15</w:t>
            </w:r>
          </w:p>
        </w:tc>
        <w:tc>
          <w:tcPr>
            <w:tcW w:w="963" w:type="dxa"/>
            <w:vAlign w:val="top"/>
          </w:tcPr>
          <w:p w14:paraId="3F837504">
            <w:pPr>
              <w:pStyle w:val="6"/>
              <w:spacing w:before="149" w:line="182" w:lineRule="auto"/>
              <w:ind w:left="394"/>
              <w:rPr>
                <w:color w:val="auto"/>
              </w:rPr>
            </w:pPr>
            <w:r>
              <w:rPr>
                <w:color w:val="auto"/>
                <w:spacing w:val="-12"/>
              </w:rPr>
              <w:t>15</w:t>
            </w:r>
          </w:p>
        </w:tc>
        <w:tc>
          <w:tcPr>
            <w:tcW w:w="965" w:type="dxa"/>
            <w:vAlign w:val="top"/>
          </w:tcPr>
          <w:p w14:paraId="6A59443E">
            <w:pPr>
              <w:pStyle w:val="6"/>
              <w:spacing w:before="149" w:line="182" w:lineRule="auto"/>
              <w:ind w:left="398"/>
              <w:rPr>
                <w:color w:val="auto"/>
              </w:rPr>
            </w:pPr>
            <w:r>
              <w:rPr>
                <w:color w:val="auto"/>
                <w:spacing w:val="-12"/>
              </w:rPr>
              <w:t>15</w:t>
            </w:r>
          </w:p>
        </w:tc>
        <w:tc>
          <w:tcPr>
            <w:tcW w:w="965" w:type="dxa"/>
            <w:vAlign w:val="top"/>
          </w:tcPr>
          <w:p w14:paraId="7145BA22">
            <w:pPr>
              <w:pStyle w:val="6"/>
              <w:spacing w:before="149" w:line="182" w:lineRule="auto"/>
              <w:ind w:left="399"/>
              <w:rPr>
                <w:color w:val="auto"/>
              </w:rPr>
            </w:pPr>
            <w:r>
              <w:rPr>
                <w:color w:val="auto"/>
                <w:spacing w:val="-12"/>
              </w:rPr>
              <w:t>15</w:t>
            </w:r>
          </w:p>
        </w:tc>
        <w:tc>
          <w:tcPr>
            <w:tcW w:w="965" w:type="dxa"/>
            <w:vAlign w:val="top"/>
          </w:tcPr>
          <w:p w14:paraId="3824E927">
            <w:pPr>
              <w:pStyle w:val="6"/>
              <w:spacing w:before="149" w:line="182" w:lineRule="auto"/>
              <w:ind w:left="400"/>
              <w:rPr>
                <w:color w:val="auto"/>
              </w:rPr>
            </w:pPr>
            <w:r>
              <w:rPr>
                <w:color w:val="auto"/>
                <w:spacing w:val="-12"/>
              </w:rPr>
              <w:t>15</w:t>
            </w:r>
          </w:p>
        </w:tc>
        <w:tc>
          <w:tcPr>
            <w:tcW w:w="965" w:type="dxa"/>
            <w:vAlign w:val="top"/>
          </w:tcPr>
          <w:p w14:paraId="4FF9D602">
            <w:pPr>
              <w:pStyle w:val="6"/>
              <w:spacing w:before="149" w:line="182" w:lineRule="auto"/>
              <w:ind w:left="400"/>
              <w:rPr>
                <w:color w:val="auto"/>
              </w:rPr>
            </w:pPr>
            <w:r>
              <w:rPr>
                <w:color w:val="auto"/>
                <w:spacing w:val="-12"/>
              </w:rPr>
              <w:t>15</w:t>
            </w:r>
          </w:p>
        </w:tc>
        <w:tc>
          <w:tcPr>
            <w:tcW w:w="972" w:type="dxa"/>
            <w:vAlign w:val="top"/>
          </w:tcPr>
          <w:p w14:paraId="3C996C8C">
            <w:pPr>
              <w:pStyle w:val="6"/>
              <w:spacing w:before="149" w:line="182" w:lineRule="auto"/>
              <w:ind w:left="402"/>
              <w:rPr>
                <w:color w:val="auto"/>
              </w:rPr>
            </w:pPr>
            <w:r>
              <w:rPr>
                <w:color w:val="auto"/>
                <w:spacing w:val="-12"/>
              </w:rPr>
              <w:t>15</w:t>
            </w:r>
          </w:p>
        </w:tc>
      </w:tr>
      <w:tr w14:paraId="3410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719" w:type="dxa"/>
            <w:vAlign w:val="top"/>
          </w:tcPr>
          <w:p w14:paraId="028FD8B4">
            <w:pPr>
              <w:pStyle w:val="6"/>
              <w:spacing w:before="117" w:line="220" w:lineRule="auto"/>
              <w:ind w:left="548"/>
              <w:rPr>
                <w:color w:val="auto"/>
              </w:rPr>
            </w:pPr>
            <w:r>
              <w:rPr>
                <w:color w:val="auto"/>
                <w:spacing w:val="-3"/>
              </w:rPr>
              <w:t>折现值</w:t>
            </w:r>
          </w:p>
        </w:tc>
        <w:tc>
          <w:tcPr>
            <w:tcW w:w="963" w:type="dxa"/>
            <w:vAlign w:val="top"/>
          </w:tcPr>
          <w:p w14:paraId="5CD017B2">
            <w:pPr>
              <w:pStyle w:val="6"/>
              <w:spacing w:before="151" w:line="182" w:lineRule="auto"/>
              <w:ind w:left="235"/>
              <w:rPr>
                <w:color w:val="auto"/>
              </w:rPr>
            </w:pPr>
            <w:r>
              <w:rPr>
                <w:color w:val="auto"/>
                <w:spacing w:val="-5"/>
              </w:rPr>
              <w:t>14470</w:t>
            </w:r>
          </w:p>
        </w:tc>
        <w:tc>
          <w:tcPr>
            <w:tcW w:w="963" w:type="dxa"/>
            <w:vAlign w:val="top"/>
          </w:tcPr>
          <w:p w14:paraId="4AF879AB">
            <w:pPr>
              <w:pStyle w:val="6"/>
              <w:spacing w:before="151" w:line="182" w:lineRule="auto"/>
              <w:ind w:left="236"/>
              <w:rPr>
                <w:color w:val="auto"/>
              </w:rPr>
            </w:pPr>
            <w:r>
              <w:rPr>
                <w:color w:val="auto"/>
                <w:spacing w:val="-5"/>
              </w:rPr>
              <w:t>13848</w:t>
            </w:r>
          </w:p>
        </w:tc>
        <w:tc>
          <w:tcPr>
            <w:tcW w:w="965" w:type="dxa"/>
            <w:vAlign w:val="top"/>
          </w:tcPr>
          <w:p w14:paraId="535DACC5">
            <w:pPr>
              <w:pStyle w:val="6"/>
              <w:spacing w:before="151" w:line="182" w:lineRule="auto"/>
              <w:ind w:left="239"/>
              <w:rPr>
                <w:color w:val="auto"/>
              </w:rPr>
            </w:pPr>
            <w:r>
              <w:rPr>
                <w:color w:val="auto"/>
                <w:spacing w:val="-5"/>
              </w:rPr>
              <w:t>12660</w:t>
            </w:r>
          </w:p>
        </w:tc>
        <w:tc>
          <w:tcPr>
            <w:tcW w:w="965" w:type="dxa"/>
            <w:vAlign w:val="top"/>
          </w:tcPr>
          <w:p w14:paraId="6B5E8F83">
            <w:pPr>
              <w:pStyle w:val="6"/>
              <w:spacing w:before="151" w:line="182" w:lineRule="auto"/>
              <w:ind w:left="240"/>
              <w:rPr>
                <w:color w:val="auto"/>
              </w:rPr>
            </w:pPr>
            <w:r>
              <w:rPr>
                <w:color w:val="auto"/>
                <w:spacing w:val="-5"/>
              </w:rPr>
              <w:t>11009</w:t>
            </w:r>
          </w:p>
        </w:tc>
        <w:tc>
          <w:tcPr>
            <w:tcW w:w="965" w:type="dxa"/>
            <w:vAlign w:val="top"/>
          </w:tcPr>
          <w:p w14:paraId="137F5F8A">
            <w:pPr>
              <w:pStyle w:val="6"/>
              <w:spacing w:before="151" w:line="182" w:lineRule="auto"/>
              <w:ind w:left="280"/>
              <w:rPr>
                <w:color w:val="auto"/>
              </w:rPr>
            </w:pPr>
            <w:r>
              <w:rPr>
                <w:color w:val="auto"/>
                <w:spacing w:val="-3"/>
              </w:rPr>
              <w:t>9105</w:t>
            </w:r>
          </w:p>
        </w:tc>
        <w:tc>
          <w:tcPr>
            <w:tcW w:w="965" w:type="dxa"/>
            <w:vAlign w:val="top"/>
          </w:tcPr>
          <w:p w14:paraId="2469E9DA">
            <w:pPr>
              <w:pStyle w:val="6"/>
              <w:spacing w:before="151" w:line="182" w:lineRule="auto"/>
              <w:ind w:left="283"/>
              <w:rPr>
                <w:color w:val="auto"/>
              </w:rPr>
            </w:pPr>
            <w:r>
              <w:rPr>
                <w:color w:val="auto"/>
                <w:spacing w:val="-4"/>
              </w:rPr>
              <w:t>7131</w:t>
            </w:r>
          </w:p>
        </w:tc>
        <w:tc>
          <w:tcPr>
            <w:tcW w:w="972" w:type="dxa"/>
            <w:vAlign w:val="top"/>
          </w:tcPr>
          <w:p w14:paraId="7A6CAF62">
            <w:pPr>
              <w:pStyle w:val="6"/>
              <w:spacing w:before="152" w:line="181" w:lineRule="auto"/>
              <w:ind w:left="280"/>
              <w:rPr>
                <w:color w:val="auto"/>
              </w:rPr>
            </w:pPr>
            <w:r>
              <w:rPr>
                <w:color w:val="auto"/>
                <w:spacing w:val="-2"/>
              </w:rPr>
              <w:t>4965</w:t>
            </w:r>
          </w:p>
        </w:tc>
      </w:tr>
      <w:tr w14:paraId="50608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719" w:type="dxa"/>
            <w:vAlign w:val="top"/>
          </w:tcPr>
          <w:p w14:paraId="7C607026">
            <w:pPr>
              <w:pStyle w:val="6"/>
              <w:spacing w:before="117" w:line="219" w:lineRule="auto"/>
              <w:ind w:left="545"/>
              <w:rPr>
                <w:color w:val="auto"/>
              </w:rPr>
            </w:pPr>
            <w:r>
              <w:rPr>
                <w:color w:val="auto"/>
                <w:spacing w:val="-2"/>
              </w:rPr>
              <w:t>评估值</w:t>
            </w:r>
          </w:p>
        </w:tc>
        <w:tc>
          <w:tcPr>
            <w:tcW w:w="6758" w:type="dxa"/>
            <w:gridSpan w:val="7"/>
            <w:vAlign w:val="top"/>
          </w:tcPr>
          <w:p w14:paraId="55F7908E">
            <w:pPr>
              <w:pStyle w:val="6"/>
              <w:spacing w:before="152" w:line="182" w:lineRule="auto"/>
              <w:ind w:left="3121"/>
              <w:rPr>
                <w:color w:val="auto"/>
              </w:rPr>
            </w:pPr>
            <w:r>
              <w:rPr>
                <w:color w:val="auto"/>
                <w:spacing w:val="-3"/>
              </w:rPr>
              <w:t>73188</w:t>
            </w:r>
          </w:p>
        </w:tc>
      </w:tr>
    </w:tbl>
    <w:p w14:paraId="74BF0D4D">
      <w:pPr>
        <w:pStyle w:val="2"/>
        <w:spacing w:before="1" w:line="218" w:lineRule="auto"/>
        <w:ind w:left="154"/>
        <w:rPr>
          <w:color w:val="auto"/>
        </w:rPr>
      </w:pPr>
    </w:p>
    <w:sectPr>
      <w:headerReference r:id="rId5" w:type="default"/>
      <w:footerReference r:id="rId6" w:type="default"/>
      <w:pgSz w:w="11908" w:h="16840"/>
      <w:pgMar w:top="807" w:right="980" w:bottom="1010" w:left="1134" w:header="456" w:footer="47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1EE7F">
    <w:pPr>
      <w:pStyle w:val="2"/>
      <w:spacing w:line="212" w:lineRule="auto"/>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E2BD8">
    <w:pPr>
      <w:spacing w:before="13" w:line="78" w:lineRule="exact"/>
      <w:ind w:left="1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jZmOTc2ZjQzOGQzNjA4YzkyYjZkNmVjMzdlMGI0YjMifQ=="/>
  </w:docVars>
  <w:rsids>
    <w:rsidRoot w:val="00000000"/>
    <w:rsid w:val="23847F75"/>
    <w:rsid w:val="2BC5737C"/>
    <w:rsid w:val="2E3F3416"/>
    <w:rsid w:val="4AB64608"/>
    <w:rsid w:val="521D73D8"/>
    <w:rsid w:val="55456CB4"/>
    <w:rsid w:val="569B19D5"/>
    <w:rsid w:val="74A15E53"/>
    <w:rsid w:val="7D4D1F6F"/>
    <w:rsid w:val="7EC565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11274</Words>
  <Characters>11774</Characters>
  <TotalTime>1</TotalTime>
  <ScaleCrop>false</ScaleCrop>
  <LinksUpToDate>false</LinksUpToDate>
  <CharactersWithSpaces>12242</CharactersWithSpaces>
  <Application>WPS Office_12.1.0.17133_F1E327BC-269C-435d-A152-05C5408002CA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2023-03-23T18:05:00Z</dcterms:created>
  <dc:creator>kejian</dc:creator>
  <cp:lastModifiedBy>小明</cp:lastModifiedBy>
  <dcterms:modified xsi:type="dcterms:W3CDTF">2024-07-04T02:34:32Z</dcterms:modified>
  <dc:title>2020初级会计职称考试辅导                                           经济法基础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2023-12-24T10:34:27Z</vt:filetime>
  </property>
  <property fmtid="{D5CDD505-2E9C-101B-9397-08002B2CF9AE}" pid="4" name="KSOProductBuildVer">
    <vt:lpwstr>2052-12.1.0.17133</vt:lpwstr>
  </property>
  <property fmtid="{D5CDD505-2E9C-101B-9397-08002B2CF9AE}" pid="5" name="ICV">
    <vt:lpwstr>8918687C44144DBCBF779D58C0BE1655_12</vt:lpwstr>
  </property>
</Properties>
</file>