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宋体"/>
          <w:b/>
          <w:bCs/>
          <w:sz w:val="32"/>
          <w:szCs w:val="32"/>
        </w:rPr>
      </w:pPr>
      <w:r>
        <w:rPr>
          <w:rFonts w:hint="eastAsia" w:cs="宋体"/>
          <w:b/>
          <w:bCs/>
          <w:sz w:val="32"/>
          <w:szCs w:val="32"/>
        </w:rPr>
        <w:t>铜 陵 学 院</w:t>
      </w:r>
    </w:p>
    <w:p>
      <w:pPr>
        <w:jc w:val="center"/>
        <w:rPr>
          <w:rFonts w:cs="宋体"/>
          <w:b/>
          <w:bCs/>
          <w:color w:val="00B0F0"/>
          <w:sz w:val="32"/>
          <w:szCs w:val="32"/>
        </w:rPr>
      </w:pPr>
      <w:r>
        <w:rPr>
          <w:rFonts w:hint="eastAsia" w:cs="宋体"/>
          <w:b/>
          <w:bCs/>
          <w:sz w:val="32"/>
          <w:szCs w:val="32"/>
        </w:rPr>
        <w:t>《</w:t>
      </w:r>
      <w:r>
        <w:rPr>
          <w:rFonts w:hint="eastAsia"/>
          <w:b/>
          <w:bCs/>
          <w:sz w:val="32"/>
          <w:szCs w:val="32"/>
        </w:rPr>
        <w:t>中级财务会计</w:t>
      </w:r>
      <w:r>
        <w:rPr>
          <w:rFonts w:hint="eastAsia" w:ascii="宋体" w:hAnsi="宋体"/>
          <w:b/>
          <w:bCs/>
          <w:sz w:val="32"/>
          <w:szCs w:val="32"/>
        </w:rPr>
        <w:t>Ⅰ</w:t>
      </w:r>
      <w:r>
        <w:rPr>
          <w:rFonts w:hint="eastAsia"/>
          <w:b/>
          <w:bCs/>
          <w:sz w:val="32"/>
          <w:szCs w:val="32"/>
        </w:rPr>
        <w:t>/</w:t>
      </w:r>
      <w:r>
        <w:rPr>
          <w:rFonts w:hint="eastAsia" w:ascii="宋体" w:hAnsi="宋体"/>
          <w:b/>
          <w:bCs/>
          <w:sz w:val="32"/>
          <w:szCs w:val="32"/>
        </w:rPr>
        <w:t>Ⅱ</w:t>
      </w:r>
      <w:r>
        <w:rPr>
          <w:rFonts w:hint="eastAsia" w:cs="宋体"/>
          <w:b/>
          <w:bCs/>
          <w:sz w:val="32"/>
          <w:szCs w:val="32"/>
        </w:rPr>
        <w:t>》课程教学大纲</w:t>
      </w:r>
    </w:p>
    <w:p>
      <w:pPr>
        <w:jc w:val="center"/>
        <w:rPr>
          <w:rFonts w:cs="宋体"/>
        </w:rPr>
      </w:pPr>
    </w:p>
    <w:p>
      <w:pPr>
        <w:jc w:val="center"/>
        <w:rPr>
          <w:rFonts w:cs="宋体"/>
          <w:b/>
          <w:bCs/>
          <w:sz w:val="32"/>
          <w:szCs w:val="32"/>
        </w:rPr>
      </w:pPr>
      <w:r>
        <w:rPr>
          <w:rFonts w:hint="eastAsia" w:cs="宋体"/>
        </w:rPr>
        <w:t>(课程类别：理论课（不含课内实践））</w:t>
      </w:r>
    </w:p>
    <w:p>
      <w:pPr>
        <w:widowControl/>
        <w:spacing w:before="100" w:after="100" w:line="400" w:lineRule="exact"/>
        <w:ind w:firstLine="3360" w:firstLineChars="1400"/>
        <w:jc w:val="left"/>
        <w:rPr>
          <w:rFonts w:ascii="黑体" w:hAnsi="黑体" w:eastAsia="黑体" w:cs="黑体"/>
          <w:bCs/>
          <w:color w:val="00B0F0"/>
          <w:kern w:val="0"/>
          <w:sz w:val="24"/>
          <w:szCs w:val="24"/>
        </w:rPr>
      </w:pPr>
      <w:r>
        <w:rPr>
          <w:rFonts w:hint="eastAsia" w:ascii="黑体" w:hAnsi="黑体" w:eastAsia="黑体" w:cs="黑体"/>
          <w:bCs/>
          <w:color w:val="000000"/>
          <w:kern w:val="0"/>
          <w:sz w:val="24"/>
          <w:szCs w:val="24"/>
        </w:rPr>
        <w:t>课程基本信息</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1196"/>
        <w:gridCol w:w="1515"/>
        <w:gridCol w:w="1652"/>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Merge w:val="restart"/>
            <w:vAlign w:val="center"/>
          </w:tcPr>
          <w:p>
            <w:pPr>
              <w:spacing w:line="360" w:lineRule="auto"/>
              <w:rPr>
                <w:sz w:val="18"/>
                <w:szCs w:val="18"/>
              </w:rPr>
            </w:pPr>
            <w:r>
              <w:rPr>
                <w:rFonts w:hint="eastAsia"/>
                <w:sz w:val="18"/>
                <w:szCs w:val="18"/>
              </w:rPr>
              <w:t>课程名称</w:t>
            </w:r>
          </w:p>
        </w:tc>
        <w:tc>
          <w:tcPr>
            <w:tcW w:w="7018" w:type="dxa"/>
            <w:gridSpan w:val="4"/>
            <w:vAlign w:val="center"/>
          </w:tcPr>
          <w:p>
            <w:pPr>
              <w:spacing w:line="360" w:lineRule="auto"/>
              <w:rPr>
                <w:rFonts w:ascii="黑体" w:hAnsi="黑体" w:eastAsia="黑体"/>
                <w:sz w:val="18"/>
                <w:szCs w:val="18"/>
              </w:rPr>
            </w:pPr>
            <w:r>
              <w:rPr>
                <w:rFonts w:hint="eastAsia"/>
                <w:sz w:val="18"/>
                <w:szCs w:val="18"/>
              </w:rPr>
              <w:t>中级财务会计</w:t>
            </w:r>
            <w:r>
              <w:rPr>
                <w:rFonts w:hint="eastAsia" w:ascii="宋体" w:hAnsi="宋体"/>
                <w:sz w:val="18"/>
                <w:szCs w:val="18"/>
              </w:rPr>
              <w:t>Ⅰ</w:t>
            </w:r>
            <w:r>
              <w:rPr>
                <w:rFonts w:hint="eastAsia"/>
                <w:sz w:val="18"/>
                <w:szCs w:val="18"/>
              </w:rPr>
              <w:t>/</w:t>
            </w:r>
            <w:r>
              <w:rPr>
                <w:rFonts w:hint="eastAsia" w:ascii="宋体" w:hAnsi="宋体"/>
                <w:sz w:val="18"/>
                <w:szCs w:val="18"/>
              </w:rPr>
              <w:t>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Merge w:val="continue"/>
            <w:vAlign w:val="center"/>
          </w:tcPr>
          <w:p>
            <w:pPr>
              <w:spacing w:line="360" w:lineRule="auto"/>
              <w:rPr>
                <w:sz w:val="18"/>
                <w:szCs w:val="18"/>
              </w:rPr>
            </w:pPr>
          </w:p>
        </w:tc>
        <w:tc>
          <w:tcPr>
            <w:tcW w:w="7018" w:type="dxa"/>
            <w:gridSpan w:val="4"/>
            <w:vAlign w:val="center"/>
          </w:tcPr>
          <w:p>
            <w:pPr>
              <w:spacing w:line="360" w:lineRule="auto"/>
              <w:rPr>
                <w:sz w:val="18"/>
                <w:szCs w:val="18"/>
              </w:rPr>
            </w:pPr>
            <w:r>
              <w:rPr>
                <w:sz w:val="18"/>
                <w:szCs w:val="18"/>
              </w:rPr>
              <w:t>INTERMEDIATE FINANCIAL ACCOUNTING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Align w:val="center"/>
          </w:tcPr>
          <w:p>
            <w:pPr>
              <w:spacing w:line="360" w:lineRule="auto"/>
              <w:rPr>
                <w:sz w:val="18"/>
                <w:szCs w:val="18"/>
              </w:rPr>
            </w:pPr>
            <w:r>
              <w:rPr>
                <w:rFonts w:hint="eastAsia"/>
                <w:sz w:val="18"/>
                <w:szCs w:val="18"/>
              </w:rPr>
              <w:t>课程代码</w:t>
            </w:r>
          </w:p>
        </w:tc>
        <w:tc>
          <w:tcPr>
            <w:tcW w:w="2711" w:type="dxa"/>
            <w:gridSpan w:val="2"/>
            <w:vAlign w:val="center"/>
          </w:tcPr>
          <w:p>
            <w:pPr>
              <w:spacing w:line="360" w:lineRule="auto"/>
              <w:rPr>
                <w:sz w:val="18"/>
                <w:szCs w:val="18"/>
              </w:rPr>
            </w:pPr>
            <w:r>
              <w:rPr>
                <w:rFonts w:hint="eastAsia"/>
                <w:sz w:val="18"/>
                <w:szCs w:val="18"/>
              </w:rPr>
              <w:t>0211006/0211007</w:t>
            </w:r>
          </w:p>
        </w:tc>
        <w:tc>
          <w:tcPr>
            <w:tcW w:w="1652" w:type="dxa"/>
            <w:vAlign w:val="center"/>
          </w:tcPr>
          <w:p>
            <w:pPr>
              <w:spacing w:line="360" w:lineRule="auto"/>
              <w:rPr>
                <w:sz w:val="18"/>
                <w:szCs w:val="18"/>
              </w:rPr>
            </w:pPr>
            <w:r>
              <w:rPr>
                <w:rFonts w:hint="eastAsia"/>
                <w:sz w:val="18"/>
                <w:szCs w:val="18"/>
              </w:rPr>
              <w:t>课程性质</w:t>
            </w:r>
          </w:p>
        </w:tc>
        <w:tc>
          <w:tcPr>
            <w:tcW w:w="2655" w:type="dxa"/>
            <w:vAlign w:val="center"/>
          </w:tcPr>
          <w:p>
            <w:pPr>
              <w:spacing w:line="360" w:lineRule="auto"/>
              <w:ind w:firstLine="180" w:firstLineChars="100"/>
              <w:rPr>
                <w:sz w:val="18"/>
                <w:szCs w:val="18"/>
              </w:rPr>
            </w:pPr>
            <w:r>
              <w:rPr>
                <w:rFonts w:ascii="Wingdings" w:hAnsi="Wingdings"/>
                <w:sz w:val="18"/>
                <w:szCs w:val="18"/>
              </w:rPr>
              <w:t></w:t>
            </w:r>
            <w:r>
              <w:rPr>
                <w:rFonts w:hint="eastAsia"/>
                <w:sz w:val="18"/>
                <w:szCs w:val="18"/>
              </w:rPr>
              <w:t xml:space="preserve">必修   </w:t>
            </w:r>
            <w:r>
              <w:rPr>
                <w:rFonts w:hint="eastAsia"/>
                <w:sz w:val="18"/>
                <w:szCs w:val="18"/>
              </w:rPr>
              <w:sym w:font="Wingdings 2" w:char="00A3"/>
            </w:r>
            <w:r>
              <w:rPr>
                <w:rFonts w:hint="eastAsia"/>
                <w:sz w:val="18"/>
                <w:szCs w:val="18"/>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Align w:val="center"/>
          </w:tcPr>
          <w:p>
            <w:pPr>
              <w:spacing w:line="360" w:lineRule="auto"/>
              <w:rPr>
                <w:sz w:val="18"/>
                <w:szCs w:val="18"/>
              </w:rPr>
            </w:pPr>
            <w:r>
              <w:rPr>
                <w:rFonts w:hint="eastAsia"/>
                <w:sz w:val="18"/>
                <w:szCs w:val="18"/>
              </w:rPr>
              <w:t>课程类型</w:t>
            </w:r>
          </w:p>
        </w:tc>
        <w:tc>
          <w:tcPr>
            <w:tcW w:w="7018" w:type="dxa"/>
            <w:gridSpan w:val="4"/>
            <w:vAlign w:val="center"/>
          </w:tcPr>
          <w:p>
            <w:pPr>
              <w:spacing w:line="360" w:lineRule="auto"/>
              <w:ind w:left="1440" w:hanging="1440" w:hangingChars="800"/>
              <w:jc w:val="left"/>
              <w:rPr>
                <w:rFonts w:ascii="宋体" w:hAnsi="宋体" w:cs="宋体"/>
                <w:sz w:val="18"/>
                <w:szCs w:val="18"/>
              </w:rPr>
            </w:pPr>
            <w:r>
              <w:rPr>
                <w:rFonts w:hint="eastAsia" w:ascii="宋体" w:hAnsi="宋体" w:cs="宋体"/>
                <w:sz w:val="18"/>
                <w:szCs w:val="18"/>
              </w:rPr>
              <w:sym w:font="Wingdings 2" w:char="00A3"/>
            </w:r>
            <w:r>
              <w:rPr>
                <w:rFonts w:hint="eastAsia" w:ascii="宋体" w:hAnsi="宋体" w:cs="宋体"/>
                <w:sz w:val="18"/>
                <w:szCs w:val="18"/>
              </w:rPr>
              <w:t xml:space="preserve">思想政治理论课                      </w:t>
            </w:r>
            <w:r>
              <w:rPr>
                <w:rFonts w:hint="eastAsia" w:ascii="宋体" w:hAnsi="宋体" w:cs="宋体"/>
                <w:sz w:val="18"/>
                <w:szCs w:val="18"/>
              </w:rPr>
              <w:sym w:font="Wingdings 2" w:char="00A3"/>
            </w:r>
            <w:r>
              <w:rPr>
                <w:rFonts w:hint="eastAsia" w:ascii="宋体" w:hAnsi="宋体" w:cs="宋体"/>
                <w:sz w:val="18"/>
                <w:szCs w:val="18"/>
              </w:rPr>
              <w:t>通识课程</w:t>
            </w:r>
          </w:p>
          <w:p>
            <w:pPr>
              <w:spacing w:line="360" w:lineRule="auto"/>
              <w:rPr>
                <w:rFonts w:ascii="宋体" w:hAnsi="宋体" w:cs="宋体"/>
                <w:sz w:val="18"/>
                <w:szCs w:val="18"/>
              </w:rPr>
            </w:pPr>
            <w:r>
              <w:rPr>
                <w:rFonts w:hint="eastAsia" w:ascii="宋体" w:hAnsi="宋体" w:cs="宋体"/>
                <w:sz w:val="18"/>
                <w:szCs w:val="18"/>
              </w:rPr>
              <w:sym w:font="Wingdings 2" w:char="00A3"/>
            </w:r>
            <w:r>
              <w:rPr>
                <w:rFonts w:hint="eastAsia" w:ascii="宋体" w:hAnsi="宋体" w:cs="宋体"/>
                <w:sz w:val="18"/>
                <w:szCs w:val="18"/>
              </w:rPr>
              <w:t xml:space="preserve">专业基础课程                        </w:t>
            </w:r>
            <w:r>
              <w:rPr>
                <w:rFonts w:ascii="Wingdings" w:hAnsi="Wingdings" w:cs="宋体"/>
                <w:sz w:val="18"/>
                <w:szCs w:val="18"/>
              </w:rPr>
              <w:t></w:t>
            </w:r>
            <w:r>
              <w:rPr>
                <w:rFonts w:hint="eastAsia" w:ascii="宋体" w:hAnsi="宋体" w:cs="宋体"/>
                <w:sz w:val="18"/>
                <w:szCs w:val="18"/>
              </w:rPr>
              <w:t>专业核心课程</w:t>
            </w:r>
          </w:p>
          <w:p>
            <w:pPr>
              <w:spacing w:line="360" w:lineRule="auto"/>
              <w:ind w:left="1440" w:hanging="1440" w:hangingChars="800"/>
              <w:jc w:val="left"/>
              <w:rPr>
                <w:rFonts w:ascii="宋体" w:hAnsi="宋体" w:cs="宋体"/>
                <w:sz w:val="18"/>
                <w:szCs w:val="18"/>
              </w:rPr>
            </w:pPr>
            <w:r>
              <w:rPr>
                <w:rFonts w:hint="eastAsia" w:ascii="宋体" w:hAnsi="宋体" w:cs="宋体"/>
                <w:sz w:val="18"/>
                <w:szCs w:val="18"/>
              </w:rPr>
              <w:sym w:font="Wingdings 2" w:char="00A3"/>
            </w:r>
            <w:r>
              <w:rPr>
                <w:rFonts w:hint="eastAsia" w:ascii="宋体" w:hAnsi="宋体" w:cs="宋体"/>
                <w:sz w:val="18"/>
                <w:szCs w:val="18"/>
              </w:rPr>
              <w:t xml:space="preserve">专业方向（选修）课程                </w:t>
            </w:r>
            <w:r>
              <w:rPr>
                <w:rFonts w:hint="eastAsia" w:ascii="宋体" w:hAnsi="宋体" w:cs="宋体"/>
                <w:sz w:val="18"/>
                <w:szCs w:val="18"/>
              </w:rPr>
              <w:sym w:font="Wingdings 2" w:char="00A3"/>
            </w:r>
            <w:r>
              <w:rPr>
                <w:rFonts w:hint="eastAsia" w:ascii="宋体" w:hAnsi="宋体" w:cs="宋体"/>
                <w:sz w:val="18"/>
                <w:szCs w:val="18"/>
              </w:rPr>
              <w:t>集中性实践课程</w:t>
            </w:r>
          </w:p>
          <w:p>
            <w:pPr>
              <w:spacing w:line="360" w:lineRule="auto"/>
              <w:rPr>
                <w:rFonts w:ascii="宋体" w:hAnsi="宋体" w:cs="宋体"/>
                <w:sz w:val="18"/>
                <w:szCs w:val="18"/>
              </w:rPr>
            </w:pPr>
            <w:r>
              <w:rPr>
                <w:rFonts w:hint="eastAsia" w:ascii="宋体" w:hAnsi="宋体" w:cs="宋体"/>
                <w:sz w:val="18"/>
                <w:szCs w:val="18"/>
              </w:rPr>
              <w:sym w:font="Wingdings 2" w:char="00A3"/>
            </w:r>
            <w:r>
              <w:rPr>
                <w:rFonts w:hint="eastAsia" w:ascii="宋体" w:hAnsi="宋体" w:cs="宋体"/>
                <w:sz w:val="18"/>
                <w:szCs w:val="18"/>
              </w:rPr>
              <w:t xml:space="preserve">创新创业与劳动教育课程              </w:t>
            </w:r>
            <w:r>
              <w:rPr>
                <w:rFonts w:hint="eastAsia" w:ascii="宋体" w:hAnsi="宋体" w:cs="宋体"/>
                <w:sz w:val="18"/>
                <w:szCs w:val="18"/>
              </w:rPr>
              <w:sym w:font="Wingdings 2" w:char="00A3"/>
            </w:r>
            <w:r>
              <w:rPr>
                <w:rFonts w:hint="eastAsia" w:ascii="宋体" w:hAnsi="宋体" w:cs="宋体"/>
                <w:sz w:val="18"/>
                <w:szCs w:val="18"/>
              </w:rPr>
              <w:t>通识扩展课程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Align w:val="center"/>
          </w:tcPr>
          <w:p>
            <w:pPr>
              <w:spacing w:line="360" w:lineRule="auto"/>
              <w:rPr>
                <w:sz w:val="18"/>
                <w:szCs w:val="18"/>
              </w:rPr>
            </w:pPr>
            <w:r>
              <w:rPr>
                <w:rFonts w:hint="eastAsia"/>
                <w:sz w:val="18"/>
                <w:szCs w:val="18"/>
              </w:rPr>
              <w:t>考核方式</w:t>
            </w:r>
          </w:p>
        </w:tc>
        <w:tc>
          <w:tcPr>
            <w:tcW w:w="7018" w:type="dxa"/>
            <w:gridSpan w:val="4"/>
            <w:vAlign w:val="center"/>
          </w:tcPr>
          <w:p>
            <w:pPr>
              <w:spacing w:line="360" w:lineRule="auto"/>
              <w:rPr>
                <w:rFonts w:ascii="宋体" w:hAnsi="宋体" w:cs="宋体"/>
                <w:sz w:val="18"/>
                <w:szCs w:val="18"/>
              </w:rPr>
            </w:pPr>
            <w:r>
              <w:rPr>
                <w:rFonts w:ascii="Wingdings" w:hAnsi="Wingdings" w:cs="宋体"/>
                <w:sz w:val="18"/>
                <w:szCs w:val="18"/>
              </w:rPr>
              <w:t></w:t>
            </w:r>
            <w:r>
              <w:rPr>
                <w:rFonts w:hint="eastAsia" w:ascii="宋体" w:hAnsi="宋体" w:cs="宋体"/>
                <w:sz w:val="18"/>
                <w:szCs w:val="18"/>
              </w:rPr>
              <w:t xml:space="preserve">考试        </w:t>
            </w:r>
            <w:r>
              <w:rPr>
                <w:rFonts w:hint="eastAsia" w:ascii="宋体" w:hAnsi="宋体" w:cs="宋体"/>
                <w:sz w:val="18"/>
                <w:szCs w:val="18"/>
              </w:rPr>
              <w:sym w:font="Wingdings 2" w:char="00A3"/>
            </w:r>
            <w:r>
              <w:rPr>
                <w:rFonts w:hint="eastAsia" w:ascii="宋体" w:hAnsi="宋体" w:cs="宋体"/>
                <w:sz w:val="18"/>
                <w:szCs w:val="18"/>
              </w:rPr>
              <w:t xml:space="preserve">考查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Align w:val="center"/>
          </w:tcPr>
          <w:p>
            <w:pPr>
              <w:spacing w:line="360" w:lineRule="auto"/>
              <w:rPr>
                <w:sz w:val="18"/>
                <w:szCs w:val="18"/>
              </w:rPr>
            </w:pPr>
            <w:r>
              <w:rPr>
                <w:rFonts w:hint="eastAsia"/>
                <w:sz w:val="18"/>
                <w:szCs w:val="18"/>
              </w:rPr>
              <w:t>适用专业</w:t>
            </w:r>
          </w:p>
        </w:tc>
        <w:tc>
          <w:tcPr>
            <w:tcW w:w="7018" w:type="dxa"/>
            <w:gridSpan w:val="4"/>
            <w:vAlign w:val="center"/>
          </w:tcPr>
          <w:p>
            <w:pPr>
              <w:spacing w:line="360" w:lineRule="auto"/>
              <w:rPr>
                <w:sz w:val="18"/>
                <w:szCs w:val="18"/>
              </w:rPr>
            </w:pPr>
            <w:r>
              <w:rPr>
                <w:rFonts w:hint="eastAsia"/>
                <w:sz w:val="18"/>
                <w:szCs w:val="18"/>
              </w:rPr>
              <w:t>会计专业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Align w:val="center"/>
          </w:tcPr>
          <w:p>
            <w:pPr>
              <w:spacing w:line="360" w:lineRule="auto"/>
              <w:rPr>
                <w:sz w:val="18"/>
                <w:szCs w:val="18"/>
              </w:rPr>
            </w:pPr>
            <w:r>
              <w:rPr>
                <w:rFonts w:hint="eastAsia"/>
                <w:sz w:val="18"/>
                <w:szCs w:val="18"/>
              </w:rPr>
              <w:t>开课单位</w:t>
            </w:r>
          </w:p>
        </w:tc>
        <w:tc>
          <w:tcPr>
            <w:tcW w:w="2711" w:type="dxa"/>
            <w:gridSpan w:val="2"/>
            <w:vAlign w:val="center"/>
          </w:tcPr>
          <w:p>
            <w:pPr>
              <w:spacing w:line="360" w:lineRule="auto"/>
              <w:rPr>
                <w:sz w:val="18"/>
                <w:szCs w:val="18"/>
              </w:rPr>
            </w:pPr>
            <w:r>
              <w:rPr>
                <w:rFonts w:hint="eastAsia"/>
                <w:sz w:val="18"/>
                <w:szCs w:val="18"/>
              </w:rPr>
              <w:t>会计学院</w:t>
            </w:r>
          </w:p>
        </w:tc>
        <w:tc>
          <w:tcPr>
            <w:tcW w:w="1652" w:type="dxa"/>
            <w:vAlign w:val="center"/>
          </w:tcPr>
          <w:p>
            <w:pPr>
              <w:spacing w:line="360" w:lineRule="auto"/>
              <w:rPr>
                <w:sz w:val="18"/>
                <w:szCs w:val="18"/>
              </w:rPr>
            </w:pPr>
            <w:r>
              <w:rPr>
                <w:rFonts w:hint="eastAsia"/>
                <w:sz w:val="18"/>
                <w:szCs w:val="18"/>
              </w:rPr>
              <w:t>开课学期</w:t>
            </w:r>
          </w:p>
        </w:tc>
        <w:tc>
          <w:tcPr>
            <w:tcW w:w="2655" w:type="dxa"/>
            <w:vAlign w:val="center"/>
          </w:tcPr>
          <w:p>
            <w:pPr>
              <w:spacing w:line="360" w:lineRule="auto"/>
              <w:rPr>
                <w:sz w:val="18"/>
                <w:szCs w:val="18"/>
              </w:rPr>
            </w:pPr>
            <w:r>
              <w:rPr>
                <w:rFonts w:hint="eastAsia"/>
                <w:sz w:val="18"/>
                <w:szCs w:val="18"/>
              </w:rPr>
              <w:t>第</w:t>
            </w:r>
            <w:r>
              <w:rPr>
                <w:rFonts w:hint="eastAsia"/>
                <w:sz w:val="18"/>
                <w:szCs w:val="18"/>
                <w:u w:val="single"/>
              </w:rPr>
              <w:t>2/3</w:t>
            </w:r>
            <w:r>
              <w:rPr>
                <w:rFonts w:hint="eastAsia"/>
                <w:sz w:val="18"/>
                <w:szCs w:val="18"/>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Align w:val="center"/>
          </w:tcPr>
          <w:p>
            <w:pPr>
              <w:spacing w:line="360" w:lineRule="auto"/>
              <w:rPr>
                <w:sz w:val="18"/>
                <w:szCs w:val="18"/>
              </w:rPr>
            </w:pPr>
            <w:r>
              <w:rPr>
                <w:rFonts w:hint="eastAsia"/>
                <w:sz w:val="18"/>
                <w:szCs w:val="18"/>
              </w:rPr>
              <w:t>学时学分</w:t>
            </w:r>
          </w:p>
        </w:tc>
        <w:tc>
          <w:tcPr>
            <w:tcW w:w="1196" w:type="dxa"/>
            <w:vAlign w:val="center"/>
          </w:tcPr>
          <w:p>
            <w:pPr>
              <w:spacing w:line="360" w:lineRule="auto"/>
              <w:rPr>
                <w:sz w:val="18"/>
                <w:szCs w:val="18"/>
              </w:rPr>
            </w:pPr>
            <w:r>
              <w:rPr>
                <w:rFonts w:hint="eastAsia"/>
                <w:sz w:val="18"/>
                <w:szCs w:val="18"/>
              </w:rPr>
              <w:t>学分：8</w:t>
            </w:r>
          </w:p>
        </w:tc>
        <w:tc>
          <w:tcPr>
            <w:tcW w:w="1515" w:type="dxa"/>
            <w:vAlign w:val="center"/>
          </w:tcPr>
          <w:p>
            <w:pPr>
              <w:spacing w:line="360" w:lineRule="auto"/>
              <w:rPr>
                <w:sz w:val="18"/>
                <w:szCs w:val="18"/>
              </w:rPr>
            </w:pPr>
            <w:r>
              <w:rPr>
                <w:rFonts w:hint="eastAsia"/>
                <w:sz w:val="18"/>
                <w:szCs w:val="18"/>
              </w:rPr>
              <w:t>总学时：128</w:t>
            </w:r>
          </w:p>
        </w:tc>
        <w:tc>
          <w:tcPr>
            <w:tcW w:w="1652" w:type="dxa"/>
            <w:vAlign w:val="center"/>
          </w:tcPr>
          <w:p>
            <w:pPr>
              <w:spacing w:line="360" w:lineRule="auto"/>
              <w:rPr>
                <w:sz w:val="18"/>
                <w:szCs w:val="18"/>
              </w:rPr>
            </w:pPr>
            <w:r>
              <w:rPr>
                <w:rFonts w:hint="eastAsia"/>
                <w:sz w:val="18"/>
                <w:szCs w:val="18"/>
              </w:rPr>
              <w:t>理论学时：128</w:t>
            </w:r>
          </w:p>
        </w:tc>
        <w:tc>
          <w:tcPr>
            <w:tcW w:w="2655" w:type="dxa"/>
            <w:vAlign w:val="center"/>
          </w:tcPr>
          <w:p>
            <w:pPr>
              <w:spacing w:line="360" w:lineRule="auto"/>
              <w:rPr>
                <w:sz w:val="18"/>
                <w:szCs w:val="18"/>
              </w:rPr>
            </w:pPr>
            <w:r>
              <w:rPr>
                <w:rFonts w:hint="eastAsia"/>
                <w:sz w:val="18"/>
                <w:szCs w:val="18"/>
              </w:rPr>
              <w:t>实践学时：0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Align w:val="center"/>
          </w:tcPr>
          <w:p>
            <w:pPr>
              <w:spacing w:line="360" w:lineRule="auto"/>
              <w:rPr>
                <w:sz w:val="18"/>
                <w:szCs w:val="18"/>
              </w:rPr>
            </w:pPr>
            <w:r>
              <w:rPr>
                <w:rFonts w:hint="eastAsia"/>
                <w:sz w:val="18"/>
                <w:szCs w:val="18"/>
              </w:rPr>
              <w:t>先修课程</w:t>
            </w:r>
          </w:p>
        </w:tc>
        <w:tc>
          <w:tcPr>
            <w:tcW w:w="7018" w:type="dxa"/>
            <w:gridSpan w:val="4"/>
            <w:vAlign w:val="center"/>
          </w:tcPr>
          <w:p>
            <w:pPr>
              <w:spacing w:line="360" w:lineRule="auto"/>
              <w:rPr>
                <w:sz w:val="18"/>
                <w:szCs w:val="18"/>
              </w:rPr>
            </w:pPr>
            <w:r>
              <w:rPr>
                <w:rFonts w:hint="eastAsia"/>
                <w:sz w:val="18"/>
                <w:szCs w:val="18"/>
              </w:rPr>
              <w:t>基础会计</w:t>
            </w:r>
          </w:p>
        </w:tc>
      </w:tr>
    </w:tbl>
    <w:p>
      <w:pPr>
        <w:widowControl/>
        <w:spacing w:before="100" w:after="100" w:line="400" w:lineRule="exact"/>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二、课程简介（性质、内容、任务</w:t>
      </w:r>
      <w:r>
        <w:rPr>
          <w:rFonts w:ascii="黑体" w:hAnsi="黑体" w:eastAsia="黑体" w:cs="黑体"/>
          <w:bCs/>
          <w:color w:val="000000"/>
          <w:kern w:val="0"/>
          <w:sz w:val="24"/>
          <w:szCs w:val="24"/>
        </w:rPr>
        <w:t>）</w:t>
      </w:r>
    </w:p>
    <w:p>
      <w:pPr>
        <w:spacing w:before="156" w:beforeLines="50" w:after="156" w:afterLines="50" w:line="400" w:lineRule="exact"/>
        <w:ind w:firstLine="420" w:firstLineChars="200"/>
        <w:rPr>
          <w:rFonts w:ascii="宋体"/>
        </w:rPr>
      </w:pPr>
      <w:r>
        <w:rPr>
          <w:rFonts w:hint="eastAsia" w:ascii="宋体"/>
        </w:rPr>
        <w:t>性质：《中级财务会计》是会计学专业的一门专业核心，是会计学、财务管理、审计学本科专业知识结构中的主体部分，是主干课之一，是一门统设必修课，是《会计学基础》的后续课程。本课程具有专业性、应用性等特点。开设本课程的目的是让学生重点掌握财务会计的基本理论和应用能力，理解和掌握企业财务会计的基本方法和基本技能，力争达到理论与实践的统一。</w:t>
      </w:r>
    </w:p>
    <w:p>
      <w:pPr>
        <w:spacing w:before="156" w:beforeLines="50" w:after="156" w:afterLines="50" w:line="400" w:lineRule="exact"/>
        <w:ind w:firstLine="420" w:firstLineChars="200"/>
        <w:rPr>
          <w:rFonts w:ascii="宋体"/>
        </w:rPr>
      </w:pPr>
      <w:r>
        <w:rPr>
          <w:rFonts w:hint="eastAsia" w:ascii="宋体"/>
        </w:rPr>
        <w:t>内容：本课程主要介绍会计六大要素的确认、计量和报告的基本原理，具体包括：（1）总论，（2）货币资金，（3）存货，（4）固定资产，（5）无形资产及其他长期资产，（6）投资性房地产，（7）金融资产，（8）长期股权投资，（9）非货币性资产交换，（10）资产减值，（11）负债，（12）债务重组，（13）所有者权益，（14）收入、费用和利润，（15）所得税会计和（16）财务报告等内容。</w:t>
      </w:r>
    </w:p>
    <w:p>
      <w:pPr>
        <w:spacing w:before="156" w:beforeLines="50" w:after="156" w:afterLines="50" w:line="400" w:lineRule="exact"/>
        <w:ind w:firstLine="420" w:firstLineChars="200"/>
        <w:rPr>
          <w:rFonts w:ascii="宋体"/>
        </w:rPr>
      </w:pPr>
      <w:r>
        <w:rPr>
          <w:rFonts w:hint="eastAsia" w:ascii="宋体"/>
        </w:rPr>
        <w:t>任务：通过本课程的学习，学生可以了解了解财务会计基本理论知识，熟悉企业的一般业务，掌握会计要素基本业务的核算方法与核算技能，并熟练编制会计报表，具备准确运用财务会计核算方法处理企业日常经济业务、熟练编制会计报表的能力，同时注重培养学生面对企业非日常业务核算时，利用财务核算原理分析和解决问题的能力。</w:t>
      </w:r>
    </w:p>
    <w:p>
      <w:pPr>
        <w:widowControl/>
        <w:spacing w:before="100" w:after="100" w:line="400" w:lineRule="exact"/>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三、课程目标</w:t>
      </w:r>
    </w:p>
    <w:p>
      <w:pPr>
        <w:spacing w:before="156" w:beforeLines="50" w:after="156" w:afterLines="50" w:line="400" w:lineRule="exact"/>
        <w:ind w:firstLine="420" w:firstLineChars="200"/>
        <w:rPr>
          <w:rFonts w:ascii="宋体"/>
        </w:rPr>
      </w:pPr>
      <w:r>
        <w:rPr>
          <w:rFonts w:ascii="宋体"/>
        </w:rPr>
        <w:t>本课程的任务是通过课堂教学和实验教学，使学生获得</w:t>
      </w:r>
      <w:r>
        <w:rPr>
          <w:rFonts w:hint="eastAsia" w:ascii="宋体"/>
        </w:rPr>
        <w:t>财务会计</w:t>
      </w:r>
      <w:r>
        <w:rPr>
          <w:rFonts w:ascii="宋体"/>
        </w:rPr>
        <w:t>领域的基本知识，提高学生分析</w:t>
      </w:r>
      <w:r>
        <w:rPr>
          <w:rFonts w:hint="eastAsia" w:ascii="宋体"/>
        </w:rPr>
        <w:t>和</w:t>
      </w:r>
      <w:r>
        <w:rPr>
          <w:rFonts w:ascii="宋体"/>
        </w:rPr>
        <w:t xml:space="preserve">解 </w:t>
      </w:r>
    </w:p>
    <w:p>
      <w:pPr>
        <w:spacing w:before="156" w:beforeLines="50" w:after="156" w:afterLines="50" w:line="400" w:lineRule="exact"/>
        <w:rPr>
          <w:rFonts w:ascii="宋体"/>
        </w:rPr>
      </w:pPr>
      <w:r>
        <w:rPr>
          <w:rFonts w:ascii="宋体"/>
        </w:rPr>
        <w:t>决</w:t>
      </w:r>
      <w:r>
        <w:rPr>
          <w:rFonts w:hint="eastAsia" w:ascii="宋体"/>
        </w:rPr>
        <w:t>财务会计方面</w:t>
      </w:r>
      <w:r>
        <w:rPr>
          <w:rFonts w:ascii="宋体"/>
        </w:rPr>
        <w:t>问题的能力，支撑专业学习成果中相应指标点的达成。</w:t>
      </w:r>
    </w:p>
    <w:p>
      <w:pPr>
        <w:spacing w:before="156" w:beforeLines="50" w:after="156" w:afterLines="50" w:line="400" w:lineRule="exact"/>
        <w:ind w:firstLine="420" w:firstLineChars="200"/>
        <w:rPr>
          <w:rFonts w:ascii="宋体"/>
          <w:color w:val="0000FF"/>
        </w:rPr>
      </w:pPr>
      <w:r>
        <w:rPr>
          <w:rFonts w:hint="eastAsia" w:ascii="宋体"/>
        </w:rPr>
        <w:t>通过本课程学习，预期学生可以具备以下知识、技能或素养：</w:t>
      </w:r>
      <w:r>
        <w:rPr>
          <w:rFonts w:ascii="宋体"/>
          <w:color w:val="0000FF"/>
        </w:rPr>
        <w:t xml:space="preserve"> </w:t>
      </w:r>
    </w:p>
    <w:p>
      <w:pPr>
        <w:spacing w:before="156" w:beforeLines="50" w:after="156" w:afterLines="50" w:line="400" w:lineRule="exact"/>
        <w:ind w:left="1470" w:leftChars="100" w:hanging="1260" w:hangingChars="600"/>
        <w:rPr>
          <w:rFonts w:ascii="宋体" w:hAnsi="宋体"/>
          <w:szCs w:val="24"/>
        </w:rPr>
      </w:pPr>
      <w:r>
        <w:rPr>
          <w:rFonts w:hint="eastAsia" w:ascii="宋体" w:hAnsi="宋体"/>
          <w:szCs w:val="24"/>
        </w:rPr>
        <w:t>课程目标1（L01）：通过对本课程六大要素分章节的专题讲解，使学生全面、系统了解财务会计基本理论框架，理解财务核算的原理，掌握会计六日常业务的核算方法与技能，从而觉具备从事日常财务会计的工作能力。</w:t>
      </w:r>
    </w:p>
    <w:p>
      <w:pPr>
        <w:spacing w:before="156" w:beforeLines="50" w:after="156" w:afterLines="50" w:line="400" w:lineRule="exact"/>
        <w:ind w:left="1470" w:leftChars="100" w:hanging="1260" w:hangingChars="600"/>
        <w:rPr>
          <w:rFonts w:ascii="宋体" w:hAnsi="宋体"/>
          <w:szCs w:val="24"/>
        </w:rPr>
      </w:pPr>
      <w:r>
        <w:rPr>
          <w:rFonts w:hint="eastAsia" w:ascii="宋体" w:hAnsi="宋体"/>
          <w:szCs w:val="24"/>
        </w:rPr>
        <w:t>课程目标2（L02）：通过本课程的非货币性资产交换、债务重组以及所得税会计的讲解，使学生能够掌握非货币性资产交换及债务重组的会计处理，理解所得税费用的核算，帮助学生了解企业特殊业务的核算方法与技能，从而具备从事复杂和较难的财务会计的工作能力。</w:t>
      </w:r>
    </w:p>
    <w:p>
      <w:pPr>
        <w:spacing w:before="156" w:beforeLines="50" w:after="156" w:afterLines="50" w:line="400" w:lineRule="exact"/>
        <w:ind w:left="1470" w:leftChars="100" w:hanging="1260" w:hangingChars="600"/>
        <w:rPr>
          <w:rFonts w:ascii="宋体" w:hAnsi="宋体"/>
          <w:szCs w:val="24"/>
        </w:rPr>
      </w:pPr>
      <w:r>
        <w:rPr>
          <w:rFonts w:hint="eastAsia" w:ascii="宋体" w:hAnsi="宋体"/>
          <w:szCs w:val="24"/>
        </w:rPr>
        <w:t>课程目标3（L03）：通过财务报告的讲解，帮助学生了解财务报告的内容、意义和编制要求；理解资产负债表、利润表、现金流量表等会计报表的性质、作用、结构以及编制方法。</w:t>
      </w:r>
      <w:r>
        <w:rPr>
          <w:rFonts w:ascii="宋体" w:hAnsi="宋体"/>
          <w:szCs w:val="24"/>
        </w:rPr>
        <w:t xml:space="preserve"> </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5130"/>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tcPr>
          <w:p>
            <w:pPr>
              <w:spacing w:line="400" w:lineRule="exact"/>
              <w:rPr>
                <w:rFonts w:ascii="宋体" w:hAnsi="宋体"/>
                <w:b/>
                <w:bCs/>
                <w:sz w:val="18"/>
                <w:szCs w:val="18"/>
              </w:rPr>
            </w:pPr>
            <w:r>
              <w:rPr>
                <w:rFonts w:hint="eastAsia" w:ascii="宋体" w:hAnsi="宋体"/>
                <w:b/>
                <w:bCs/>
                <w:sz w:val="18"/>
                <w:szCs w:val="18"/>
              </w:rPr>
              <w:t>课程目标</w:t>
            </w:r>
          </w:p>
        </w:tc>
        <w:tc>
          <w:tcPr>
            <w:tcW w:w="5130" w:type="dxa"/>
          </w:tcPr>
          <w:p>
            <w:pPr>
              <w:spacing w:line="400" w:lineRule="exact"/>
              <w:rPr>
                <w:rFonts w:ascii="宋体" w:hAnsi="宋体"/>
                <w:b/>
                <w:bCs/>
                <w:sz w:val="18"/>
                <w:szCs w:val="18"/>
              </w:rPr>
            </w:pPr>
            <w:r>
              <w:rPr>
                <w:rFonts w:hint="eastAsia" w:ascii="宋体" w:hAnsi="宋体"/>
                <w:b/>
                <w:bCs/>
                <w:sz w:val="18"/>
                <w:szCs w:val="18"/>
              </w:rPr>
              <w:t>支撑毕业要求指标点及指标内涵</w:t>
            </w:r>
          </w:p>
        </w:tc>
        <w:tc>
          <w:tcPr>
            <w:tcW w:w="2006" w:type="dxa"/>
          </w:tcPr>
          <w:p>
            <w:pPr>
              <w:spacing w:line="400" w:lineRule="exact"/>
              <w:rPr>
                <w:rFonts w:ascii="宋体" w:hAnsi="宋体"/>
                <w:b/>
                <w:bCs/>
                <w:sz w:val="18"/>
                <w:szCs w:val="18"/>
              </w:rPr>
            </w:pPr>
            <w:r>
              <w:rPr>
                <w:rFonts w:hint="eastAsia" w:ascii="宋体" w:hAnsi="宋体"/>
                <w:b/>
                <w:bCs/>
                <w:sz w:val="18"/>
                <w:szCs w:val="18"/>
              </w:rPr>
              <w:t>支撑毕业要求指标点及贡献度（H/M/L）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tcPr>
          <w:p>
            <w:pPr>
              <w:spacing w:line="400" w:lineRule="exact"/>
              <w:rPr>
                <w:rFonts w:ascii="宋体" w:hAnsi="宋体"/>
                <w:sz w:val="18"/>
                <w:szCs w:val="18"/>
              </w:rPr>
            </w:pPr>
            <w:r>
              <w:rPr>
                <w:rFonts w:hint="eastAsia" w:ascii="宋体" w:hAnsi="宋体"/>
                <w:sz w:val="18"/>
                <w:szCs w:val="18"/>
              </w:rPr>
              <w:t>L01</w:t>
            </w:r>
          </w:p>
        </w:tc>
        <w:tc>
          <w:tcPr>
            <w:tcW w:w="5130" w:type="dxa"/>
          </w:tcPr>
          <w:p>
            <w:pPr>
              <w:widowControl/>
              <w:jc w:val="left"/>
              <w:rPr>
                <w:rFonts w:ascii="宋体" w:hAnsi="宋体" w:cs="宋体"/>
                <w:kern w:val="0"/>
                <w:sz w:val="18"/>
                <w:szCs w:val="18"/>
                <w:lang w:bidi="ar"/>
              </w:rPr>
            </w:pPr>
            <w:r>
              <w:rPr>
                <w:kern w:val="0"/>
                <w:sz w:val="18"/>
                <w:szCs w:val="18"/>
                <w:lang w:bidi="ar"/>
              </w:rPr>
              <w:t>4</w:t>
            </w:r>
            <w:r>
              <w:rPr>
                <w:rFonts w:hint="eastAsia" w:ascii="宋体" w:hAnsi="宋体" w:cs="宋体"/>
                <w:kern w:val="0"/>
                <w:sz w:val="18"/>
                <w:szCs w:val="18"/>
                <w:lang w:bidi="ar"/>
              </w:rPr>
              <w:t>全系统掌握通识教育及学科专业知识，了解学科发展前沿，并能够将所学知识用于解释本专业领域现象。能够应用本学科基本原理、方法对本专业领域问题进行判断、分析和研究，得出独立结论，提出相应对策和建议。能够恰当使用现代工具对本专业领域信息资料进行收集和分析处理，完成专业任务。</w:t>
            </w:r>
          </w:p>
        </w:tc>
        <w:tc>
          <w:tcPr>
            <w:tcW w:w="2006" w:type="dxa"/>
          </w:tcPr>
          <w:p>
            <w:pPr>
              <w:spacing w:line="400" w:lineRule="exact"/>
              <w:jc w:val="center"/>
              <w:rPr>
                <w:rFonts w:ascii="宋体" w:hAnsi="宋体"/>
                <w:sz w:val="18"/>
                <w:szCs w:val="18"/>
              </w:rPr>
            </w:pPr>
            <w:r>
              <w:rPr>
                <w:rFonts w:hint="eastAsia" w:ascii="宋体" w:hAnsi="宋体"/>
                <w:sz w:val="18"/>
                <w:szCs w:val="18"/>
              </w:rPr>
              <w:t>4/</w:t>
            </w:r>
            <w:r>
              <w:rPr>
                <w:rFonts w:ascii="宋体" w:hAnsi="宋体"/>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tcPr>
          <w:p>
            <w:pPr>
              <w:spacing w:line="400" w:lineRule="exact"/>
              <w:rPr>
                <w:rFonts w:ascii="宋体" w:hAnsi="宋体"/>
                <w:sz w:val="18"/>
                <w:szCs w:val="18"/>
              </w:rPr>
            </w:pPr>
            <w:r>
              <w:rPr>
                <w:rFonts w:hint="eastAsia" w:ascii="宋体" w:hAnsi="宋体"/>
                <w:sz w:val="18"/>
                <w:szCs w:val="18"/>
              </w:rPr>
              <w:t>L02</w:t>
            </w:r>
          </w:p>
        </w:tc>
        <w:tc>
          <w:tcPr>
            <w:tcW w:w="5130" w:type="dxa"/>
          </w:tcPr>
          <w:p>
            <w:pPr>
              <w:widowControl/>
              <w:jc w:val="left"/>
              <w:rPr>
                <w:rFonts w:ascii="宋体" w:hAnsi="宋体" w:cs="宋体"/>
                <w:kern w:val="0"/>
                <w:sz w:val="18"/>
                <w:szCs w:val="18"/>
                <w:lang w:bidi="ar"/>
              </w:rPr>
            </w:pPr>
            <w:r>
              <w:rPr>
                <w:kern w:val="0"/>
                <w:sz w:val="18"/>
                <w:szCs w:val="18"/>
                <w:lang w:bidi="ar"/>
              </w:rPr>
              <w:t>4</w:t>
            </w:r>
            <w:r>
              <w:rPr>
                <w:rFonts w:hint="eastAsia" w:ascii="宋体" w:hAnsi="宋体" w:cs="宋体"/>
                <w:kern w:val="0"/>
                <w:sz w:val="18"/>
                <w:szCs w:val="18"/>
                <w:lang w:bidi="ar"/>
              </w:rPr>
              <w:t>系统掌握通识教育及学科专业知识，了解学科发展前沿，并能够将所学知识用于解释本专业领域现象。能够应用本学科基本原理、方法对本专业领域问题进行判断、分析和研究，得出独立结论，提出相应对策和建议。能够恰当使用现代工具对本专业领域信息资料进行收集和分析处理，完成专业任务。</w:t>
            </w:r>
          </w:p>
        </w:tc>
        <w:tc>
          <w:tcPr>
            <w:tcW w:w="2006" w:type="dxa"/>
          </w:tcPr>
          <w:p>
            <w:pPr>
              <w:spacing w:line="400" w:lineRule="exact"/>
              <w:jc w:val="center"/>
              <w:rPr>
                <w:rFonts w:ascii="宋体" w:hAnsi="宋体"/>
                <w:sz w:val="18"/>
                <w:szCs w:val="18"/>
              </w:rPr>
            </w:pPr>
            <w:r>
              <w:rPr>
                <w:rFonts w:ascii="宋体" w:hAnsi="宋体"/>
                <w:sz w:val="18"/>
                <w:szCs w:val="18"/>
              </w:rPr>
              <w:t>4</w:t>
            </w:r>
            <w:r>
              <w:rPr>
                <w:rFonts w:hint="eastAsia" w:ascii="宋体" w:hAnsi="宋体"/>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tcPr>
          <w:p>
            <w:pPr>
              <w:spacing w:line="400" w:lineRule="exact"/>
              <w:rPr>
                <w:rFonts w:ascii="宋体" w:hAnsi="宋体"/>
                <w:sz w:val="18"/>
                <w:szCs w:val="18"/>
              </w:rPr>
            </w:pPr>
            <w:r>
              <w:rPr>
                <w:rFonts w:hint="eastAsia" w:ascii="宋体" w:hAnsi="宋体"/>
                <w:sz w:val="18"/>
                <w:szCs w:val="18"/>
              </w:rPr>
              <w:t>L03</w:t>
            </w:r>
          </w:p>
        </w:tc>
        <w:tc>
          <w:tcPr>
            <w:tcW w:w="5130" w:type="dxa"/>
          </w:tcPr>
          <w:p>
            <w:pPr>
              <w:widowControl/>
              <w:jc w:val="left"/>
              <w:rPr>
                <w:rFonts w:ascii="宋体" w:hAnsi="宋体"/>
                <w:color w:val="0000FF"/>
                <w:sz w:val="18"/>
                <w:szCs w:val="18"/>
              </w:rPr>
            </w:pPr>
            <w:r>
              <w:rPr>
                <w:kern w:val="0"/>
                <w:sz w:val="18"/>
                <w:szCs w:val="18"/>
                <w:lang w:bidi="ar"/>
              </w:rPr>
              <w:t>4</w:t>
            </w:r>
            <w:r>
              <w:rPr>
                <w:rFonts w:hint="eastAsia" w:ascii="宋体" w:hAnsi="宋体" w:cs="宋体"/>
                <w:kern w:val="0"/>
                <w:sz w:val="18"/>
                <w:szCs w:val="18"/>
                <w:lang w:bidi="ar"/>
              </w:rPr>
              <w:t>系统掌握通识教育及学科专业知识，了解学科发展前沿，并能够将所学知识用于解释本专业领域现象。能够应用本学科基本原理、方法对本专业领域问题进行判断、分析和研究，得出独立结论，提出相应对策和建议。能够恰当使用现代工具对本专业领域信息资料进行收集和分析处理，完成专业任务。</w:t>
            </w:r>
          </w:p>
        </w:tc>
        <w:tc>
          <w:tcPr>
            <w:tcW w:w="2006" w:type="dxa"/>
          </w:tcPr>
          <w:p>
            <w:pPr>
              <w:spacing w:line="400" w:lineRule="exact"/>
              <w:jc w:val="center"/>
              <w:rPr>
                <w:rFonts w:ascii="宋体" w:hAnsi="宋体"/>
                <w:sz w:val="18"/>
                <w:szCs w:val="18"/>
              </w:rPr>
            </w:pPr>
            <w:r>
              <w:rPr>
                <w:rFonts w:ascii="宋体" w:hAnsi="宋体"/>
                <w:sz w:val="18"/>
                <w:szCs w:val="18"/>
              </w:rPr>
              <w:t>4</w:t>
            </w:r>
            <w:r>
              <w:rPr>
                <w:rFonts w:hint="eastAsia" w:ascii="宋体" w:hAnsi="宋体"/>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tcPr>
          <w:p>
            <w:pPr>
              <w:spacing w:line="400" w:lineRule="exact"/>
              <w:rPr>
                <w:rFonts w:ascii="宋体" w:hAnsi="宋体"/>
                <w:sz w:val="18"/>
                <w:szCs w:val="18"/>
              </w:rPr>
            </w:pPr>
            <w:r>
              <w:rPr>
                <w:rFonts w:hint="eastAsia" w:ascii="宋体" w:hAnsi="宋体"/>
                <w:sz w:val="18"/>
                <w:szCs w:val="18"/>
              </w:rPr>
              <w:t>L03</w:t>
            </w:r>
          </w:p>
        </w:tc>
        <w:tc>
          <w:tcPr>
            <w:tcW w:w="5130" w:type="dxa"/>
          </w:tcPr>
          <w:p>
            <w:pPr>
              <w:widowControl/>
              <w:jc w:val="left"/>
              <w:rPr>
                <w:rFonts w:ascii="宋体" w:hAnsi="宋体"/>
                <w:color w:val="0000FF"/>
                <w:sz w:val="18"/>
                <w:szCs w:val="18"/>
              </w:rPr>
            </w:pPr>
            <w:r>
              <w:rPr>
                <w:kern w:val="0"/>
                <w:sz w:val="18"/>
                <w:szCs w:val="18"/>
                <w:lang w:bidi="ar"/>
              </w:rPr>
              <w:t>6</w:t>
            </w:r>
            <w:r>
              <w:rPr>
                <w:rFonts w:hint="eastAsia" w:ascii="宋体" w:hAnsi="宋体" w:cs="宋体"/>
                <w:kern w:val="0"/>
                <w:sz w:val="18"/>
                <w:szCs w:val="18"/>
                <w:lang w:bidi="ar"/>
              </w:rPr>
              <w:t>具有人文素养、科学精神和社会责任感，熟悉会计专业领域法律、法规及相关政策，能够理解并遵守社会公德、会计职业道德和职业规范。</w:t>
            </w:r>
          </w:p>
        </w:tc>
        <w:tc>
          <w:tcPr>
            <w:tcW w:w="2006" w:type="dxa"/>
          </w:tcPr>
          <w:p>
            <w:pPr>
              <w:spacing w:line="400" w:lineRule="exact"/>
              <w:jc w:val="center"/>
              <w:rPr>
                <w:rFonts w:ascii="宋体" w:hAnsi="宋体"/>
                <w:sz w:val="18"/>
                <w:szCs w:val="18"/>
              </w:rPr>
            </w:pPr>
            <w:r>
              <w:rPr>
                <w:rFonts w:ascii="宋体" w:hAnsi="宋体"/>
                <w:sz w:val="18"/>
                <w:szCs w:val="18"/>
              </w:rPr>
              <w:t>6/M</w:t>
            </w:r>
          </w:p>
        </w:tc>
      </w:tr>
    </w:tbl>
    <w:p>
      <w:pPr>
        <w:spacing w:line="400" w:lineRule="exact"/>
        <w:ind w:firstLine="840" w:firstLineChars="400"/>
        <w:rPr>
          <w:rFonts w:ascii="宋体" w:hAnsi="宋体"/>
          <w:color w:val="0000FF"/>
          <w:szCs w:val="24"/>
        </w:rPr>
      </w:pPr>
      <w:r>
        <w:rPr>
          <w:rFonts w:hint="eastAsia" w:ascii="宋体"/>
          <w:color w:val="0000FF"/>
        </w:rPr>
        <w:t>(说明：将</w:t>
      </w:r>
      <w:r>
        <w:rPr>
          <w:rFonts w:hint="eastAsia" w:ascii="宋体" w:hAnsi="宋体"/>
          <w:color w:val="0000FF"/>
          <w:szCs w:val="24"/>
        </w:rPr>
        <w:t>通用标准中的毕业要求指标点及指标内涵与本专业知识和能力相结合进行描述； H-高支撑、M-中支撑、L-低支撑）</w:t>
      </w:r>
    </w:p>
    <w:p>
      <w:pPr>
        <w:widowControl/>
        <w:numPr>
          <w:ilvl w:val="0"/>
          <w:numId w:val="1"/>
        </w:numPr>
        <w:spacing w:before="100" w:after="100" w:line="400" w:lineRule="exact"/>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教学内容及要求</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2784"/>
        <w:gridCol w:w="2595"/>
        <w:gridCol w:w="1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教学单元一：总论</w:t>
            </w:r>
          </w:p>
        </w:tc>
        <w:tc>
          <w:tcPr>
            <w:tcW w:w="2595" w:type="dxa"/>
            <w:vAlign w:val="center"/>
          </w:tcPr>
          <w:p>
            <w:pPr>
              <w:pStyle w:val="20"/>
              <w:widowControl w:val="0"/>
              <w:jc w:val="both"/>
              <w:rPr>
                <w:rFonts w:ascii="黑体" w:hAnsi="黑体" w:cs="黑体"/>
                <w:kern w:val="2"/>
                <w:sz w:val="18"/>
                <w:szCs w:val="18"/>
              </w:rPr>
            </w:pPr>
            <w:r>
              <w:rPr>
                <w:rFonts w:hint="eastAsia"/>
                <w:sz w:val="18"/>
                <w:szCs w:val="18"/>
              </w:rPr>
              <w:t xml:space="preserve">学时： 4    </w:t>
            </w:r>
          </w:p>
        </w:tc>
        <w:tc>
          <w:tcPr>
            <w:tcW w:w="1867" w:type="dxa"/>
            <w:vAlign w:val="center"/>
          </w:tcPr>
          <w:p>
            <w:pPr>
              <w:pStyle w:val="20"/>
              <w:widowControl w:val="0"/>
              <w:jc w:val="both"/>
              <w:rPr>
                <w:sz w:val="18"/>
                <w:szCs w:val="18"/>
              </w:rPr>
            </w:pPr>
            <w:r>
              <w:rPr>
                <w:rFonts w:hint="eastAsia"/>
                <w:sz w:val="18"/>
                <w:szCs w:val="18"/>
              </w:rPr>
              <w:t>支撑课程目标：</w:t>
            </w:r>
            <w:r>
              <w:rPr>
                <w:rFonts w:hint="eastAsia" w:ascii="宋体" w:hAnsi="宋体"/>
                <w:sz w:val="18"/>
                <w:szCs w:val="20"/>
              </w:rPr>
              <w:t>L01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1155" w:type="dxa"/>
            <w:vAlign w:val="center"/>
          </w:tcPr>
          <w:p>
            <w:pPr>
              <w:pStyle w:val="20"/>
              <w:widowControl w:val="0"/>
              <w:jc w:val="both"/>
              <w:rPr>
                <w:rFonts w:ascii="宋体" w:hAnsi="宋体" w:cs="宋体"/>
                <w:sz w:val="18"/>
                <w:szCs w:val="18"/>
              </w:rPr>
            </w:pPr>
            <w:r>
              <w:rPr>
                <w:rFonts w:hint="eastAsia" w:ascii="宋体" w:hAnsi="宋体" w:cs="宋体"/>
                <w:sz w:val="18"/>
                <w:szCs w:val="18"/>
              </w:rPr>
              <w:t>主要内容</w:t>
            </w:r>
          </w:p>
        </w:tc>
        <w:tc>
          <w:tcPr>
            <w:tcW w:w="7246" w:type="dxa"/>
            <w:gridSpan w:val="3"/>
          </w:tcPr>
          <w:p>
            <w:pPr>
              <w:pStyle w:val="20"/>
              <w:widowControl w:val="0"/>
              <w:jc w:val="both"/>
              <w:rPr>
                <w:sz w:val="18"/>
                <w:szCs w:val="18"/>
              </w:rPr>
            </w:pPr>
            <w:r>
              <w:rPr>
                <w:rFonts w:hint="eastAsia"/>
                <w:sz w:val="18"/>
                <w:szCs w:val="18"/>
              </w:rPr>
              <w:t>主要内容：1.财务会计概述；2.企业会计准则；3.会计的基本假设和确认与计量；4.财务报告要素</w:t>
            </w:r>
          </w:p>
          <w:p>
            <w:pPr>
              <w:pStyle w:val="20"/>
              <w:widowControl w:val="0"/>
              <w:jc w:val="both"/>
              <w:rPr>
                <w:sz w:val="18"/>
                <w:szCs w:val="18"/>
              </w:rPr>
            </w:pPr>
            <w:r>
              <w:rPr>
                <w:rFonts w:hint="eastAsia"/>
                <w:sz w:val="18"/>
                <w:szCs w:val="18"/>
              </w:rPr>
              <w:t>教学重点：1.会计的基本假设和确认与计量；2.财务报告要素</w:t>
            </w:r>
          </w:p>
          <w:p>
            <w:pPr>
              <w:pStyle w:val="20"/>
              <w:widowControl w:val="0"/>
              <w:jc w:val="both"/>
              <w:rPr>
                <w:sz w:val="18"/>
                <w:szCs w:val="18"/>
              </w:rPr>
            </w:pPr>
            <w:r>
              <w:rPr>
                <w:rFonts w:hint="eastAsia"/>
                <w:sz w:val="18"/>
                <w:szCs w:val="18"/>
              </w:rPr>
              <w:t>教学难点：无</w:t>
            </w:r>
          </w:p>
          <w:p>
            <w:pPr>
              <w:pStyle w:val="20"/>
              <w:widowControl w:val="0"/>
              <w:jc w:val="both"/>
              <w:rPr>
                <w:rFonts w:ascii="宋体" w:hAnsi="宋体" w:cs="宋体"/>
                <w:sz w:val="18"/>
                <w:szCs w:val="18"/>
              </w:rPr>
            </w:pPr>
            <w:r>
              <w:rPr>
                <w:rFonts w:hint="eastAsia"/>
                <w:sz w:val="18"/>
                <w:szCs w:val="18"/>
              </w:rPr>
              <w:t>思政融入点：通过讲解历史上孔子、孟子、韩非子对会计的观点，融入我国传统文化的内容：会计思想与行为的起源，社会经济基础与会计，复式记账的起源与传播，中国古代经典的“龙门账”、“四柱清册”的记账方法等。让学生在了解我国悠久文明的同时，增强学生的文化自信，树立民族文化自信心和爱国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sz w:val="18"/>
                <w:szCs w:val="18"/>
              </w:rPr>
            </w:pPr>
            <w:r>
              <w:rPr>
                <w:rFonts w:hint="eastAsia"/>
                <w:sz w:val="18"/>
                <w:szCs w:val="18"/>
              </w:rPr>
              <w:t>教学方式</w:t>
            </w:r>
          </w:p>
        </w:tc>
        <w:tc>
          <w:tcPr>
            <w:tcW w:w="7246" w:type="dxa"/>
            <w:gridSpan w:val="3"/>
          </w:tcPr>
          <w:p>
            <w:pPr>
              <w:pStyle w:val="20"/>
              <w:rPr>
                <w:sz w:val="18"/>
                <w:szCs w:val="18"/>
              </w:rPr>
            </w:pPr>
            <w:r>
              <w:rPr>
                <w:rFonts w:hint="eastAsia"/>
                <w:sz w:val="18"/>
                <w:szCs w:val="18"/>
              </w:rPr>
              <w:t>1.讲授法：教师讲授课程主要内容，帮助学生构建出完整的知识体系，将琐碎的知识点串联起来，帮助学生更好的掌握所学知识。</w:t>
            </w:r>
          </w:p>
          <w:p>
            <w:pPr>
              <w:jc w:val="left"/>
              <w:rPr>
                <w:rFonts w:ascii="黑体" w:hAnsi="黑体" w:eastAsia="黑体" w:cs="黑体"/>
                <w:sz w:val="18"/>
                <w:szCs w:val="18"/>
              </w:rPr>
            </w:pPr>
            <w:r>
              <w:rPr>
                <w:rFonts w:hint="eastAsia"/>
                <w:sz w:val="18"/>
                <w:szCs w:val="18"/>
              </w:rPr>
              <w:t>2.案例教学法+小组讨论法：通过“蓝田股份有限公司财务虚假报告事件”实例，让学生会计信息质量要求，了解会计责任与审计责任，提升会计职业道德。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教学单元二：货币资金</w:t>
            </w:r>
          </w:p>
        </w:tc>
        <w:tc>
          <w:tcPr>
            <w:tcW w:w="2595" w:type="dxa"/>
            <w:vAlign w:val="center"/>
          </w:tcPr>
          <w:p>
            <w:pPr>
              <w:pStyle w:val="20"/>
              <w:widowControl w:val="0"/>
              <w:jc w:val="both"/>
              <w:rPr>
                <w:rFonts w:ascii="黑体" w:hAnsi="黑体" w:cs="黑体"/>
                <w:kern w:val="2"/>
                <w:sz w:val="18"/>
                <w:szCs w:val="18"/>
              </w:rPr>
            </w:pPr>
            <w:r>
              <w:rPr>
                <w:rFonts w:hint="eastAsia"/>
                <w:sz w:val="18"/>
                <w:szCs w:val="18"/>
              </w:rPr>
              <w:t xml:space="preserve">学时：4    </w:t>
            </w:r>
          </w:p>
        </w:tc>
        <w:tc>
          <w:tcPr>
            <w:tcW w:w="1867" w:type="dxa"/>
            <w:vAlign w:val="center"/>
          </w:tcPr>
          <w:p>
            <w:pPr>
              <w:pStyle w:val="20"/>
              <w:widowControl w:val="0"/>
              <w:jc w:val="both"/>
              <w:rPr>
                <w:sz w:val="18"/>
                <w:szCs w:val="18"/>
              </w:rPr>
            </w:pPr>
            <w:r>
              <w:rPr>
                <w:rFonts w:hint="eastAsia"/>
                <w:sz w:val="18"/>
                <w:szCs w:val="18"/>
              </w:rPr>
              <w:t>支撑课程目标：</w:t>
            </w:r>
            <w:r>
              <w:rPr>
                <w:rFonts w:hint="eastAsia" w:ascii="宋体" w:hAnsi="宋体"/>
                <w:sz w:val="18"/>
                <w:szCs w:val="20"/>
              </w:rPr>
              <w:t>L01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55" w:type="dxa"/>
            <w:vAlign w:val="center"/>
          </w:tcPr>
          <w:p>
            <w:pPr>
              <w:pStyle w:val="20"/>
              <w:widowControl w:val="0"/>
              <w:jc w:val="both"/>
              <w:rPr>
                <w:sz w:val="18"/>
                <w:szCs w:val="18"/>
              </w:rPr>
            </w:pPr>
            <w:r>
              <w:rPr>
                <w:rFonts w:hint="eastAsia"/>
                <w:sz w:val="18"/>
                <w:szCs w:val="18"/>
              </w:rPr>
              <w:t>主要内容</w:t>
            </w:r>
            <w:r>
              <w:rPr>
                <w:rFonts w:hint="eastAsia" w:ascii="宋体" w:hAnsi="宋体" w:cs="宋体"/>
                <w:sz w:val="18"/>
                <w:szCs w:val="18"/>
              </w:rPr>
              <w:t>（注明重、难点）</w:t>
            </w:r>
          </w:p>
        </w:tc>
        <w:tc>
          <w:tcPr>
            <w:tcW w:w="7246" w:type="dxa"/>
            <w:gridSpan w:val="3"/>
          </w:tcPr>
          <w:p>
            <w:pPr>
              <w:pStyle w:val="20"/>
              <w:widowControl w:val="0"/>
              <w:jc w:val="both"/>
              <w:rPr>
                <w:sz w:val="18"/>
                <w:szCs w:val="18"/>
              </w:rPr>
            </w:pPr>
            <w:r>
              <w:rPr>
                <w:rFonts w:hint="eastAsia"/>
                <w:sz w:val="18"/>
                <w:szCs w:val="18"/>
              </w:rPr>
              <w:t>主要内容：1.库存现金；2.银行存款；3.其他货币资金</w:t>
            </w:r>
          </w:p>
          <w:p>
            <w:pPr>
              <w:pStyle w:val="20"/>
              <w:widowControl w:val="0"/>
              <w:jc w:val="both"/>
              <w:rPr>
                <w:sz w:val="18"/>
                <w:szCs w:val="18"/>
              </w:rPr>
            </w:pPr>
            <w:r>
              <w:rPr>
                <w:rFonts w:hint="eastAsia"/>
                <w:sz w:val="18"/>
                <w:szCs w:val="18"/>
              </w:rPr>
              <w:t>教学重点：货币资金的管理与控制及银行存款的核算</w:t>
            </w:r>
          </w:p>
          <w:p>
            <w:pPr>
              <w:pStyle w:val="20"/>
              <w:widowControl w:val="0"/>
              <w:jc w:val="both"/>
              <w:rPr>
                <w:sz w:val="18"/>
                <w:szCs w:val="18"/>
              </w:rPr>
            </w:pPr>
            <w:r>
              <w:rPr>
                <w:rFonts w:hint="eastAsia"/>
                <w:sz w:val="18"/>
                <w:szCs w:val="18"/>
              </w:rPr>
              <w:t>教学难点：银行转账结算方式的具体运用</w:t>
            </w:r>
          </w:p>
          <w:p>
            <w:pPr>
              <w:pStyle w:val="20"/>
              <w:widowControl w:val="0"/>
              <w:jc w:val="both"/>
              <w:rPr>
                <w:sz w:val="18"/>
                <w:szCs w:val="18"/>
              </w:rPr>
            </w:pPr>
            <w:r>
              <w:rPr>
                <w:rFonts w:hint="eastAsia"/>
                <w:sz w:val="18"/>
                <w:szCs w:val="18"/>
              </w:rPr>
              <w:t>思政融入点：通过挪用公款的案例展开讨论，培养学生崇高的操守，以及遵纪守法的法制观念；社会主义核心价值观“守法、诚信、敬业”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sz w:val="18"/>
                <w:szCs w:val="18"/>
              </w:rPr>
            </w:pPr>
            <w:r>
              <w:rPr>
                <w:rFonts w:hint="eastAsia"/>
                <w:sz w:val="18"/>
                <w:szCs w:val="18"/>
              </w:rPr>
              <w:t>教学方式</w:t>
            </w:r>
          </w:p>
        </w:tc>
        <w:tc>
          <w:tcPr>
            <w:tcW w:w="7246" w:type="dxa"/>
            <w:gridSpan w:val="3"/>
          </w:tcPr>
          <w:p>
            <w:pPr>
              <w:pStyle w:val="20"/>
              <w:widowControl w:val="0"/>
              <w:jc w:val="both"/>
              <w:rPr>
                <w:sz w:val="18"/>
                <w:szCs w:val="18"/>
              </w:rPr>
            </w:pPr>
            <w:r>
              <w:rPr>
                <w:rFonts w:hint="eastAsia"/>
                <w:sz w:val="18"/>
                <w:szCs w:val="18"/>
              </w:rPr>
              <w:t>1.提问法（翻转教学法）：通过提问，查验学生线上学习效果。</w:t>
            </w:r>
          </w:p>
          <w:p>
            <w:pPr>
              <w:pStyle w:val="20"/>
              <w:widowControl w:val="0"/>
              <w:jc w:val="both"/>
              <w:rPr>
                <w:sz w:val="18"/>
                <w:szCs w:val="18"/>
              </w:rPr>
            </w:pPr>
            <w:r>
              <w:rPr>
                <w:rFonts w:hint="eastAsia"/>
                <w:sz w:val="18"/>
                <w:szCs w:val="18"/>
              </w:rPr>
              <w:t>2.讲授法：通过教师讲解，帮助学生掌握重难知识点。</w:t>
            </w:r>
          </w:p>
          <w:p>
            <w:pPr>
              <w:pStyle w:val="20"/>
              <w:widowControl w:val="0"/>
              <w:jc w:val="both"/>
              <w:rPr>
                <w:sz w:val="18"/>
                <w:szCs w:val="18"/>
              </w:rPr>
            </w:pPr>
            <w:r>
              <w:rPr>
                <w:rFonts w:hint="eastAsia"/>
                <w:sz w:val="18"/>
                <w:szCs w:val="18"/>
              </w:rPr>
              <w:t>3.案例教学法：重视学生的参与性，加强师生的共同探讨与互动。</w:t>
            </w:r>
          </w:p>
          <w:p>
            <w:pPr>
              <w:jc w:val="left"/>
              <w:rPr>
                <w:rFonts w:ascii="黑体" w:hAnsi="黑体" w:eastAsia="黑体" w:cs="黑体"/>
                <w:sz w:val="18"/>
                <w:szCs w:val="18"/>
              </w:rPr>
            </w:pPr>
            <w:r>
              <w:rPr>
                <w:rFonts w:hint="eastAsia"/>
                <w:sz w:val="18"/>
                <w:szCs w:val="18"/>
              </w:rPr>
              <w:t>4.直观演示法：通过播放票据结算实操视频，让学生通过观看获得感性认识。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教学单元三：存货</w:t>
            </w:r>
          </w:p>
        </w:tc>
        <w:tc>
          <w:tcPr>
            <w:tcW w:w="2595" w:type="dxa"/>
            <w:vAlign w:val="center"/>
          </w:tcPr>
          <w:p>
            <w:pPr>
              <w:pStyle w:val="20"/>
              <w:widowControl w:val="0"/>
              <w:jc w:val="both"/>
              <w:rPr>
                <w:rFonts w:ascii="黑体" w:hAnsi="黑体" w:eastAsia="黑体" w:cs="黑体"/>
                <w:kern w:val="2"/>
                <w:sz w:val="18"/>
                <w:szCs w:val="18"/>
              </w:rPr>
            </w:pPr>
            <w:r>
              <w:rPr>
                <w:rFonts w:hint="eastAsia"/>
                <w:sz w:val="18"/>
                <w:szCs w:val="18"/>
              </w:rPr>
              <w:t>学时：10</w:t>
            </w:r>
          </w:p>
        </w:tc>
        <w:tc>
          <w:tcPr>
            <w:tcW w:w="1867" w:type="dxa"/>
            <w:vAlign w:val="center"/>
          </w:tcPr>
          <w:p>
            <w:pPr>
              <w:pStyle w:val="20"/>
              <w:widowControl w:val="0"/>
              <w:jc w:val="both"/>
              <w:rPr>
                <w:sz w:val="18"/>
                <w:szCs w:val="18"/>
              </w:rPr>
            </w:pPr>
            <w:r>
              <w:rPr>
                <w:rFonts w:hint="eastAsia"/>
                <w:sz w:val="18"/>
                <w:szCs w:val="18"/>
              </w:rPr>
              <w:t>支撑课程目标：</w:t>
            </w:r>
            <w:r>
              <w:rPr>
                <w:rFonts w:hint="eastAsia" w:ascii="宋体" w:hAnsi="宋体"/>
                <w:sz w:val="18"/>
                <w:szCs w:val="20"/>
              </w:rPr>
              <w:t>L01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55" w:type="dxa"/>
            <w:vAlign w:val="center"/>
          </w:tcPr>
          <w:p>
            <w:pPr>
              <w:pStyle w:val="20"/>
              <w:widowControl w:val="0"/>
              <w:jc w:val="both"/>
              <w:rPr>
                <w:sz w:val="18"/>
                <w:szCs w:val="18"/>
              </w:rPr>
            </w:pPr>
            <w:r>
              <w:rPr>
                <w:rFonts w:hint="eastAsia"/>
                <w:sz w:val="18"/>
                <w:szCs w:val="18"/>
              </w:rPr>
              <w:t>主要内容</w:t>
            </w:r>
            <w:r>
              <w:rPr>
                <w:rFonts w:hint="eastAsia" w:ascii="宋体" w:hAnsi="宋体" w:cs="宋体"/>
                <w:sz w:val="18"/>
                <w:szCs w:val="18"/>
              </w:rPr>
              <w:t>（注明重、难点）</w:t>
            </w:r>
          </w:p>
        </w:tc>
        <w:tc>
          <w:tcPr>
            <w:tcW w:w="7246" w:type="dxa"/>
            <w:gridSpan w:val="3"/>
          </w:tcPr>
          <w:p>
            <w:pPr>
              <w:pStyle w:val="20"/>
              <w:widowControl w:val="0"/>
              <w:jc w:val="both"/>
              <w:rPr>
                <w:sz w:val="18"/>
                <w:szCs w:val="18"/>
              </w:rPr>
            </w:pPr>
            <w:r>
              <w:rPr>
                <w:rFonts w:hint="eastAsia"/>
                <w:sz w:val="18"/>
                <w:szCs w:val="18"/>
              </w:rPr>
              <w:t>主要内容：1.存货的概述；2.存货的初始计量；3.发出存货的计价；4.存货的期末计价；5.存货清查；</w:t>
            </w:r>
            <w:r>
              <w:rPr>
                <w:sz w:val="18"/>
                <w:szCs w:val="18"/>
              </w:rPr>
              <w:t xml:space="preserve"> </w:t>
            </w:r>
          </w:p>
          <w:p>
            <w:pPr>
              <w:pStyle w:val="20"/>
              <w:widowControl w:val="0"/>
              <w:jc w:val="both"/>
              <w:rPr>
                <w:sz w:val="18"/>
                <w:szCs w:val="18"/>
              </w:rPr>
            </w:pPr>
            <w:r>
              <w:rPr>
                <w:rFonts w:hint="eastAsia"/>
                <w:sz w:val="18"/>
                <w:szCs w:val="18"/>
              </w:rPr>
              <w:t>教学重点：1.存货的初始计量；2.发出存货的计价；3.存货的期末计价；</w:t>
            </w:r>
          </w:p>
          <w:p>
            <w:pPr>
              <w:pStyle w:val="20"/>
              <w:widowControl w:val="0"/>
              <w:jc w:val="both"/>
              <w:rPr>
                <w:sz w:val="18"/>
                <w:szCs w:val="18"/>
              </w:rPr>
            </w:pPr>
            <w:r>
              <w:rPr>
                <w:rFonts w:hint="eastAsia"/>
                <w:sz w:val="18"/>
                <w:szCs w:val="18"/>
              </w:rPr>
              <w:t>教学难点：1.发出存货的计价（计划成本法）；2.存货的期末计价；</w:t>
            </w:r>
          </w:p>
          <w:p>
            <w:pPr>
              <w:pStyle w:val="20"/>
              <w:widowControl w:val="0"/>
              <w:jc w:val="both"/>
              <w:rPr>
                <w:sz w:val="18"/>
                <w:szCs w:val="18"/>
              </w:rPr>
            </w:pPr>
            <w:r>
              <w:rPr>
                <w:rFonts w:hint="eastAsia"/>
                <w:sz w:val="18"/>
                <w:szCs w:val="18"/>
              </w:rPr>
              <w:t>思政融入点：以财经热点“獐子岛扇贝减值”案例开篇，让学生更直观的理解教材内容，同时引导学生重视职业道德的培养，树立诚信守法、公平公允的职业素养。</w:t>
            </w:r>
            <w:r>
              <w:rPr>
                <w:rFonts w:hint="eastAsia" w:ascii="宋体" w:hAnsi="宋体" w:cs="宋体"/>
                <w:sz w:val="18"/>
                <w:szCs w:val="18"/>
              </w:rPr>
              <w:t>在讲解过程中插入税费率演变史，由19年增值税税率变化作为切入点，讲述减税降费对于减轻企业税费负担，增加百姓财富和国家经济实力的重要意义，让学生直观的感受到国家的繁荣昌盛。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rFonts w:ascii="宋体" w:hAnsi="宋体" w:cs="宋体"/>
                <w:sz w:val="18"/>
                <w:szCs w:val="18"/>
              </w:rPr>
            </w:pPr>
            <w:r>
              <w:rPr>
                <w:rFonts w:hint="eastAsia" w:ascii="宋体" w:hAnsi="宋体" w:cs="宋体"/>
                <w:sz w:val="18"/>
                <w:szCs w:val="18"/>
              </w:rPr>
              <w:t>教学方式</w:t>
            </w:r>
          </w:p>
        </w:tc>
        <w:tc>
          <w:tcPr>
            <w:tcW w:w="7246" w:type="dxa"/>
            <w:gridSpan w:val="3"/>
          </w:tcPr>
          <w:p>
            <w:pPr>
              <w:jc w:val="left"/>
              <w:rPr>
                <w:rFonts w:ascii="宋体" w:hAnsi="宋体" w:cs="宋体"/>
                <w:sz w:val="18"/>
                <w:szCs w:val="18"/>
              </w:rPr>
            </w:pPr>
            <w:r>
              <w:rPr>
                <w:rFonts w:hint="eastAsia" w:ascii="宋体" w:hAnsi="宋体" w:cs="宋体"/>
                <w:sz w:val="18"/>
                <w:szCs w:val="18"/>
              </w:rPr>
              <w:t>1.提问法（翻转教学法）：通过提问，查验学生线上学习效果。</w:t>
            </w:r>
          </w:p>
          <w:p>
            <w:pPr>
              <w:jc w:val="left"/>
              <w:rPr>
                <w:rFonts w:ascii="宋体" w:hAnsi="宋体" w:cs="宋体"/>
                <w:sz w:val="18"/>
                <w:szCs w:val="18"/>
              </w:rPr>
            </w:pPr>
            <w:r>
              <w:rPr>
                <w:rFonts w:hint="eastAsia" w:ascii="宋体" w:hAnsi="宋体" w:cs="宋体"/>
                <w:sz w:val="18"/>
                <w:szCs w:val="18"/>
              </w:rPr>
              <w:t>2.讲授法：通过教师讲解，帮助学生掌握重难知识点。</w:t>
            </w:r>
          </w:p>
          <w:p>
            <w:pPr>
              <w:jc w:val="left"/>
              <w:rPr>
                <w:rFonts w:ascii="宋体" w:hAnsi="宋体" w:cs="宋体"/>
                <w:sz w:val="18"/>
                <w:szCs w:val="18"/>
              </w:rPr>
            </w:pPr>
            <w:r>
              <w:rPr>
                <w:rFonts w:hint="eastAsia" w:ascii="宋体" w:hAnsi="宋体" w:cs="宋体"/>
                <w:sz w:val="18"/>
                <w:szCs w:val="18"/>
              </w:rPr>
              <w:t>3.练习法：通过课堂练习，巩固学生对知识点的把握。</w:t>
            </w:r>
          </w:p>
          <w:p>
            <w:pPr>
              <w:jc w:val="left"/>
              <w:rPr>
                <w:rFonts w:ascii="宋体" w:hAnsi="宋体" w:cs="宋体"/>
                <w:sz w:val="18"/>
                <w:szCs w:val="18"/>
              </w:rPr>
            </w:pPr>
            <w:r>
              <w:rPr>
                <w:rFonts w:ascii="宋体" w:hAnsi="宋体" w:cs="宋体"/>
                <w:sz w:val="18"/>
                <w:szCs w:val="18"/>
              </w:rPr>
              <w:t>4</w:t>
            </w:r>
            <w:r>
              <w:rPr>
                <w:rFonts w:hint="eastAsia" w:ascii="宋体" w:hAnsi="宋体" w:cs="宋体"/>
                <w:sz w:val="18"/>
                <w:szCs w:val="18"/>
              </w:rPr>
              <w:t>案例教学法：组织学生讨论</w:t>
            </w:r>
            <w:r>
              <w:rPr>
                <w:rFonts w:ascii="宋体" w:hAnsi="宋体" w:cs="宋体"/>
                <w:sz w:val="18"/>
                <w:szCs w:val="18"/>
              </w:rPr>
              <w:t xml:space="preserve"> </w:t>
            </w:r>
            <w:r>
              <w:rPr>
                <w:rFonts w:hint="eastAsia" w:ascii="宋体" w:hAnsi="宋体" w:cs="宋体"/>
                <w:sz w:val="18"/>
                <w:szCs w:val="18"/>
              </w:rPr>
              <w:t>“獐子岛扇贝逃跑”案例，教师点评，融入思政元素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教学单元四：固定资产</w:t>
            </w:r>
          </w:p>
        </w:tc>
        <w:tc>
          <w:tcPr>
            <w:tcW w:w="2595" w:type="dxa"/>
            <w:vAlign w:val="center"/>
          </w:tcPr>
          <w:p>
            <w:pPr>
              <w:pStyle w:val="20"/>
              <w:widowControl w:val="0"/>
              <w:jc w:val="both"/>
              <w:rPr>
                <w:rFonts w:ascii="黑体" w:hAnsi="黑体" w:cs="黑体"/>
                <w:kern w:val="2"/>
                <w:sz w:val="18"/>
                <w:szCs w:val="18"/>
              </w:rPr>
            </w:pPr>
            <w:r>
              <w:rPr>
                <w:rFonts w:hint="eastAsia"/>
                <w:sz w:val="18"/>
                <w:szCs w:val="18"/>
              </w:rPr>
              <w:t xml:space="preserve">学时：10     </w:t>
            </w:r>
          </w:p>
        </w:tc>
        <w:tc>
          <w:tcPr>
            <w:tcW w:w="1867" w:type="dxa"/>
            <w:vAlign w:val="center"/>
          </w:tcPr>
          <w:p>
            <w:pPr>
              <w:pStyle w:val="20"/>
              <w:widowControl w:val="0"/>
              <w:jc w:val="both"/>
              <w:rPr>
                <w:sz w:val="18"/>
                <w:szCs w:val="18"/>
              </w:rPr>
            </w:pPr>
            <w:r>
              <w:rPr>
                <w:rFonts w:hint="eastAsia"/>
                <w:sz w:val="18"/>
                <w:szCs w:val="18"/>
              </w:rPr>
              <w:t>支撑课程目标：</w:t>
            </w:r>
            <w:r>
              <w:rPr>
                <w:rFonts w:hint="eastAsia" w:ascii="宋体" w:hAnsi="宋体"/>
                <w:sz w:val="18"/>
                <w:szCs w:val="20"/>
              </w:rPr>
              <w:t>L01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155" w:type="dxa"/>
            <w:vAlign w:val="center"/>
          </w:tcPr>
          <w:p>
            <w:pPr>
              <w:pStyle w:val="20"/>
              <w:widowControl w:val="0"/>
              <w:jc w:val="both"/>
              <w:rPr>
                <w:rFonts w:ascii="宋体" w:hAnsi="宋体" w:cs="宋体"/>
                <w:sz w:val="18"/>
                <w:szCs w:val="18"/>
              </w:rPr>
            </w:pPr>
            <w:r>
              <w:rPr>
                <w:rFonts w:hint="eastAsia" w:ascii="宋体" w:hAnsi="宋体" w:cs="宋体"/>
                <w:sz w:val="18"/>
                <w:szCs w:val="18"/>
              </w:rPr>
              <w:t>主要内容</w:t>
            </w:r>
          </w:p>
        </w:tc>
        <w:tc>
          <w:tcPr>
            <w:tcW w:w="7246" w:type="dxa"/>
            <w:gridSpan w:val="3"/>
          </w:tcPr>
          <w:p>
            <w:pPr>
              <w:pStyle w:val="20"/>
              <w:widowControl w:val="0"/>
              <w:jc w:val="both"/>
              <w:rPr>
                <w:sz w:val="18"/>
                <w:szCs w:val="18"/>
              </w:rPr>
            </w:pPr>
            <w:r>
              <w:rPr>
                <w:rFonts w:hint="eastAsia"/>
                <w:sz w:val="18"/>
                <w:szCs w:val="18"/>
              </w:rPr>
              <w:t>主要内容：1.固定资产概述；2.固定资产的初始计量；3.固定资产的后续计量；4.固定资产的处置</w:t>
            </w:r>
          </w:p>
          <w:p>
            <w:pPr>
              <w:pStyle w:val="20"/>
              <w:widowControl w:val="0"/>
              <w:jc w:val="both"/>
              <w:rPr>
                <w:sz w:val="18"/>
                <w:szCs w:val="18"/>
              </w:rPr>
            </w:pPr>
            <w:r>
              <w:rPr>
                <w:rFonts w:hint="eastAsia"/>
                <w:sz w:val="18"/>
                <w:szCs w:val="18"/>
              </w:rPr>
              <w:t>教学重点：1.固定资产的初始计量；2.固定资产的后续计量；3.固定资产的处置</w:t>
            </w:r>
          </w:p>
          <w:p>
            <w:pPr>
              <w:pStyle w:val="20"/>
              <w:widowControl w:val="0"/>
              <w:jc w:val="both"/>
              <w:rPr>
                <w:sz w:val="18"/>
                <w:szCs w:val="18"/>
              </w:rPr>
            </w:pPr>
            <w:r>
              <w:rPr>
                <w:rFonts w:hint="eastAsia"/>
                <w:sz w:val="18"/>
                <w:szCs w:val="18"/>
              </w:rPr>
              <w:t>教学难点：1.固定资产的初始计量；2.固定资产的后续计量；</w:t>
            </w:r>
          </w:p>
          <w:p>
            <w:pPr>
              <w:pStyle w:val="20"/>
              <w:rPr>
                <w:sz w:val="18"/>
                <w:szCs w:val="18"/>
              </w:rPr>
            </w:pPr>
            <w:r>
              <w:rPr>
                <w:rFonts w:hint="eastAsia"/>
                <w:sz w:val="18"/>
                <w:szCs w:val="18"/>
              </w:rPr>
              <w:t>思政融入点：固定资产是企业的底子，盘好家底，条分缕析；培养学生会计职业判断能力；</w:t>
            </w:r>
          </w:p>
          <w:p>
            <w:pPr>
              <w:pStyle w:val="20"/>
              <w:widowControl w:val="0"/>
              <w:jc w:val="both"/>
              <w:rPr>
                <w:rFonts w:ascii="宋体" w:hAnsi="宋体" w:cs="宋体"/>
                <w:sz w:val="18"/>
                <w:szCs w:val="18"/>
              </w:rPr>
            </w:pPr>
            <w:r>
              <w:rPr>
                <w:rFonts w:hint="eastAsia"/>
                <w:sz w:val="18"/>
                <w:szCs w:val="18"/>
              </w:rPr>
              <w:t>弃置费用的账务处理,可结合我国强调的新生态观和“两山理论”,引导和培养学生树立环境保护的意识,国家意识。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sz w:val="18"/>
                <w:szCs w:val="18"/>
              </w:rPr>
            </w:pPr>
            <w:r>
              <w:rPr>
                <w:rFonts w:hint="eastAsia"/>
                <w:sz w:val="18"/>
                <w:szCs w:val="18"/>
              </w:rPr>
              <w:t>教学方式</w:t>
            </w:r>
          </w:p>
        </w:tc>
        <w:tc>
          <w:tcPr>
            <w:tcW w:w="7246" w:type="dxa"/>
            <w:gridSpan w:val="3"/>
          </w:tcPr>
          <w:p>
            <w:pPr>
              <w:pStyle w:val="20"/>
              <w:rPr>
                <w:sz w:val="18"/>
                <w:szCs w:val="18"/>
              </w:rPr>
            </w:pPr>
            <w:r>
              <w:rPr>
                <w:rFonts w:hint="eastAsia"/>
                <w:sz w:val="18"/>
                <w:szCs w:val="18"/>
              </w:rPr>
              <w:t>1.提问法（翻转教学法）：通过提问，查验学生线上学习效果。</w:t>
            </w:r>
          </w:p>
          <w:p>
            <w:pPr>
              <w:pStyle w:val="20"/>
              <w:rPr>
                <w:sz w:val="18"/>
                <w:szCs w:val="18"/>
              </w:rPr>
            </w:pPr>
            <w:r>
              <w:rPr>
                <w:rFonts w:hint="eastAsia"/>
                <w:sz w:val="18"/>
                <w:szCs w:val="18"/>
              </w:rPr>
              <w:t>2.小组合作学习教学法：通过讨论，获得并巩固所学知识，培养合作精神。</w:t>
            </w:r>
          </w:p>
          <w:p>
            <w:pPr>
              <w:pStyle w:val="20"/>
              <w:rPr>
                <w:sz w:val="18"/>
                <w:szCs w:val="18"/>
              </w:rPr>
            </w:pPr>
            <w:r>
              <w:rPr>
                <w:rFonts w:hint="eastAsia"/>
                <w:sz w:val="18"/>
                <w:szCs w:val="18"/>
              </w:rPr>
              <w:t>3.活动教学法： 通过学生参与教学，提高学习自主性。</w:t>
            </w:r>
          </w:p>
          <w:p>
            <w:pPr>
              <w:jc w:val="left"/>
              <w:rPr>
                <w:rFonts w:ascii="黑体" w:hAnsi="黑体" w:eastAsia="黑体" w:cs="黑体"/>
                <w:sz w:val="18"/>
                <w:szCs w:val="18"/>
              </w:rPr>
            </w:pPr>
            <w:r>
              <w:rPr>
                <w:rFonts w:hint="eastAsia"/>
                <w:sz w:val="18"/>
                <w:szCs w:val="18"/>
              </w:rPr>
              <w:t>4.启发式教学法：老师勾勒出轮廓，由学生自主填充，掌握知识点。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教学单元五：无形资产及其他长期资产</w:t>
            </w:r>
          </w:p>
        </w:tc>
        <w:tc>
          <w:tcPr>
            <w:tcW w:w="2595" w:type="dxa"/>
            <w:vAlign w:val="center"/>
          </w:tcPr>
          <w:p>
            <w:pPr>
              <w:pStyle w:val="20"/>
              <w:widowControl w:val="0"/>
              <w:jc w:val="both"/>
              <w:rPr>
                <w:rFonts w:ascii="黑体" w:hAnsi="黑体" w:cs="黑体"/>
                <w:kern w:val="2"/>
                <w:sz w:val="18"/>
                <w:szCs w:val="18"/>
              </w:rPr>
            </w:pPr>
            <w:r>
              <w:rPr>
                <w:rFonts w:hint="eastAsia"/>
                <w:sz w:val="18"/>
                <w:szCs w:val="18"/>
              </w:rPr>
              <w:t xml:space="preserve">学时：4    </w:t>
            </w:r>
          </w:p>
        </w:tc>
        <w:tc>
          <w:tcPr>
            <w:tcW w:w="1867" w:type="dxa"/>
            <w:vAlign w:val="center"/>
          </w:tcPr>
          <w:p>
            <w:pPr>
              <w:pStyle w:val="20"/>
              <w:widowControl w:val="0"/>
              <w:jc w:val="both"/>
              <w:rPr>
                <w:sz w:val="18"/>
                <w:szCs w:val="18"/>
              </w:rPr>
            </w:pPr>
            <w:r>
              <w:rPr>
                <w:rFonts w:hint="eastAsia"/>
                <w:sz w:val="18"/>
                <w:szCs w:val="18"/>
              </w:rPr>
              <w:t>支撑课程目标：</w:t>
            </w:r>
            <w:r>
              <w:rPr>
                <w:rFonts w:hint="eastAsia" w:ascii="宋体" w:hAnsi="宋体"/>
                <w:sz w:val="18"/>
                <w:szCs w:val="20"/>
              </w:rPr>
              <w:t>L01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55" w:type="dxa"/>
            <w:vAlign w:val="center"/>
          </w:tcPr>
          <w:p>
            <w:pPr>
              <w:pStyle w:val="20"/>
              <w:widowControl w:val="0"/>
              <w:jc w:val="both"/>
              <w:rPr>
                <w:sz w:val="18"/>
                <w:szCs w:val="18"/>
              </w:rPr>
            </w:pPr>
            <w:r>
              <w:rPr>
                <w:rFonts w:hint="eastAsia"/>
                <w:sz w:val="18"/>
                <w:szCs w:val="18"/>
              </w:rPr>
              <w:t>主要内容</w:t>
            </w:r>
            <w:r>
              <w:rPr>
                <w:rFonts w:hint="eastAsia" w:ascii="宋体" w:hAnsi="宋体" w:cs="宋体"/>
                <w:sz w:val="18"/>
                <w:szCs w:val="18"/>
              </w:rPr>
              <w:t>（注明重、难点）</w:t>
            </w:r>
          </w:p>
        </w:tc>
        <w:tc>
          <w:tcPr>
            <w:tcW w:w="7246" w:type="dxa"/>
            <w:gridSpan w:val="3"/>
          </w:tcPr>
          <w:p>
            <w:pPr>
              <w:pStyle w:val="20"/>
              <w:widowControl w:val="0"/>
              <w:jc w:val="both"/>
              <w:rPr>
                <w:sz w:val="18"/>
                <w:szCs w:val="18"/>
              </w:rPr>
            </w:pPr>
            <w:r>
              <w:rPr>
                <w:rFonts w:hint="eastAsia"/>
                <w:sz w:val="18"/>
                <w:szCs w:val="18"/>
              </w:rPr>
              <w:t>主要内容：1.无形资产概述；2.无形资产取得的计量；3.无形资产的后续计量；4.无形资产的处置；5.其他长期资产</w:t>
            </w:r>
          </w:p>
          <w:p>
            <w:pPr>
              <w:pStyle w:val="20"/>
              <w:widowControl w:val="0"/>
              <w:jc w:val="both"/>
              <w:rPr>
                <w:sz w:val="18"/>
                <w:szCs w:val="18"/>
              </w:rPr>
            </w:pPr>
            <w:r>
              <w:rPr>
                <w:rFonts w:hint="eastAsia"/>
                <w:sz w:val="18"/>
                <w:szCs w:val="18"/>
              </w:rPr>
              <w:t>教学重点：1.无形资产取得的计量；2.无形资产的后续计量；3.无形资产的处置；4.其他长期资产</w:t>
            </w:r>
          </w:p>
          <w:p>
            <w:pPr>
              <w:pStyle w:val="20"/>
              <w:widowControl w:val="0"/>
              <w:jc w:val="both"/>
              <w:rPr>
                <w:sz w:val="18"/>
                <w:szCs w:val="18"/>
              </w:rPr>
            </w:pPr>
            <w:r>
              <w:rPr>
                <w:rFonts w:hint="eastAsia"/>
                <w:sz w:val="18"/>
                <w:szCs w:val="18"/>
              </w:rPr>
              <w:t>教学难点：1.无形资产取得的计量；2.无形资产的后续计量；</w:t>
            </w:r>
          </w:p>
          <w:p>
            <w:pPr>
              <w:pStyle w:val="20"/>
              <w:widowControl w:val="0"/>
              <w:jc w:val="both"/>
              <w:rPr>
                <w:sz w:val="18"/>
                <w:szCs w:val="18"/>
              </w:rPr>
            </w:pPr>
            <w:r>
              <w:rPr>
                <w:rFonts w:hint="eastAsia"/>
                <w:sz w:val="18"/>
                <w:szCs w:val="18"/>
              </w:rPr>
              <w:t>思政融入点：“华为自主创新案例”创新强国、思维创新；结合袁隆平先生的生平,引导学生树立爱国主义精神,培养学生的家国情怀,帮助学生树立起民族自豪感。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sz w:val="18"/>
                <w:szCs w:val="18"/>
              </w:rPr>
            </w:pPr>
            <w:r>
              <w:rPr>
                <w:rFonts w:hint="eastAsia"/>
                <w:sz w:val="18"/>
                <w:szCs w:val="18"/>
              </w:rPr>
              <w:t>教学方式</w:t>
            </w:r>
          </w:p>
        </w:tc>
        <w:tc>
          <w:tcPr>
            <w:tcW w:w="7246" w:type="dxa"/>
            <w:gridSpan w:val="3"/>
          </w:tcPr>
          <w:p>
            <w:pPr>
              <w:pStyle w:val="20"/>
              <w:widowControl w:val="0"/>
              <w:jc w:val="both"/>
              <w:rPr>
                <w:sz w:val="18"/>
                <w:szCs w:val="18"/>
              </w:rPr>
            </w:pPr>
            <w:r>
              <w:rPr>
                <w:rFonts w:hint="eastAsia"/>
                <w:sz w:val="18"/>
                <w:szCs w:val="18"/>
              </w:rPr>
              <w:t>1.创设情境。播放王老吉和加多宝的权利之争，袁隆平高科的无形资产，让学生结合线上所学知识，联系生活实际剧烈说明什么是无形资产。</w:t>
            </w:r>
          </w:p>
          <w:p>
            <w:pPr>
              <w:pStyle w:val="20"/>
              <w:widowControl w:val="0"/>
              <w:jc w:val="both"/>
              <w:rPr>
                <w:sz w:val="18"/>
                <w:szCs w:val="18"/>
              </w:rPr>
            </w:pPr>
            <w:r>
              <w:rPr>
                <w:rFonts w:hint="eastAsia"/>
                <w:sz w:val="18"/>
                <w:szCs w:val="18"/>
              </w:rPr>
              <w:t>2.讲授课程，梳理本模块知识点。通过华为事件，认识到技术创新的重要性，教导学生要多学知识，多做科研，为国家繁荣贡献自己的一份力。</w:t>
            </w:r>
          </w:p>
          <w:p>
            <w:pPr>
              <w:jc w:val="left"/>
              <w:rPr>
                <w:rFonts w:ascii="黑体" w:hAnsi="黑体" w:eastAsia="黑体" w:cs="黑体"/>
                <w:sz w:val="18"/>
                <w:szCs w:val="18"/>
              </w:rPr>
            </w:pPr>
            <w:r>
              <w:rPr>
                <w:rFonts w:hint="eastAsia"/>
                <w:sz w:val="18"/>
                <w:szCs w:val="18"/>
              </w:rPr>
              <w:t>3.展示无形资产的公司案例，让学生结合所学，解决案例公司相关问题。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教学单元六：投资性房地产</w:t>
            </w:r>
          </w:p>
        </w:tc>
        <w:tc>
          <w:tcPr>
            <w:tcW w:w="2595" w:type="dxa"/>
            <w:vAlign w:val="center"/>
          </w:tcPr>
          <w:p>
            <w:pPr>
              <w:pStyle w:val="20"/>
              <w:widowControl w:val="0"/>
              <w:jc w:val="both"/>
              <w:rPr>
                <w:rFonts w:ascii="黑体" w:hAnsi="黑体" w:eastAsia="黑体" w:cs="黑体"/>
                <w:kern w:val="2"/>
                <w:sz w:val="18"/>
                <w:szCs w:val="18"/>
              </w:rPr>
            </w:pPr>
            <w:r>
              <w:rPr>
                <w:rFonts w:hint="eastAsia"/>
                <w:sz w:val="18"/>
                <w:szCs w:val="18"/>
              </w:rPr>
              <w:t>学时：10</w:t>
            </w:r>
          </w:p>
        </w:tc>
        <w:tc>
          <w:tcPr>
            <w:tcW w:w="1867" w:type="dxa"/>
            <w:vAlign w:val="center"/>
          </w:tcPr>
          <w:p>
            <w:pPr>
              <w:pStyle w:val="20"/>
              <w:widowControl w:val="0"/>
              <w:jc w:val="both"/>
              <w:rPr>
                <w:sz w:val="18"/>
                <w:szCs w:val="18"/>
              </w:rPr>
            </w:pPr>
            <w:r>
              <w:rPr>
                <w:rFonts w:hint="eastAsia"/>
                <w:sz w:val="18"/>
                <w:szCs w:val="18"/>
              </w:rPr>
              <w:t>支撑课程目标：</w:t>
            </w:r>
            <w:r>
              <w:rPr>
                <w:rFonts w:hint="eastAsia" w:ascii="宋体" w:hAnsi="宋体"/>
                <w:sz w:val="18"/>
                <w:szCs w:val="20"/>
              </w:rPr>
              <w:t>L01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55" w:type="dxa"/>
            <w:vAlign w:val="center"/>
          </w:tcPr>
          <w:p>
            <w:pPr>
              <w:pStyle w:val="20"/>
              <w:widowControl w:val="0"/>
              <w:jc w:val="both"/>
              <w:rPr>
                <w:sz w:val="18"/>
                <w:szCs w:val="18"/>
              </w:rPr>
            </w:pPr>
            <w:r>
              <w:rPr>
                <w:rFonts w:hint="eastAsia"/>
                <w:sz w:val="18"/>
                <w:szCs w:val="18"/>
              </w:rPr>
              <w:t>主要内容</w:t>
            </w:r>
            <w:r>
              <w:rPr>
                <w:rFonts w:hint="eastAsia" w:ascii="宋体" w:hAnsi="宋体" w:cs="宋体"/>
                <w:sz w:val="18"/>
                <w:szCs w:val="18"/>
              </w:rPr>
              <w:t>（注明重、难点）</w:t>
            </w:r>
          </w:p>
        </w:tc>
        <w:tc>
          <w:tcPr>
            <w:tcW w:w="7246" w:type="dxa"/>
            <w:gridSpan w:val="3"/>
          </w:tcPr>
          <w:p>
            <w:pPr>
              <w:pStyle w:val="20"/>
              <w:widowControl w:val="0"/>
              <w:jc w:val="both"/>
              <w:rPr>
                <w:sz w:val="18"/>
                <w:szCs w:val="18"/>
              </w:rPr>
            </w:pPr>
            <w:r>
              <w:rPr>
                <w:rFonts w:hint="eastAsia"/>
                <w:sz w:val="18"/>
                <w:szCs w:val="18"/>
              </w:rPr>
              <w:t>主要内容：1.投资性房地产概述；2.投资性房地产的初始计量；3.投资性房地产的后续计量；4.投资性房地产的转换；5.投资性房地产的处置</w:t>
            </w:r>
          </w:p>
          <w:p>
            <w:pPr>
              <w:pStyle w:val="20"/>
              <w:widowControl w:val="0"/>
              <w:jc w:val="both"/>
              <w:rPr>
                <w:sz w:val="18"/>
                <w:szCs w:val="18"/>
              </w:rPr>
            </w:pPr>
            <w:r>
              <w:rPr>
                <w:rFonts w:hint="eastAsia"/>
                <w:sz w:val="18"/>
                <w:szCs w:val="18"/>
              </w:rPr>
              <w:t>教学重点：1.投资性房地产的初始计量；2.投资性房地产的后续计量；3.投资性房地产的转换；4.投资性房地产的处置</w:t>
            </w:r>
          </w:p>
          <w:p>
            <w:pPr>
              <w:pStyle w:val="20"/>
              <w:widowControl w:val="0"/>
              <w:jc w:val="both"/>
              <w:rPr>
                <w:sz w:val="18"/>
                <w:szCs w:val="18"/>
              </w:rPr>
            </w:pPr>
            <w:r>
              <w:rPr>
                <w:rFonts w:hint="eastAsia"/>
                <w:sz w:val="18"/>
                <w:szCs w:val="18"/>
              </w:rPr>
              <w:t>教学难点：1.投资性房地产的初始计量；2.投资性房地产的后续计量；3.投资性房地产的转换；</w:t>
            </w:r>
          </w:p>
          <w:p>
            <w:pPr>
              <w:pStyle w:val="20"/>
              <w:widowControl w:val="0"/>
              <w:jc w:val="both"/>
              <w:rPr>
                <w:sz w:val="18"/>
                <w:szCs w:val="18"/>
              </w:rPr>
            </w:pPr>
            <w:r>
              <w:rPr>
                <w:rFonts w:hint="eastAsia"/>
                <w:sz w:val="18"/>
                <w:szCs w:val="18"/>
              </w:rPr>
              <w:t>思政融入点：提升房地产投资风险意思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rFonts w:ascii="宋体" w:hAnsi="宋体" w:cs="宋体"/>
                <w:sz w:val="18"/>
                <w:szCs w:val="18"/>
              </w:rPr>
            </w:pPr>
            <w:r>
              <w:rPr>
                <w:rFonts w:hint="eastAsia" w:ascii="宋体" w:hAnsi="宋体" w:cs="宋体"/>
                <w:sz w:val="18"/>
                <w:szCs w:val="18"/>
              </w:rPr>
              <w:t>教学方式</w:t>
            </w:r>
          </w:p>
        </w:tc>
        <w:tc>
          <w:tcPr>
            <w:tcW w:w="7246" w:type="dxa"/>
            <w:gridSpan w:val="3"/>
          </w:tcPr>
          <w:p>
            <w:pPr>
              <w:jc w:val="left"/>
              <w:rPr>
                <w:rFonts w:ascii="宋体" w:hAnsi="宋体" w:cs="宋体"/>
                <w:sz w:val="18"/>
                <w:szCs w:val="18"/>
              </w:rPr>
            </w:pPr>
            <w:r>
              <w:rPr>
                <w:rFonts w:hint="eastAsia" w:ascii="宋体" w:hAnsi="宋体" w:cs="宋体"/>
                <w:sz w:val="18"/>
                <w:szCs w:val="18"/>
              </w:rPr>
              <w:t>1.讲授法：教师讲授课程主要内容，帮助学生构建出完整的知识体系，将琐碎的知识点串联起来，帮助学生更好的掌握所学知识。</w:t>
            </w:r>
          </w:p>
          <w:p>
            <w:pPr>
              <w:jc w:val="left"/>
              <w:rPr>
                <w:rFonts w:ascii="宋体" w:hAnsi="宋体" w:cs="宋体"/>
                <w:sz w:val="18"/>
                <w:szCs w:val="18"/>
              </w:rPr>
            </w:pPr>
            <w:r>
              <w:rPr>
                <w:rFonts w:hint="eastAsia" w:ascii="宋体" w:hAnsi="宋体" w:cs="宋体"/>
                <w:sz w:val="18"/>
                <w:szCs w:val="18"/>
              </w:rPr>
              <w:t>2.小组讨论法：发布投资性房地产的真实案例，分小组进行讨论，回答老师的相关问题。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教学单元七：金融资产</w:t>
            </w:r>
          </w:p>
        </w:tc>
        <w:tc>
          <w:tcPr>
            <w:tcW w:w="2595" w:type="dxa"/>
            <w:vAlign w:val="center"/>
          </w:tcPr>
          <w:p>
            <w:pPr>
              <w:pStyle w:val="20"/>
              <w:widowControl w:val="0"/>
              <w:jc w:val="both"/>
              <w:rPr>
                <w:rFonts w:ascii="黑体" w:hAnsi="黑体" w:cs="黑体"/>
                <w:kern w:val="2"/>
                <w:sz w:val="18"/>
                <w:szCs w:val="18"/>
              </w:rPr>
            </w:pPr>
            <w:r>
              <w:rPr>
                <w:rFonts w:hint="eastAsia"/>
                <w:sz w:val="18"/>
                <w:szCs w:val="18"/>
              </w:rPr>
              <w:t xml:space="preserve">学时：12    </w:t>
            </w:r>
          </w:p>
        </w:tc>
        <w:tc>
          <w:tcPr>
            <w:tcW w:w="1867" w:type="dxa"/>
            <w:vAlign w:val="center"/>
          </w:tcPr>
          <w:p>
            <w:pPr>
              <w:pStyle w:val="20"/>
              <w:widowControl w:val="0"/>
              <w:jc w:val="both"/>
              <w:rPr>
                <w:sz w:val="18"/>
                <w:szCs w:val="18"/>
              </w:rPr>
            </w:pPr>
            <w:r>
              <w:rPr>
                <w:rFonts w:hint="eastAsia"/>
                <w:sz w:val="18"/>
                <w:szCs w:val="18"/>
              </w:rPr>
              <w:t>支撑课程目标：</w:t>
            </w:r>
            <w:r>
              <w:rPr>
                <w:rFonts w:hint="eastAsia" w:ascii="宋体" w:hAnsi="宋体"/>
                <w:sz w:val="18"/>
                <w:szCs w:val="20"/>
              </w:rPr>
              <w:t>L01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155" w:type="dxa"/>
            <w:vAlign w:val="center"/>
          </w:tcPr>
          <w:p>
            <w:pPr>
              <w:pStyle w:val="20"/>
              <w:widowControl w:val="0"/>
              <w:jc w:val="both"/>
              <w:rPr>
                <w:rFonts w:ascii="宋体" w:hAnsi="宋体" w:cs="宋体"/>
                <w:sz w:val="18"/>
                <w:szCs w:val="18"/>
              </w:rPr>
            </w:pPr>
            <w:r>
              <w:rPr>
                <w:rFonts w:hint="eastAsia" w:ascii="宋体" w:hAnsi="宋体" w:cs="宋体"/>
                <w:sz w:val="18"/>
                <w:szCs w:val="18"/>
              </w:rPr>
              <w:t>主要内容</w:t>
            </w:r>
          </w:p>
        </w:tc>
        <w:tc>
          <w:tcPr>
            <w:tcW w:w="7246" w:type="dxa"/>
            <w:gridSpan w:val="3"/>
          </w:tcPr>
          <w:p>
            <w:pPr>
              <w:pStyle w:val="20"/>
              <w:widowControl w:val="0"/>
              <w:jc w:val="both"/>
              <w:rPr>
                <w:sz w:val="18"/>
                <w:szCs w:val="18"/>
              </w:rPr>
            </w:pPr>
            <w:r>
              <w:rPr>
                <w:rFonts w:hint="eastAsia"/>
                <w:sz w:val="18"/>
                <w:szCs w:val="18"/>
              </w:rPr>
              <w:t>主要内容：1.以摊余成本计量的金融资产；2.以公允价值计量且其变动计入其他综合收益的金融资产；3.应收和预付款项；4.以公允价值计量且其变动计入当期损益的金融资产；5.金融资产减值</w:t>
            </w:r>
          </w:p>
          <w:p>
            <w:pPr>
              <w:pStyle w:val="20"/>
              <w:widowControl w:val="0"/>
              <w:jc w:val="both"/>
              <w:rPr>
                <w:sz w:val="18"/>
                <w:szCs w:val="18"/>
              </w:rPr>
            </w:pPr>
            <w:r>
              <w:rPr>
                <w:rFonts w:hint="eastAsia"/>
                <w:sz w:val="18"/>
                <w:szCs w:val="18"/>
              </w:rPr>
              <w:t>教学重点：1.以摊余成本计量的金融资产；2.以公允价值计量且其变动计入其他综合收益的金融资产；3.应收和预付款项；4.以公允价值计量且其变动计入当期损益的金融资产；</w:t>
            </w:r>
          </w:p>
          <w:p>
            <w:pPr>
              <w:pStyle w:val="20"/>
              <w:widowControl w:val="0"/>
              <w:jc w:val="both"/>
              <w:rPr>
                <w:sz w:val="18"/>
                <w:szCs w:val="18"/>
              </w:rPr>
            </w:pPr>
            <w:r>
              <w:rPr>
                <w:rFonts w:hint="eastAsia"/>
                <w:sz w:val="18"/>
                <w:szCs w:val="18"/>
              </w:rPr>
              <w:t>教学难点：1.以摊余成本计量的金融资产；2.以公允价值计量且其变动计入其他综合收益的金融资产；3.以公允价值计量且其变动计入当期损益的金融资产；</w:t>
            </w:r>
          </w:p>
          <w:p>
            <w:pPr>
              <w:pStyle w:val="20"/>
              <w:widowControl w:val="0"/>
              <w:jc w:val="both"/>
              <w:rPr>
                <w:rFonts w:ascii="宋体" w:hAnsi="宋体" w:cs="宋体"/>
                <w:sz w:val="18"/>
                <w:szCs w:val="18"/>
              </w:rPr>
            </w:pPr>
            <w:r>
              <w:rPr>
                <w:rFonts w:hint="eastAsia"/>
                <w:sz w:val="18"/>
                <w:szCs w:val="18"/>
              </w:rPr>
              <w:t>思政融入点：投资者理性、风险与报酬同在；注重商业信用、崇正义、对价取之有道。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sz w:val="18"/>
                <w:szCs w:val="18"/>
              </w:rPr>
            </w:pPr>
            <w:r>
              <w:rPr>
                <w:rFonts w:hint="eastAsia"/>
                <w:sz w:val="18"/>
                <w:szCs w:val="18"/>
              </w:rPr>
              <w:t>教学方式</w:t>
            </w:r>
          </w:p>
        </w:tc>
        <w:tc>
          <w:tcPr>
            <w:tcW w:w="7246" w:type="dxa"/>
            <w:gridSpan w:val="3"/>
          </w:tcPr>
          <w:p>
            <w:pPr>
              <w:pStyle w:val="20"/>
              <w:rPr>
                <w:sz w:val="18"/>
                <w:szCs w:val="18"/>
              </w:rPr>
            </w:pPr>
            <w:r>
              <w:rPr>
                <w:rFonts w:hint="eastAsia"/>
                <w:sz w:val="18"/>
                <w:szCs w:val="18"/>
              </w:rPr>
              <w:t>1.提问法（翻转教学法）：通过提问，查验学生线上学习效果。</w:t>
            </w:r>
          </w:p>
          <w:p>
            <w:pPr>
              <w:pStyle w:val="20"/>
              <w:rPr>
                <w:sz w:val="18"/>
                <w:szCs w:val="18"/>
              </w:rPr>
            </w:pPr>
            <w:r>
              <w:rPr>
                <w:rFonts w:hint="eastAsia"/>
                <w:sz w:val="18"/>
                <w:szCs w:val="18"/>
              </w:rPr>
              <w:t>2.讲授法：通过教师讲解，帮助学生掌握重难知识点。</w:t>
            </w:r>
          </w:p>
          <w:p>
            <w:pPr>
              <w:pStyle w:val="20"/>
              <w:rPr>
                <w:sz w:val="18"/>
                <w:szCs w:val="18"/>
              </w:rPr>
            </w:pPr>
            <w:r>
              <w:rPr>
                <w:rFonts w:hint="eastAsia"/>
                <w:sz w:val="18"/>
                <w:szCs w:val="18"/>
              </w:rPr>
              <w:t>3.案例教学法：以 “雅戈尔抛售金融资产”为案例，组织学生讨论，重视学生的参与性，加强师生的共同探讨与互动。</w:t>
            </w:r>
          </w:p>
          <w:p>
            <w:pPr>
              <w:jc w:val="left"/>
              <w:rPr>
                <w:rFonts w:ascii="黑体" w:hAnsi="黑体" w:eastAsia="黑体" w:cs="黑体"/>
                <w:sz w:val="18"/>
                <w:szCs w:val="18"/>
              </w:rPr>
            </w:pPr>
            <w:r>
              <w:rPr>
                <w:rFonts w:hint="eastAsia"/>
                <w:sz w:val="18"/>
                <w:szCs w:val="18"/>
              </w:rPr>
              <w:t>4.小组合作学习教学法：通过讨论，获得并巩固所学知识，培养合作精神。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教学单元八：长期股权投资</w:t>
            </w:r>
          </w:p>
        </w:tc>
        <w:tc>
          <w:tcPr>
            <w:tcW w:w="2595" w:type="dxa"/>
            <w:vAlign w:val="center"/>
          </w:tcPr>
          <w:p>
            <w:pPr>
              <w:pStyle w:val="20"/>
              <w:widowControl w:val="0"/>
              <w:jc w:val="both"/>
              <w:rPr>
                <w:rFonts w:ascii="黑体" w:hAnsi="黑体" w:cs="黑体"/>
                <w:kern w:val="2"/>
                <w:sz w:val="18"/>
                <w:szCs w:val="18"/>
              </w:rPr>
            </w:pPr>
            <w:r>
              <w:rPr>
                <w:rFonts w:hint="eastAsia"/>
                <w:sz w:val="18"/>
                <w:szCs w:val="18"/>
              </w:rPr>
              <w:t xml:space="preserve">学时：10    </w:t>
            </w:r>
          </w:p>
        </w:tc>
        <w:tc>
          <w:tcPr>
            <w:tcW w:w="1867" w:type="dxa"/>
            <w:vAlign w:val="center"/>
          </w:tcPr>
          <w:p>
            <w:pPr>
              <w:pStyle w:val="20"/>
              <w:widowControl w:val="0"/>
              <w:jc w:val="both"/>
              <w:rPr>
                <w:sz w:val="18"/>
                <w:szCs w:val="18"/>
              </w:rPr>
            </w:pPr>
            <w:r>
              <w:rPr>
                <w:rFonts w:hint="eastAsia"/>
                <w:sz w:val="18"/>
                <w:szCs w:val="18"/>
              </w:rPr>
              <w:t>支撑课程目标：</w:t>
            </w:r>
            <w:r>
              <w:rPr>
                <w:rFonts w:hint="eastAsia" w:ascii="宋体" w:hAnsi="宋体"/>
                <w:sz w:val="18"/>
                <w:szCs w:val="20"/>
              </w:rPr>
              <w:t>L01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55" w:type="dxa"/>
            <w:vAlign w:val="center"/>
          </w:tcPr>
          <w:p>
            <w:pPr>
              <w:pStyle w:val="20"/>
              <w:widowControl w:val="0"/>
              <w:jc w:val="both"/>
              <w:rPr>
                <w:sz w:val="18"/>
                <w:szCs w:val="18"/>
              </w:rPr>
            </w:pPr>
            <w:r>
              <w:rPr>
                <w:rFonts w:hint="eastAsia"/>
                <w:sz w:val="18"/>
                <w:szCs w:val="18"/>
              </w:rPr>
              <w:t>主要内容</w:t>
            </w:r>
            <w:r>
              <w:rPr>
                <w:rFonts w:hint="eastAsia" w:ascii="宋体" w:hAnsi="宋体" w:cs="宋体"/>
                <w:sz w:val="18"/>
                <w:szCs w:val="18"/>
              </w:rPr>
              <w:t>（注明重、难点）</w:t>
            </w:r>
          </w:p>
        </w:tc>
        <w:tc>
          <w:tcPr>
            <w:tcW w:w="7246" w:type="dxa"/>
            <w:gridSpan w:val="3"/>
          </w:tcPr>
          <w:p>
            <w:pPr>
              <w:pStyle w:val="20"/>
              <w:widowControl w:val="0"/>
              <w:jc w:val="both"/>
              <w:rPr>
                <w:sz w:val="18"/>
                <w:szCs w:val="18"/>
              </w:rPr>
            </w:pPr>
            <w:r>
              <w:rPr>
                <w:rFonts w:hint="eastAsia"/>
                <w:sz w:val="18"/>
                <w:szCs w:val="18"/>
              </w:rPr>
              <w:t>主要内容：1.长期股权投资的初始计量；2.长期股权投资的后续计量；3.长期股权投资的转换；4.长期股权投资的处置</w:t>
            </w:r>
          </w:p>
          <w:p>
            <w:pPr>
              <w:pStyle w:val="20"/>
              <w:widowControl w:val="0"/>
              <w:jc w:val="both"/>
              <w:rPr>
                <w:sz w:val="18"/>
                <w:szCs w:val="18"/>
              </w:rPr>
            </w:pPr>
            <w:r>
              <w:rPr>
                <w:rFonts w:hint="eastAsia"/>
                <w:sz w:val="18"/>
                <w:szCs w:val="18"/>
              </w:rPr>
              <w:t>教学重点：1.长期股权投资的初始计量；2.长期股权投资的后续计量；3.长期股权投资的转换；</w:t>
            </w:r>
          </w:p>
          <w:p>
            <w:pPr>
              <w:pStyle w:val="20"/>
              <w:widowControl w:val="0"/>
              <w:jc w:val="both"/>
              <w:rPr>
                <w:sz w:val="18"/>
                <w:szCs w:val="18"/>
              </w:rPr>
            </w:pPr>
            <w:r>
              <w:rPr>
                <w:rFonts w:hint="eastAsia"/>
                <w:sz w:val="18"/>
                <w:szCs w:val="18"/>
              </w:rPr>
              <w:t>教学难点：1.长期股权投资的初始计量；2.长期股权投资的后续计量；3.长期股权投资的转换；</w:t>
            </w:r>
          </w:p>
          <w:p>
            <w:pPr>
              <w:pStyle w:val="20"/>
              <w:widowControl w:val="0"/>
              <w:jc w:val="both"/>
              <w:rPr>
                <w:sz w:val="18"/>
                <w:szCs w:val="18"/>
              </w:rPr>
            </w:pPr>
            <w:r>
              <w:rPr>
                <w:rFonts w:hint="eastAsia"/>
                <w:sz w:val="18"/>
                <w:szCs w:val="18"/>
              </w:rPr>
              <w:t>思政融入点：工匠精神——会计业务的处理中用一丝不苟、精益求精的态度去认真掌握，并注意与时俱进；通过典型案例分析和启发式教学，引导学生对案例开展讨论，教师予以启发提示，培养学生知敬畏、守底线的职业品质；培养学生风险意识——收益与风险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sz w:val="18"/>
                <w:szCs w:val="18"/>
              </w:rPr>
            </w:pPr>
            <w:r>
              <w:rPr>
                <w:rFonts w:hint="eastAsia"/>
                <w:sz w:val="18"/>
                <w:szCs w:val="18"/>
              </w:rPr>
              <w:t>教学方式</w:t>
            </w:r>
          </w:p>
        </w:tc>
        <w:tc>
          <w:tcPr>
            <w:tcW w:w="7246" w:type="dxa"/>
            <w:gridSpan w:val="3"/>
          </w:tcPr>
          <w:p>
            <w:pPr>
              <w:pStyle w:val="20"/>
              <w:widowControl w:val="0"/>
              <w:jc w:val="both"/>
              <w:rPr>
                <w:sz w:val="18"/>
                <w:szCs w:val="18"/>
              </w:rPr>
            </w:pPr>
            <w:r>
              <w:rPr>
                <w:rFonts w:hint="eastAsia"/>
                <w:sz w:val="18"/>
                <w:szCs w:val="18"/>
              </w:rPr>
              <w:t>1.提问法（翻转教学法）：通过提问，查验学生线上学习效果。</w:t>
            </w:r>
          </w:p>
          <w:p>
            <w:pPr>
              <w:pStyle w:val="20"/>
              <w:widowControl w:val="0"/>
              <w:jc w:val="both"/>
              <w:rPr>
                <w:sz w:val="18"/>
                <w:szCs w:val="18"/>
              </w:rPr>
            </w:pPr>
            <w:r>
              <w:rPr>
                <w:rFonts w:hint="eastAsia"/>
                <w:sz w:val="18"/>
                <w:szCs w:val="18"/>
              </w:rPr>
              <w:t>2.小组合作学习教学法：通过讨论，获得并巩固所学知识，培养合作精神。</w:t>
            </w:r>
          </w:p>
          <w:p>
            <w:pPr>
              <w:pStyle w:val="20"/>
              <w:widowControl w:val="0"/>
              <w:jc w:val="both"/>
              <w:rPr>
                <w:sz w:val="18"/>
                <w:szCs w:val="18"/>
              </w:rPr>
            </w:pPr>
            <w:r>
              <w:rPr>
                <w:rFonts w:hint="eastAsia"/>
                <w:sz w:val="18"/>
                <w:szCs w:val="18"/>
              </w:rPr>
              <w:t>3.活动教学法： 通过学生参与教学，提高学习自主性。</w:t>
            </w:r>
          </w:p>
          <w:p>
            <w:pPr>
              <w:jc w:val="left"/>
              <w:rPr>
                <w:rFonts w:ascii="黑体" w:hAnsi="黑体" w:eastAsia="黑体" w:cs="黑体"/>
                <w:sz w:val="18"/>
                <w:szCs w:val="18"/>
              </w:rPr>
            </w:pPr>
            <w:r>
              <w:rPr>
                <w:rFonts w:hint="eastAsia"/>
                <w:sz w:val="18"/>
                <w:szCs w:val="18"/>
              </w:rPr>
              <w:t>4.案例教学法：以雅戈尔长期股权投资为例分析长投对上市公司业绩的影响，由学生自主讨论。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教学单元九：非货币性资产交换</w:t>
            </w:r>
          </w:p>
        </w:tc>
        <w:tc>
          <w:tcPr>
            <w:tcW w:w="2595" w:type="dxa"/>
            <w:vAlign w:val="center"/>
          </w:tcPr>
          <w:p>
            <w:pPr>
              <w:pStyle w:val="20"/>
              <w:widowControl w:val="0"/>
              <w:jc w:val="both"/>
              <w:rPr>
                <w:rFonts w:ascii="黑体" w:hAnsi="黑体" w:eastAsia="黑体" w:cs="黑体"/>
                <w:kern w:val="2"/>
                <w:sz w:val="18"/>
                <w:szCs w:val="18"/>
              </w:rPr>
            </w:pPr>
            <w:r>
              <w:rPr>
                <w:rFonts w:hint="eastAsia"/>
                <w:sz w:val="18"/>
                <w:szCs w:val="18"/>
              </w:rPr>
              <w:t>学时：6</w:t>
            </w:r>
          </w:p>
        </w:tc>
        <w:tc>
          <w:tcPr>
            <w:tcW w:w="1867" w:type="dxa"/>
            <w:vAlign w:val="center"/>
          </w:tcPr>
          <w:p>
            <w:pPr>
              <w:pStyle w:val="20"/>
              <w:widowControl w:val="0"/>
              <w:jc w:val="both"/>
              <w:rPr>
                <w:rFonts w:hint="eastAsia" w:eastAsia="宋体"/>
                <w:sz w:val="18"/>
                <w:szCs w:val="18"/>
                <w:lang w:val="en-US" w:eastAsia="zh-CN"/>
              </w:rPr>
            </w:pPr>
            <w:r>
              <w:rPr>
                <w:rFonts w:hint="eastAsia"/>
                <w:sz w:val="18"/>
                <w:szCs w:val="18"/>
              </w:rPr>
              <w:t>支撑课程目标：</w:t>
            </w:r>
            <w:r>
              <w:rPr>
                <w:rFonts w:hint="eastAsia" w:ascii="宋体" w:hAnsi="宋体"/>
                <w:sz w:val="18"/>
                <w:szCs w:val="20"/>
              </w:rPr>
              <w:t>L0</w:t>
            </w:r>
            <w:r>
              <w:rPr>
                <w:rFonts w:hint="eastAsia" w:ascii="宋体" w:hAnsi="宋体"/>
                <w:sz w:val="18"/>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55" w:type="dxa"/>
            <w:vAlign w:val="center"/>
          </w:tcPr>
          <w:p>
            <w:pPr>
              <w:pStyle w:val="20"/>
              <w:widowControl w:val="0"/>
              <w:jc w:val="both"/>
              <w:rPr>
                <w:sz w:val="18"/>
                <w:szCs w:val="18"/>
              </w:rPr>
            </w:pPr>
            <w:r>
              <w:rPr>
                <w:rFonts w:hint="eastAsia"/>
                <w:sz w:val="18"/>
                <w:szCs w:val="18"/>
              </w:rPr>
              <w:t>主要内容</w:t>
            </w:r>
            <w:r>
              <w:rPr>
                <w:rFonts w:hint="eastAsia" w:ascii="宋体" w:hAnsi="宋体" w:cs="宋体"/>
                <w:sz w:val="18"/>
                <w:szCs w:val="18"/>
              </w:rPr>
              <w:t>（注明重、难点）</w:t>
            </w:r>
          </w:p>
        </w:tc>
        <w:tc>
          <w:tcPr>
            <w:tcW w:w="7246" w:type="dxa"/>
            <w:gridSpan w:val="3"/>
          </w:tcPr>
          <w:p>
            <w:pPr>
              <w:pStyle w:val="20"/>
              <w:widowControl w:val="0"/>
              <w:jc w:val="both"/>
              <w:rPr>
                <w:sz w:val="18"/>
                <w:szCs w:val="18"/>
              </w:rPr>
            </w:pPr>
            <w:r>
              <w:rPr>
                <w:rFonts w:hint="eastAsia"/>
                <w:sz w:val="18"/>
                <w:szCs w:val="18"/>
              </w:rPr>
              <w:t>主要内容：1.非货币性资产交换概述；2.非货币性资产交换的会计处理。</w:t>
            </w:r>
          </w:p>
          <w:p>
            <w:pPr>
              <w:pStyle w:val="20"/>
              <w:widowControl w:val="0"/>
              <w:jc w:val="both"/>
              <w:rPr>
                <w:sz w:val="18"/>
                <w:szCs w:val="18"/>
              </w:rPr>
            </w:pPr>
            <w:r>
              <w:rPr>
                <w:rFonts w:hint="eastAsia"/>
                <w:sz w:val="18"/>
                <w:szCs w:val="18"/>
              </w:rPr>
              <w:t>教学重点：1.非货币性资产交换的认定；2.非货币性资产交换的会计处理原则；3.非货币性资产交换的会计处理。</w:t>
            </w:r>
          </w:p>
          <w:p>
            <w:pPr>
              <w:pStyle w:val="20"/>
              <w:widowControl w:val="0"/>
              <w:jc w:val="both"/>
              <w:rPr>
                <w:sz w:val="18"/>
                <w:szCs w:val="18"/>
              </w:rPr>
            </w:pPr>
            <w:r>
              <w:rPr>
                <w:rFonts w:hint="eastAsia"/>
                <w:sz w:val="18"/>
                <w:szCs w:val="18"/>
              </w:rPr>
              <w:t>教学难点：非货币性资产交换的会计处理。</w:t>
            </w:r>
          </w:p>
          <w:p>
            <w:pPr>
              <w:pStyle w:val="20"/>
              <w:widowControl w:val="0"/>
              <w:jc w:val="both"/>
              <w:rPr>
                <w:sz w:val="18"/>
                <w:szCs w:val="18"/>
              </w:rPr>
            </w:pPr>
            <w:r>
              <w:rPr>
                <w:rFonts w:hint="eastAsia"/>
                <w:sz w:val="18"/>
                <w:szCs w:val="18"/>
              </w:rPr>
              <w:t>思政融入点：1.通过“红色曲别针交换一栋房子”的故事，带领学生进入“物物交换”的世界，引入非货币性资产交换的主题，并引导学生领会“世上本没有垃圾，只是放错位置的资源”的感悟。激发学生内心的行动力和自信心。2.讲到非货币性资产交换的业务核算时，会涉及已学知识点的核算，因此提醒学生要“温故知新，厚积薄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rFonts w:ascii="宋体" w:hAnsi="宋体" w:cs="宋体"/>
                <w:sz w:val="18"/>
                <w:szCs w:val="18"/>
              </w:rPr>
            </w:pPr>
            <w:r>
              <w:rPr>
                <w:rFonts w:hint="eastAsia" w:ascii="宋体" w:hAnsi="宋体" w:cs="宋体"/>
                <w:sz w:val="18"/>
                <w:szCs w:val="18"/>
              </w:rPr>
              <w:t>教学方式</w:t>
            </w:r>
          </w:p>
        </w:tc>
        <w:tc>
          <w:tcPr>
            <w:tcW w:w="7246" w:type="dxa"/>
            <w:gridSpan w:val="3"/>
          </w:tcPr>
          <w:p>
            <w:pPr>
              <w:jc w:val="left"/>
              <w:rPr>
                <w:rFonts w:ascii="宋体" w:hAnsi="宋体" w:cs="宋体"/>
                <w:sz w:val="18"/>
                <w:szCs w:val="18"/>
              </w:rPr>
            </w:pPr>
            <w:r>
              <w:rPr>
                <w:rFonts w:hint="eastAsia" w:ascii="宋体" w:hAnsi="宋体" w:cs="宋体"/>
                <w:sz w:val="18"/>
                <w:szCs w:val="18"/>
              </w:rPr>
              <w:t>1.讲授法：教师讲授课程主要内容，帮助学生构建出完整的知识体系，将琐碎的知识点串联起来，帮助学生更好的掌握所学知识。</w:t>
            </w:r>
          </w:p>
          <w:p>
            <w:pPr>
              <w:jc w:val="left"/>
              <w:rPr>
                <w:rFonts w:ascii="宋体" w:hAnsi="宋体" w:cs="宋体"/>
                <w:sz w:val="18"/>
                <w:szCs w:val="18"/>
              </w:rPr>
            </w:pPr>
            <w:r>
              <w:rPr>
                <w:rFonts w:hint="eastAsia" w:ascii="宋体" w:hAnsi="宋体" w:cs="宋体"/>
                <w:sz w:val="18"/>
                <w:szCs w:val="18"/>
              </w:rPr>
              <w:t>2.小组讨论法：发布大商股份有限公司非货币性资产交换的真实案例，分小组进行讨论，回答老师的相关问题。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教学单元十：资产减值</w:t>
            </w:r>
          </w:p>
        </w:tc>
        <w:tc>
          <w:tcPr>
            <w:tcW w:w="2595" w:type="dxa"/>
            <w:vAlign w:val="center"/>
          </w:tcPr>
          <w:p>
            <w:pPr>
              <w:pStyle w:val="20"/>
              <w:widowControl w:val="0"/>
              <w:jc w:val="both"/>
              <w:rPr>
                <w:rFonts w:ascii="黑体" w:hAnsi="黑体" w:cs="黑体"/>
                <w:kern w:val="2"/>
                <w:sz w:val="18"/>
                <w:szCs w:val="18"/>
              </w:rPr>
            </w:pPr>
            <w:r>
              <w:rPr>
                <w:rFonts w:hint="eastAsia"/>
                <w:sz w:val="18"/>
                <w:szCs w:val="18"/>
              </w:rPr>
              <w:t xml:space="preserve">学时：6     </w:t>
            </w:r>
          </w:p>
        </w:tc>
        <w:tc>
          <w:tcPr>
            <w:tcW w:w="1867" w:type="dxa"/>
            <w:vAlign w:val="center"/>
          </w:tcPr>
          <w:p>
            <w:pPr>
              <w:pStyle w:val="20"/>
              <w:widowControl w:val="0"/>
              <w:jc w:val="both"/>
              <w:rPr>
                <w:sz w:val="18"/>
                <w:szCs w:val="18"/>
              </w:rPr>
            </w:pPr>
            <w:r>
              <w:rPr>
                <w:rFonts w:hint="eastAsia"/>
                <w:sz w:val="18"/>
                <w:szCs w:val="18"/>
              </w:rPr>
              <w:t>支撑课程目标：</w:t>
            </w:r>
            <w:r>
              <w:rPr>
                <w:rFonts w:hint="eastAsia" w:ascii="宋体" w:hAnsi="宋体"/>
                <w:sz w:val="18"/>
                <w:szCs w:val="20"/>
              </w:rPr>
              <w:t>L0</w:t>
            </w:r>
            <w:r>
              <w:rPr>
                <w:rFonts w:hint="eastAsia" w:ascii="宋体" w:hAnsi="宋体"/>
                <w:sz w:val="18"/>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1155" w:type="dxa"/>
            <w:vAlign w:val="center"/>
          </w:tcPr>
          <w:p>
            <w:pPr>
              <w:pStyle w:val="20"/>
              <w:widowControl w:val="0"/>
              <w:jc w:val="both"/>
              <w:rPr>
                <w:rFonts w:ascii="宋体" w:hAnsi="宋体" w:cs="宋体"/>
                <w:sz w:val="18"/>
                <w:szCs w:val="18"/>
              </w:rPr>
            </w:pPr>
            <w:r>
              <w:rPr>
                <w:rFonts w:hint="eastAsia" w:ascii="宋体" w:hAnsi="宋体" w:cs="宋体"/>
                <w:sz w:val="18"/>
                <w:szCs w:val="18"/>
              </w:rPr>
              <w:t>主要内容</w:t>
            </w:r>
          </w:p>
        </w:tc>
        <w:tc>
          <w:tcPr>
            <w:tcW w:w="7246" w:type="dxa"/>
            <w:gridSpan w:val="3"/>
          </w:tcPr>
          <w:p>
            <w:pPr>
              <w:pStyle w:val="2"/>
              <w:rPr>
                <w:bCs/>
                <w:sz w:val="18"/>
                <w:szCs w:val="18"/>
              </w:rPr>
            </w:pPr>
            <w:r>
              <w:rPr>
                <w:rFonts w:hint="eastAsia"/>
                <w:sz w:val="18"/>
                <w:szCs w:val="18"/>
              </w:rPr>
              <w:t>主要内容：1.资产减值概述；2.</w:t>
            </w:r>
            <w:r>
              <w:rPr>
                <w:rFonts w:hint="eastAsia"/>
                <w:bCs/>
                <w:sz w:val="18"/>
                <w:szCs w:val="18"/>
              </w:rPr>
              <w:t>单项资产减值的确认和计量；</w:t>
            </w:r>
            <w:r>
              <w:rPr>
                <w:rFonts w:hint="eastAsia"/>
                <w:sz w:val="18"/>
                <w:szCs w:val="18"/>
              </w:rPr>
              <w:t>3.资产组减值的确认和计量；4.</w:t>
            </w:r>
            <w:r>
              <w:rPr>
                <w:rFonts w:hint="eastAsia"/>
                <w:bCs/>
                <w:sz w:val="18"/>
                <w:szCs w:val="18"/>
              </w:rPr>
              <w:t>总部资产减值的确认和计量。</w:t>
            </w:r>
          </w:p>
          <w:p>
            <w:pPr>
              <w:pStyle w:val="2"/>
              <w:rPr>
                <w:bCs/>
                <w:sz w:val="18"/>
                <w:szCs w:val="18"/>
              </w:rPr>
            </w:pPr>
            <w:r>
              <w:rPr>
                <w:rFonts w:hint="eastAsia"/>
                <w:bCs/>
                <w:sz w:val="18"/>
                <w:szCs w:val="18"/>
              </w:rPr>
              <w:t>教学重点：1.可收回金额的确定；2.单项资产减值的确认和计量；3.资产组减值的确认和计量；4.总部资产减值的确认和计量。</w:t>
            </w:r>
          </w:p>
          <w:p>
            <w:pPr>
              <w:pStyle w:val="2"/>
              <w:rPr>
                <w:bCs/>
                <w:sz w:val="18"/>
                <w:szCs w:val="18"/>
              </w:rPr>
            </w:pPr>
            <w:r>
              <w:rPr>
                <w:rFonts w:hint="eastAsia"/>
                <w:bCs/>
                <w:sz w:val="18"/>
                <w:szCs w:val="18"/>
              </w:rPr>
              <w:t>教学难点：1.资产组减值的确认和计量：2.总部资产减值的确认和计量。</w:t>
            </w:r>
          </w:p>
          <w:p>
            <w:pPr>
              <w:pStyle w:val="2"/>
              <w:rPr>
                <w:sz w:val="18"/>
                <w:szCs w:val="18"/>
              </w:rPr>
            </w:pPr>
            <w:r>
              <w:rPr>
                <w:rFonts w:hint="eastAsia"/>
                <w:sz w:val="18"/>
                <w:szCs w:val="18"/>
              </w:rPr>
              <w:t>思政融入点：通过资产减值的讲解联系到之前所说的“谨慎性”原则，要凭借会计职业判断认定资产减值迹象，但要诚信，不得通过计提秘密准备进行盈余管理、粉饰利润。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sz w:val="18"/>
                <w:szCs w:val="18"/>
              </w:rPr>
            </w:pPr>
            <w:r>
              <w:rPr>
                <w:rFonts w:hint="eastAsia"/>
                <w:sz w:val="18"/>
                <w:szCs w:val="18"/>
              </w:rPr>
              <w:t>教学方式</w:t>
            </w:r>
          </w:p>
        </w:tc>
        <w:tc>
          <w:tcPr>
            <w:tcW w:w="7246" w:type="dxa"/>
            <w:gridSpan w:val="3"/>
          </w:tcPr>
          <w:p>
            <w:pPr>
              <w:pStyle w:val="20"/>
              <w:rPr>
                <w:color w:val="0A21D1"/>
                <w:sz w:val="18"/>
                <w:szCs w:val="18"/>
              </w:rPr>
            </w:pPr>
            <w:r>
              <w:rPr>
                <w:rFonts w:hint="eastAsia"/>
                <w:sz w:val="18"/>
                <w:szCs w:val="18"/>
              </w:rPr>
              <w:t>填写说明：教学方式包含讲授、练习、演示、讨论、实验、上机操作、小组报告、线上线下混合教学等。教学方式应清楚明确，详细描述。</w:t>
            </w:r>
            <w:r>
              <w:rPr>
                <w:rFonts w:hint="eastAsia"/>
                <w:color w:val="0A21D1"/>
                <w:sz w:val="18"/>
                <w:szCs w:val="18"/>
              </w:rPr>
              <w:t xml:space="preserve">  </w:t>
            </w:r>
          </w:p>
          <w:p>
            <w:pPr>
              <w:jc w:val="left"/>
              <w:rPr>
                <w:rFonts w:ascii="宋体" w:hAnsi="宋体" w:cs="宋体"/>
                <w:sz w:val="18"/>
                <w:szCs w:val="18"/>
              </w:rPr>
            </w:pPr>
            <w:r>
              <w:rPr>
                <w:rFonts w:hint="eastAsia" w:ascii="宋体" w:hAnsi="宋体" w:cs="宋体"/>
                <w:sz w:val="18"/>
                <w:szCs w:val="18"/>
              </w:rPr>
              <w:t>1.讲授法：教师讲授课程主要内容，帮助学生构建出完整的知识体系，将琐碎的知识点串联起来，帮助学生更好的掌握所学知识。</w:t>
            </w:r>
          </w:p>
          <w:p>
            <w:pPr>
              <w:pStyle w:val="20"/>
              <w:rPr>
                <w:sz w:val="18"/>
                <w:szCs w:val="18"/>
              </w:rPr>
            </w:pPr>
            <w:r>
              <w:rPr>
                <w:rFonts w:hint="eastAsia"/>
                <w:color w:val="0A21D1"/>
                <w:sz w:val="18"/>
                <w:szCs w:val="18"/>
              </w:rPr>
              <w:t>2.</w:t>
            </w:r>
            <w:r>
              <w:rPr>
                <w:rFonts w:hint="eastAsia"/>
                <w:sz w:val="18"/>
                <w:szCs w:val="18"/>
              </w:rPr>
              <w:t>案例讨论法：教学中通过提问等方式进行相关问题的讨论，对资产可收回金额、资产减值损失的确定、对资产组、总部资产的认定和减值损失确定等问题结合实例进行讨论式教学，以提高学生分析问题、解决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教学单元十一：负债</w:t>
            </w:r>
          </w:p>
        </w:tc>
        <w:tc>
          <w:tcPr>
            <w:tcW w:w="2595" w:type="dxa"/>
            <w:vAlign w:val="center"/>
          </w:tcPr>
          <w:p>
            <w:pPr>
              <w:pStyle w:val="20"/>
              <w:widowControl w:val="0"/>
              <w:jc w:val="both"/>
              <w:rPr>
                <w:rFonts w:ascii="黑体" w:hAnsi="黑体" w:cs="黑体"/>
                <w:kern w:val="2"/>
                <w:sz w:val="18"/>
                <w:szCs w:val="18"/>
              </w:rPr>
            </w:pPr>
            <w:r>
              <w:rPr>
                <w:rFonts w:hint="eastAsia"/>
                <w:sz w:val="18"/>
                <w:szCs w:val="18"/>
              </w:rPr>
              <w:t>学时：12    其中实验学时：</w:t>
            </w:r>
          </w:p>
        </w:tc>
        <w:tc>
          <w:tcPr>
            <w:tcW w:w="1867" w:type="dxa"/>
            <w:vAlign w:val="center"/>
          </w:tcPr>
          <w:p>
            <w:pPr>
              <w:pStyle w:val="20"/>
              <w:widowControl w:val="0"/>
              <w:jc w:val="both"/>
              <w:rPr>
                <w:sz w:val="18"/>
                <w:szCs w:val="18"/>
              </w:rPr>
            </w:pPr>
            <w:r>
              <w:rPr>
                <w:rFonts w:hint="eastAsia"/>
                <w:sz w:val="18"/>
                <w:szCs w:val="18"/>
              </w:rPr>
              <w:t>支撑课程目标：</w:t>
            </w:r>
            <w:r>
              <w:rPr>
                <w:rFonts w:hint="eastAsia" w:ascii="宋体" w:hAnsi="宋体"/>
                <w:sz w:val="18"/>
                <w:szCs w:val="20"/>
              </w:rPr>
              <w:t>L0</w:t>
            </w:r>
            <w:r>
              <w:rPr>
                <w:rFonts w:hint="eastAsia" w:ascii="宋体" w:hAnsi="宋体"/>
                <w:sz w:val="18"/>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55" w:type="dxa"/>
            <w:vAlign w:val="center"/>
          </w:tcPr>
          <w:p>
            <w:pPr>
              <w:pStyle w:val="20"/>
              <w:widowControl w:val="0"/>
              <w:jc w:val="both"/>
              <w:rPr>
                <w:sz w:val="18"/>
                <w:szCs w:val="18"/>
              </w:rPr>
            </w:pPr>
            <w:r>
              <w:rPr>
                <w:rFonts w:hint="eastAsia"/>
                <w:sz w:val="18"/>
                <w:szCs w:val="18"/>
              </w:rPr>
              <w:t>主要内容</w:t>
            </w:r>
            <w:r>
              <w:rPr>
                <w:rFonts w:hint="eastAsia" w:ascii="宋体" w:hAnsi="宋体" w:cs="宋体"/>
                <w:sz w:val="18"/>
                <w:szCs w:val="18"/>
              </w:rPr>
              <w:t>（注明重、难点）</w:t>
            </w:r>
          </w:p>
        </w:tc>
        <w:tc>
          <w:tcPr>
            <w:tcW w:w="7246" w:type="dxa"/>
            <w:gridSpan w:val="3"/>
          </w:tcPr>
          <w:p>
            <w:pPr>
              <w:pStyle w:val="20"/>
              <w:widowControl w:val="0"/>
              <w:jc w:val="both"/>
              <w:rPr>
                <w:sz w:val="18"/>
                <w:szCs w:val="18"/>
              </w:rPr>
            </w:pPr>
            <w:r>
              <w:rPr>
                <w:rFonts w:hint="eastAsia"/>
                <w:sz w:val="18"/>
                <w:szCs w:val="18"/>
              </w:rPr>
              <w:t>主要内容：1.流动负债；2.非流动负债；3.借款费用。</w:t>
            </w:r>
          </w:p>
          <w:p>
            <w:pPr>
              <w:pStyle w:val="20"/>
              <w:widowControl w:val="0"/>
              <w:jc w:val="both"/>
              <w:rPr>
                <w:sz w:val="18"/>
                <w:szCs w:val="18"/>
              </w:rPr>
            </w:pPr>
            <w:r>
              <w:rPr>
                <w:rFonts w:hint="eastAsia"/>
                <w:sz w:val="18"/>
                <w:szCs w:val="18"/>
              </w:rPr>
              <w:t>教学重点：1.流动负债；2.非流动负债；3.借款费用。</w:t>
            </w:r>
          </w:p>
          <w:p>
            <w:pPr>
              <w:pStyle w:val="20"/>
              <w:widowControl w:val="0"/>
              <w:jc w:val="both"/>
              <w:rPr>
                <w:sz w:val="18"/>
                <w:szCs w:val="18"/>
              </w:rPr>
            </w:pPr>
            <w:r>
              <w:rPr>
                <w:rFonts w:hint="eastAsia"/>
                <w:sz w:val="18"/>
                <w:szCs w:val="18"/>
              </w:rPr>
              <w:t>教学难点：1.非流动负债；2.借款费用。</w:t>
            </w:r>
          </w:p>
          <w:p>
            <w:pPr>
              <w:pStyle w:val="20"/>
              <w:rPr>
                <w:sz w:val="18"/>
                <w:szCs w:val="18"/>
              </w:rPr>
            </w:pPr>
            <w:r>
              <w:rPr>
                <w:rFonts w:hint="eastAsia"/>
                <w:sz w:val="18"/>
                <w:szCs w:val="18"/>
              </w:rPr>
              <w:t>思政融入点：1.由黄世仁与杨白劳的小品（视频资源）导入，并请学生思考： </w:t>
            </w:r>
          </w:p>
          <w:p>
            <w:pPr>
              <w:pStyle w:val="20"/>
              <w:rPr>
                <w:sz w:val="18"/>
                <w:szCs w:val="18"/>
              </w:rPr>
            </w:pPr>
            <w:r>
              <w:rPr>
                <w:rFonts w:hint="eastAsia"/>
                <w:sz w:val="18"/>
                <w:szCs w:val="18"/>
              </w:rPr>
              <w:t>（1）为什么小品中的杨白劳的扮演者是什么样的人？（2）不诚信的多角债对社会有什么危害？（3）耍赖与法律谁更有力量？引导学生思考不诚信行为对社会经济发展的危害。同时明确，对待不诚信行为，用不合理、不合法的方法是无法得到解决的，应该使用法律武器来解决。2.</w:t>
            </w:r>
            <w:r>
              <w:rPr>
                <w:rFonts w:hint="eastAsia" w:ascii="宋体" w:hAnsi="宋体"/>
              </w:rPr>
              <w:t xml:space="preserve"> </w:t>
            </w:r>
            <w:r>
              <w:rPr>
                <w:rFonts w:hint="eastAsia"/>
                <w:sz w:val="18"/>
                <w:szCs w:val="18"/>
              </w:rPr>
              <w:t>在讲解应付债券时，发布“抗疫特别国债”案例，培养学生爱国主义情怀及民族自豪感。3. 从短期借款取得业务流程介绍引入银行贷款申请条件中的信誉查询要求（视频资源），阐明诚信对企业融资的重要作用，引导学生重视诚信，养成诚信行为习惯，共建诚信社会。同时明确现有的社会监督手段促进诚信社会建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sz w:val="18"/>
                <w:szCs w:val="18"/>
              </w:rPr>
            </w:pPr>
            <w:r>
              <w:rPr>
                <w:rFonts w:hint="eastAsia"/>
                <w:sz w:val="18"/>
                <w:szCs w:val="18"/>
              </w:rPr>
              <w:t>教学方式</w:t>
            </w:r>
          </w:p>
        </w:tc>
        <w:tc>
          <w:tcPr>
            <w:tcW w:w="7246" w:type="dxa"/>
            <w:gridSpan w:val="3"/>
          </w:tcPr>
          <w:p>
            <w:pPr>
              <w:pStyle w:val="20"/>
              <w:rPr>
                <w:sz w:val="18"/>
                <w:szCs w:val="18"/>
              </w:rPr>
            </w:pPr>
            <w:r>
              <w:rPr>
                <w:rFonts w:hint="eastAsia"/>
                <w:sz w:val="18"/>
                <w:szCs w:val="18"/>
              </w:rPr>
              <w:t>1.讲授法：教师讲授课程主要内容，帮助学生构建出完整的知识体系，将琐碎的知识点串联起来，帮助学生更好的掌握所学知识。</w:t>
            </w:r>
          </w:p>
          <w:p>
            <w:pPr>
              <w:pStyle w:val="20"/>
              <w:rPr>
                <w:rFonts w:ascii="宋体" w:hAnsi="宋体" w:cs="宋体"/>
                <w:sz w:val="18"/>
                <w:szCs w:val="18"/>
              </w:rPr>
            </w:pPr>
            <w:r>
              <w:rPr>
                <w:rFonts w:hint="eastAsia"/>
                <w:sz w:val="18"/>
                <w:szCs w:val="18"/>
              </w:rPr>
              <w:t>2.案例教学法+小组讨论法：通过“刘晓庆逃税案”实例，让学生了解我国税收的现状，讨论偷税、漏税现象发生的原因。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教学单元十二：债务重组</w:t>
            </w:r>
          </w:p>
        </w:tc>
        <w:tc>
          <w:tcPr>
            <w:tcW w:w="2595" w:type="dxa"/>
            <w:vAlign w:val="center"/>
          </w:tcPr>
          <w:p>
            <w:pPr>
              <w:pStyle w:val="20"/>
              <w:widowControl w:val="0"/>
              <w:jc w:val="both"/>
              <w:rPr>
                <w:rFonts w:ascii="黑体" w:hAnsi="黑体" w:eastAsia="黑体" w:cs="黑体"/>
                <w:kern w:val="2"/>
                <w:sz w:val="18"/>
                <w:szCs w:val="18"/>
              </w:rPr>
            </w:pPr>
            <w:r>
              <w:rPr>
                <w:rFonts w:hint="eastAsia"/>
                <w:sz w:val="18"/>
                <w:szCs w:val="18"/>
              </w:rPr>
              <w:t>学时：6</w:t>
            </w:r>
          </w:p>
        </w:tc>
        <w:tc>
          <w:tcPr>
            <w:tcW w:w="1867" w:type="dxa"/>
            <w:vAlign w:val="center"/>
          </w:tcPr>
          <w:p>
            <w:pPr>
              <w:pStyle w:val="20"/>
              <w:widowControl w:val="0"/>
              <w:jc w:val="both"/>
              <w:rPr>
                <w:sz w:val="18"/>
                <w:szCs w:val="18"/>
              </w:rPr>
            </w:pPr>
            <w:r>
              <w:rPr>
                <w:rFonts w:hint="eastAsia"/>
                <w:sz w:val="18"/>
                <w:szCs w:val="18"/>
              </w:rPr>
              <w:t>支撑课程目标：</w:t>
            </w:r>
            <w:r>
              <w:rPr>
                <w:rFonts w:hint="eastAsia" w:ascii="宋体" w:hAnsi="宋体"/>
                <w:sz w:val="18"/>
                <w:szCs w:val="20"/>
              </w:rPr>
              <w:t>L0</w:t>
            </w:r>
            <w:r>
              <w:rPr>
                <w:rFonts w:hint="eastAsia" w:ascii="宋体" w:hAnsi="宋体"/>
                <w:sz w:val="18"/>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55" w:type="dxa"/>
            <w:vAlign w:val="center"/>
          </w:tcPr>
          <w:p>
            <w:pPr>
              <w:pStyle w:val="20"/>
              <w:widowControl w:val="0"/>
              <w:jc w:val="both"/>
              <w:rPr>
                <w:sz w:val="18"/>
                <w:szCs w:val="18"/>
              </w:rPr>
            </w:pPr>
            <w:r>
              <w:rPr>
                <w:rFonts w:hint="eastAsia"/>
                <w:sz w:val="18"/>
                <w:szCs w:val="18"/>
              </w:rPr>
              <w:t>主要内容</w:t>
            </w:r>
            <w:r>
              <w:rPr>
                <w:rFonts w:hint="eastAsia" w:ascii="宋体" w:hAnsi="宋体" w:cs="宋体"/>
                <w:sz w:val="18"/>
                <w:szCs w:val="18"/>
              </w:rPr>
              <w:t>（注明重、难点）</w:t>
            </w:r>
          </w:p>
        </w:tc>
        <w:tc>
          <w:tcPr>
            <w:tcW w:w="7246" w:type="dxa"/>
            <w:gridSpan w:val="3"/>
          </w:tcPr>
          <w:p>
            <w:pPr>
              <w:pStyle w:val="20"/>
              <w:rPr>
                <w:sz w:val="18"/>
                <w:szCs w:val="18"/>
              </w:rPr>
            </w:pPr>
            <w:r>
              <w:rPr>
                <w:rFonts w:hint="eastAsia"/>
                <w:sz w:val="18"/>
                <w:szCs w:val="18"/>
              </w:rPr>
              <w:t>主要内容：1.债务重组概述；2.债务重组的会计处理。</w:t>
            </w:r>
          </w:p>
          <w:p>
            <w:pPr>
              <w:pStyle w:val="20"/>
              <w:rPr>
                <w:sz w:val="18"/>
                <w:szCs w:val="18"/>
              </w:rPr>
            </w:pPr>
            <w:r>
              <w:rPr>
                <w:rFonts w:hint="eastAsia"/>
                <w:sz w:val="18"/>
                <w:szCs w:val="18"/>
              </w:rPr>
              <w:t>教学重点：1.债务重组概述；2.债务重组的会计处理。</w:t>
            </w:r>
          </w:p>
          <w:p>
            <w:pPr>
              <w:pStyle w:val="20"/>
              <w:rPr>
                <w:sz w:val="18"/>
                <w:szCs w:val="18"/>
              </w:rPr>
            </w:pPr>
            <w:r>
              <w:rPr>
                <w:rFonts w:hint="eastAsia"/>
                <w:sz w:val="18"/>
                <w:szCs w:val="18"/>
              </w:rPr>
              <w:t>教学难点：债务重组的账务处理。</w:t>
            </w:r>
          </w:p>
          <w:p>
            <w:pPr>
              <w:pStyle w:val="20"/>
              <w:rPr>
                <w:sz w:val="18"/>
                <w:szCs w:val="18"/>
              </w:rPr>
            </w:pPr>
            <w:r>
              <w:rPr>
                <w:rFonts w:hint="eastAsia"/>
                <w:sz w:val="18"/>
                <w:szCs w:val="18"/>
              </w:rPr>
              <w:t>思政融入点：课程导入：《易经》：“曲成万物而不遗”，“穷则变，变则通，通则久。是以自天佑之，吉无不利”，导入债务重组这个知识点，万事皆可变通。</w:t>
            </w:r>
          </w:p>
          <w:p>
            <w:pPr>
              <w:pStyle w:val="20"/>
              <w:widowControl w:val="0"/>
              <w:jc w:val="both"/>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rFonts w:ascii="宋体" w:hAnsi="宋体" w:cs="宋体"/>
                <w:sz w:val="18"/>
                <w:szCs w:val="18"/>
              </w:rPr>
            </w:pPr>
            <w:r>
              <w:rPr>
                <w:rFonts w:hint="eastAsia" w:ascii="宋体" w:hAnsi="宋体" w:cs="宋体"/>
                <w:sz w:val="18"/>
                <w:szCs w:val="18"/>
              </w:rPr>
              <w:t>教学方式</w:t>
            </w:r>
          </w:p>
        </w:tc>
        <w:tc>
          <w:tcPr>
            <w:tcW w:w="7246" w:type="dxa"/>
            <w:gridSpan w:val="3"/>
          </w:tcPr>
          <w:p>
            <w:pPr>
              <w:pStyle w:val="20"/>
              <w:rPr>
                <w:sz w:val="18"/>
                <w:szCs w:val="18"/>
              </w:rPr>
            </w:pPr>
            <w:r>
              <w:rPr>
                <w:rFonts w:hint="eastAsia"/>
                <w:sz w:val="18"/>
                <w:szCs w:val="18"/>
              </w:rPr>
              <w:t>1.讲授法：教师讲授课程主要内容，帮助学生构建出完整的知识体系，将琐碎的知识点串联起来，帮助学生更好的掌握所学知识。</w:t>
            </w:r>
          </w:p>
          <w:p>
            <w:pPr>
              <w:pStyle w:val="20"/>
              <w:rPr>
                <w:rFonts w:ascii="宋体" w:hAnsi="宋体" w:cs="宋体"/>
                <w:sz w:val="18"/>
                <w:szCs w:val="18"/>
              </w:rPr>
            </w:pPr>
            <w:r>
              <w:rPr>
                <w:rFonts w:hint="eastAsia"/>
                <w:sz w:val="18"/>
                <w:szCs w:val="18"/>
              </w:rPr>
              <w:t>2. 小组讨论法：讲授完知识点后，通过</w:t>
            </w:r>
            <w:r>
              <w:rPr>
                <w:sz w:val="18"/>
                <w:szCs w:val="18"/>
              </w:rPr>
              <w:t>e</w:t>
            </w:r>
            <w:r>
              <w:rPr>
                <w:rFonts w:hint="eastAsia"/>
                <w:sz w:val="18"/>
                <w:szCs w:val="18"/>
              </w:rPr>
              <w:t>会学发布课堂练习测试学生的接受程度，同时发布上市公司债务重组的真实案例，分小组进行讨论，回答老师的相关问题。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教学单元十三：所有者权益</w:t>
            </w:r>
          </w:p>
        </w:tc>
        <w:tc>
          <w:tcPr>
            <w:tcW w:w="2595" w:type="dxa"/>
            <w:vAlign w:val="center"/>
          </w:tcPr>
          <w:p>
            <w:pPr>
              <w:pStyle w:val="20"/>
              <w:widowControl w:val="0"/>
              <w:jc w:val="both"/>
              <w:rPr>
                <w:rFonts w:ascii="黑体" w:hAnsi="黑体" w:cs="黑体"/>
                <w:kern w:val="2"/>
                <w:sz w:val="18"/>
                <w:szCs w:val="18"/>
              </w:rPr>
            </w:pPr>
            <w:r>
              <w:rPr>
                <w:rFonts w:hint="eastAsia"/>
                <w:sz w:val="18"/>
                <w:szCs w:val="18"/>
              </w:rPr>
              <w:t>学时：4     其中实验学时：0</w:t>
            </w:r>
          </w:p>
        </w:tc>
        <w:tc>
          <w:tcPr>
            <w:tcW w:w="1867" w:type="dxa"/>
            <w:vAlign w:val="center"/>
          </w:tcPr>
          <w:p>
            <w:pPr>
              <w:pStyle w:val="20"/>
              <w:widowControl w:val="0"/>
              <w:jc w:val="both"/>
              <w:rPr>
                <w:sz w:val="18"/>
                <w:szCs w:val="18"/>
              </w:rPr>
            </w:pPr>
            <w:r>
              <w:rPr>
                <w:rFonts w:hint="eastAsia"/>
                <w:sz w:val="18"/>
                <w:szCs w:val="18"/>
              </w:rPr>
              <w:t>支撑课程目标：</w:t>
            </w:r>
            <w:r>
              <w:rPr>
                <w:rFonts w:hint="eastAsia" w:ascii="宋体" w:hAnsi="宋体"/>
                <w:sz w:val="18"/>
                <w:szCs w:val="20"/>
              </w:rPr>
              <w:t>L0</w:t>
            </w:r>
            <w:r>
              <w:rPr>
                <w:rFonts w:hint="eastAsia" w:ascii="宋体" w:hAnsi="宋体"/>
                <w:sz w:val="18"/>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1155" w:type="dxa"/>
            <w:vAlign w:val="center"/>
          </w:tcPr>
          <w:p>
            <w:pPr>
              <w:pStyle w:val="20"/>
              <w:widowControl w:val="0"/>
              <w:jc w:val="both"/>
              <w:rPr>
                <w:rFonts w:ascii="宋体" w:hAnsi="宋体" w:cs="宋体"/>
                <w:sz w:val="18"/>
                <w:szCs w:val="18"/>
              </w:rPr>
            </w:pPr>
            <w:r>
              <w:rPr>
                <w:rFonts w:hint="eastAsia" w:ascii="宋体" w:hAnsi="宋体" w:cs="宋体"/>
                <w:sz w:val="18"/>
                <w:szCs w:val="18"/>
              </w:rPr>
              <w:t>主要内容</w:t>
            </w:r>
          </w:p>
        </w:tc>
        <w:tc>
          <w:tcPr>
            <w:tcW w:w="7246" w:type="dxa"/>
            <w:gridSpan w:val="3"/>
          </w:tcPr>
          <w:p>
            <w:pPr>
              <w:pStyle w:val="20"/>
              <w:widowControl w:val="0"/>
              <w:jc w:val="both"/>
              <w:rPr>
                <w:sz w:val="18"/>
                <w:szCs w:val="18"/>
              </w:rPr>
            </w:pPr>
            <w:r>
              <w:rPr>
                <w:rFonts w:hint="eastAsia"/>
                <w:sz w:val="18"/>
                <w:szCs w:val="18"/>
              </w:rPr>
              <w:t>主要内容：1.所有者权益概述；2.实收资本与其他权益工具；3.资本公积与其他综合收益；4.留存收益</w:t>
            </w:r>
          </w:p>
          <w:p>
            <w:pPr>
              <w:pStyle w:val="20"/>
              <w:widowControl w:val="0"/>
              <w:jc w:val="both"/>
              <w:rPr>
                <w:sz w:val="18"/>
                <w:szCs w:val="18"/>
              </w:rPr>
            </w:pPr>
            <w:r>
              <w:rPr>
                <w:rFonts w:hint="eastAsia"/>
                <w:sz w:val="18"/>
                <w:szCs w:val="18"/>
              </w:rPr>
              <w:t>教学重点：1.实收资本与其他权益工具；2.资本公积与其他综合收益；3.留存收益</w:t>
            </w:r>
          </w:p>
          <w:p>
            <w:pPr>
              <w:pStyle w:val="20"/>
              <w:widowControl w:val="0"/>
              <w:jc w:val="both"/>
              <w:rPr>
                <w:sz w:val="18"/>
                <w:szCs w:val="18"/>
              </w:rPr>
            </w:pPr>
            <w:r>
              <w:rPr>
                <w:rFonts w:hint="eastAsia"/>
                <w:sz w:val="18"/>
                <w:szCs w:val="18"/>
              </w:rPr>
              <w:t>教学难点：1.实收资本与其他权益工具；2.资本公积与其他综合收益；</w:t>
            </w:r>
          </w:p>
          <w:p>
            <w:pPr>
              <w:pStyle w:val="20"/>
              <w:widowControl w:val="0"/>
              <w:jc w:val="both"/>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sz w:val="18"/>
                <w:szCs w:val="18"/>
              </w:rPr>
            </w:pPr>
            <w:r>
              <w:rPr>
                <w:rFonts w:hint="eastAsia"/>
                <w:sz w:val="18"/>
                <w:szCs w:val="18"/>
              </w:rPr>
              <w:t>教学方式</w:t>
            </w:r>
          </w:p>
        </w:tc>
        <w:tc>
          <w:tcPr>
            <w:tcW w:w="7246" w:type="dxa"/>
            <w:gridSpan w:val="3"/>
          </w:tcPr>
          <w:p>
            <w:pPr>
              <w:pStyle w:val="20"/>
              <w:rPr>
                <w:sz w:val="18"/>
                <w:szCs w:val="18"/>
              </w:rPr>
            </w:pPr>
            <w:r>
              <w:rPr>
                <w:rFonts w:hint="eastAsia"/>
                <w:sz w:val="18"/>
                <w:szCs w:val="18"/>
              </w:rPr>
              <w:t>1.讲授法：本章内容比较较少，讲授过程中，应注意条例清楚，注重基本知识的讲解，特别是注重比较负债和所有者权益的异同；</w:t>
            </w:r>
          </w:p>
          <w:p>
            <w:pPr>
              <w:pStyle w:val="20"/>
              <w:rPr>
                <w:sz w:val="18"/>
                <w:szCs w:val="18"/>
              </w:rPr>
            </w:pPr>
            <w:r>
              <w:rPr>
                <w:rFonts w:hint="eastAsia"/>
                <w:sz w:val="18"/>
                <w:szCs w:val="18"/>
              </w:rPr>
              <w:t>2.引导法：注意通过留存收益的核算引导学生思考资产负债表与利润表的关系。</w:t>
            </w:r>
          </w:p>
          <w:p>
            <w:pPr>
              <w:jc w:val="left"/>
              <w:rPr>
                <w:rFonts w:ascii="黑体" w:hAnsi="黑体" w:eastAsia="黑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教学单元十四：收入、费用和利润</w:t>
            </w:r>
          </w:p>
        </w:tc>
        <w:tc>
          <w:tcPr>
            <w:tcW w:w="2595" w:type="dxa"/>
            <w:vAlign w:val="center"/>
          </w:tcPr>
          <w:p>
            <w:pPr>
              <w:pStyle w:val="20"/>
              <w:widowControl w:val="0"/>
              <w:jc w:val="both"/>
              <w:rPr>
                <w:rFonts w:ascii="黑体" w:hAnsi="黑体" w:cs="黑体"/>
                <w:kern w:val="2"/>
                <w:sz w:val="18"/>
                <w:szCs w:val="18"/>
              </w:rPr>
            </w:pPr>
            <w:r>
              <w:rPr>
                <w:rFonts w:hint="eastAsia"/>
                <w:sz w:val="18"/>
                <w:szCs w:val="18"/>
              </w:rPr>
              <w:t>学时：14    其中实验学时：</w:t>
            </w:r>
          </w:p>
        </w:tc>
        <w:tc>
          <w:tcPr>
            <w:tcW w:w="1867" w:type="dxa"/>
            <w:vAlign w:val="center"/>
          </w:tcPr>
          <w:p>
            <w:pPr>
              <w:pStyle w:val="20"/>
              <w:widowControl w:val="0"/>
              <w:jc w:val="both"/>
              <w:rPr>
                <w:sz w:val="18"/>
                <w:szCs w:val="18"/>
              </w:rPr>
            </w:pPr>
            <w:r>
              <w:rPr>
                <w:rFonts w:hint="eastAsia"/>
                <w:sz w:val="18"/>
                <w:szCs w:val="18"/>
              </w:rPr>
              <w:t>支撑课程目标：</w:t>
            </w:r>
            <w:r>
              <w:rPr>
                <w:rFonts w:hint="eastAsia" w:ascii="宋体" w:hAnsi="宋体"/>
                <w:sz w:val="18"/>
                <w:szCs w:val="20"/>
              </w:rPr>
              <w:t>L0</w:t>
            </w:r>
            <w:r>
              <w:rPr>
                <w:rFonts w:hint="eastAsia" w:ascii="宋体" w:hAnsi="宋体"/>
                <w:sz w:val="18"/>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55" w:type="dxa"/>
            <w:vAlign w:val="center"/>
          </w:tcPr>
          <w:p>
            <w:pPr>
              <w:pStyle w:val="20"/>
              <w:widowControl w:val="0"/>
              <w:jc w:val="both"/>
              <w:rPr>
                <w:sz w:val="18"/>
                <w:szCs w:val="18"/>
              </w:rPr>
            </w:pPr>
            <w:r>
              <w:rPr>
                <w:rFonts w:hint="eastAsia"/>
                <w:sz w:val="18"/>
                <w:szCs w:val="18"/>
              </w:rPr>
              <w:t>主要内容</w:t>
            </w:r>
            <w:r>
              <w:rPr>
                <w:rFonts w:hint="eastAsia" w:ascii="宋体" w:hAnsi="宋体" w:cs="宋体"/>
                <w:sz w:val="18"/>
                <w:szCs w:val="18"/>
              </w:rPr>
              <w:t>（注明重、难点）</w:t>
            </w:r>
          </w:p>
        </w:tc>
        <w:tc>
          <w:tcPr>
            <w:tcW w:w="7246" w:type="dxa"/>
            <w:gridSpan w:val="3"/>
          </w:tcPr>
          <w:p>
            <w:pPr>
              <w:pStyle w:val="20"/>
              <w:widowControl w:val="0"/>
              <w:jc w:val="both"/>
              <w:rPr>
                <w:sz w:val="18"/>
                <w:szCs w:val="18"/>
              </w:rPr>
            </w:pPr>
            <w:r>
              <w:rPr>
                <w:rFonts w:hint="eastAsia"/>
                <w:sz w:val="18"/>
                <w:szCs w:val="18"/>
              </w:rPr>
              <w:t>主要内容：1.收入；2.费用；3.利润</w:t>
            </w:r>
          </w:p>
          <w:p>
            <w:pPr>
              <w:pStyle w:val="20"/>
              <w:widowControl w:val="0"/>
              <w:jc w:val="both"/>
              <w:rPr>
                <w:sz w:val="18"/>
                <w:szCs w:val="18"/>
              </w:rPr>
            </w:pPr>
            <w:r>
              <w:rPr>
                <w:rFonts w:hint="eastAsia"/>
                <w:sz w:val="18"/>
                <w:szCs w:val="18"/>
              </w:rPr>
              <w:t>教学重点：1.收入（五步法模型、销售业务的一般会计处理）；2.利润</w:t>
            </w:r>
            <w:r>
              <w:rPr>
                <w:sz w:val="18"/>
                <w:szCs w:val="18"/>
              </w:rPr>
              <w:t xml:space="preserve"> </w:t>
            </w:r>
          </w:p>
          <w:p>
            <w:pPr>
              <w:pStyle w:val="20"/>
              <w:widowControl w:val="0"/>
              <w:jc w:val="both"/>
              <w:rPr>
                <w:sz w:val="18"/>
                <w:szCs w:val="18"/>
              </w:rPr>
            </w:pPr>
            <w:r>
              <w:rPr>
                <w:rFonts w:hint="eastAsia"/>
                <w:sz w:val="18"/>
                <w:szCs w:val="18"/>
              </w:rPr>
              <w:t>教学难点：收入（五步法模型、销售业务的一般会计处理）</w:t>
            </w:r>
          </w:p>
          <w:p>
            <w:pPr>
              <w:pStyle w:val="20"/>
              <w:rPr>
                <w:sz w:val="18"/>
                <w:szCs w:val="18"/>
              </w:rPr>
            </w:pPr>
            <w:r>
              <w:rPr>
                <w:rFonts w:hint="eastAsia"/>
                <w:sz w:val="18"/>
                <w:szCs w:val="18"/>
              </w:rPr>
              <w:t>思政融入点：讲解“营业外支出”时联系到“郑州水灾企业捐款捐物”的爱心行为，</w:t>
            </w:r>
            <w:r>
              <w:rPr>
                <w:sz w:val="18"/>
                <w:szCs w:val="18"/>
              </w:rPr>
              <w:t>让同学们在灾难中学会感恩与担当，守望相助、共克时艰，让学生懂得“哪有什么岁月静好，只不过是有人在替我们负重前行”。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sz w:val="18"/>
                <w:szCs w:val="18"/>
              </w:rPr>
            </w:pPr>
            <w:r>
              <w:rPr>
                <w:rFonts w:hint="eastAsia"/>
                <w:sz w:val="18"/>
                <w:szCs w:val="18"/>
              </w:rPr>
              <w:t>教学方式</w:t>
            </w:r>
          </w:p>
        </w:tc>
        <w:tc>
          <w:tcPr>
            <w:tcW w:w="7246" w:type="dxa"/>
            <w:gridSpan w:val="3"/>
          </w:tcPr>
          <w:p>
            <w:pPr>
              <w:pStyle w:val="20"/>
              <w:rPr>
                <w:sz w:val="18"/>
                <w:szCs w:val="18"/>
              </w:rPr>
            </w:pPr>
            <w:r>
              <w:rPr>
                <w:rFonts w:hint="eastAsia"/>
                <w:sz w:val="18"/>
                <w:szCs w:val="18"/>
              </w:rPr>
              <w:t>1.讲授法：教师讲授课程主要内容，帮助学生构建出完整的知识体系，将琐碎的知识点串联起来，帮助学生更好的掌握所学知识。</w:t>
            </w:r>
          </w:p>
          <w:p>
            <w:pPr>
              <w:jc w:val="left"/>
              <w:rPr>
                <w:rFonts w:ascii="黑体" w:hAnsi="黑体" w:eastAsia="黑体" w:cs="黑体"/>
                <w:sz w:val="18"/>
                <w:szCs w:val="18"/>
              </w:rPr>
            </w:pPr>
            <w:r>
              <w:rPr>
                <w:rFonts w:hint="eastAsia" w:ascii="黑体" w:hAnsi="黑体" w:eastAsia="黑体" w:cs="黑体"/>
                <w:sz w:val="18"/>
                <w:szCs w:val="18"/>
              </w:rPr>
              <w:t>2.</w:t>
            </w:r>
            <w:r>
              <w:rPr>
                <w:rFonts w:hint="eastAsia" w:ascii="Calibri" w:hAnsi="Calibri"/>
                <w:kern w:val="0"/>
                <w:sz w:val="18"/>
                <w:szCs w:val="18"/>
              </w:rPr>
              <w:t>比较新旧会计准则，组织学生展开讨论，找出差异，相互启发。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教学单元十五：所得税会计</w:t>
            </w:r>
          </w:p>
        </w:tc>
        <w:tc>
          <w:tcPr>
            <w:tcW w:w="2595" w:type="dxa"/>
            <w:vAlign w:val="center"/>
          </w:tcPr>
          <w:p>
            <w:pPr>
              <w:pStyle w:val="20"/>
              <w:widowControl w:val="0"/>
              <w:jc w:val="both"/>
              <w:rPr>
                <w:rFonts w:ascii="黑体" w:hAnsi="黑体" w:eastAsia="黑体" w:cs="黑体"/>
                <w:kern w:val="2"/>
                <w:sz w:val="18"/>
                <w:szCs w:val="18"/>
              </w:rPr>
            </w:pPr>
            <w:r>
              <w:rPr>
                <w:rFonts w:hint="eastAsia"/>
                <w:sz w:val="18"/>
                <w:szCs w:val="18"/>
              </w:rPr>
              <w:t>学时：10</w:t>
            </w:r>
          </w:p>
        </w:tc>
        <w:tc>
          <w:tcPr>
            <w:tcW w:w="1867" w:type="dxa"/>
            <w:vAlign w:val="center"/>
          </w:tcPr>
          <w:p>
            <w:pPr>
              <w:pStyle w:val="20"/>
              <w:widowControl w:val="0"/>
              <w:jc w:val="both"/>
              <w:rPr>
                <w:sz w:val="18"/>
                <w:szCs w:val="18"/>
              </w:rPr>
            </w:pPr>
            <w:r>
              <w:rPr>
                <w:rFonts w:hint="eastAsia"/>
                <w:sz w:val="18"/>
                <w:szCs w:val="18"/>
              </w:rPr>
              <w:t>支撑课程目标：</w:t>
            </w:r>
            <w:r>
              <w:rPr>
                <w:rFonts w:hint="eastAsia" w:ascii="宋体" w:hAnsi="宋体"/>
                <w:sz w:val="18"/>
                <w:szCs w:val="20"/>
              </w:rPr>
              <w:t>L0</w:t>
            </w:r>
            <w:r>
              <w:rPr>
                <w:rFonts w:hint="eastAsia" w:ascii="宋体" w:hAnsi="宋体"/>
                <w:sz w:val="18"/>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55" w:type="dxa"/>
            <w:vAlign w:val="center"/>
          </w:tcPr>
          <w:p>
            <w:pPr>
              <w:pStyle w:val="20"/>
              <w:widowControl w:val="0"/>
              <w:jc w:val="both"/>
              <w:rPr>
                <w:sz w:val="18"/>
                <w:szCs w:val="18"/>
              </w:rPr>
            </w:pPr>
            <w:r>
              <w:rPr>
                <w:rFonts w:hint="eastAsia"/>
                <w:sz w:val="18"/>
                <w:szCs w:val="18"/>
              </w:rPr>
              <w:t>主要内容</w:t>
            </w:r>
            <w:r>
              <w:rPr>
                <w:rFonts w:hint="eastAsia" w:ascii="宋体" w:hAnsi="宋体" w:cs="宋体"/>
                <w:sz w:val="18"/>
                <w:szCs w:val="18"/>
              </w:rPr>
              <w:t>（注明重、难点）</w:t>
            </w:r>
          </w:p>
        </w:tc>
        <w:tc>
          <w:tcPr>
            <w:tcW w:w="7246" w:type="dxa"/>
            <w:gridSpan w:val="3"/>
          </w:tcPr>
          <w:p>
            <w:pPr>
              <w:pStyle w:val="20"/>
              <w:widowControl w:val="0"/>
              <w:jc w:val="both"/>
              <w:rPr>
                <w:sz w:val="18"/>
                <w:szCs w:val="18"/>
              </w:rPr>
            </w:pPr>
            <w:r>
              <w:rPr>
                <w:rFonts w:hint="eastAsia"/>
                <w:sz w:val="18"/>
                <w:szCs w:val="18"/>
              </w:rPr>
              <w:t>主要内容：1.所得税会计概述；2.暂时性差异；3.递延所得税资产和负债；4.所得税费用</w:t>
            </w:r>
          </w:p>
          <w:p>
            <w:pPr>
              <w:pStyle w:val="20"/>
              <w:widowControl w:val="0"/>
              <w:jc w:val="both"/>
              <w:rPr>
                <w:sz w:val="18"/>
                <w:szCs w:val="18"/>
              </w:rPr>
            </w:pPr>
            <w:r>
              <w:rPr>
                <w:rFonts w:hint="eastAsia"/>
                <w:sz w:val="18"/>
                <w:szCs w:val="18"/>
              </w:rPr>
              <w:t>教学重点：1.暂时性差异；2.递延所得税资产和负债；3.所得税费用</w:t>
            </w:r>
          </w:p>
          <w:p>
            <w:pPr>
              <w:pStyle w:val="20"/>
              <w:widowControl w:val="0"/>
              <w:jc w:val="both"/>
              <w:rPr>
                <w:sz w:val="18"/>
                <w:szCs w:val="18"/>
              </w:rPr>
            </w:pPr>
            <w:r>
              <w:rPr>
                <w:rFonts w:hint="eastAsia"/>
                <w:sz w:val="18"/>
                <w:szCs w:val="18"/>
              </w:rPr>
              <w:t>教学难点：1.递延所得税资产和负债；2.所得税费用</w:t>
            </w:r>
          </w:p>
          <w:p>
            <w:pPr>
              <w:pStyle w:val="20"/>
              <w:widowControl w:val="0"/>
              <w:jc w:val="both"/>
              <w:rPr>
                <w:sz w:val="18"/>
                <w:szCs w:val="18"/>
              </w:rPr>
            </w:pPr>
            <w:r>
              <w:rPr>
                <w:rFonts w:hint="eastAsia"/>
                <w:sz w:val="18"/>
                <w:szCs w:val="18"/>
              </w:rPr>
              <w:t>思政融入点：以“广西桂锦祥投资有限公司隐匿收入偷税案例”为课程导入，帮助学生了解企业所得税相关知识的同时，帮助学生养成勇于探索、关于指引的科学精神，树立诚信守法的职业素养。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rFonts w:ascii="宋体" w:hAnsi="宋体" w:cs="宋体"/>
                <w:sz w:val="18"/>
                <w:szCs w:val="18"/>
              </w:rPr>
            </w:pPr>
            <w:r>
              <w:rPr>
                <w:rFonts w:hint="eastAsia" w:ascii="宋体" w:hAnsi="宋体" w:cs="宋体"/>
                <w:sz w:val="18"/>
                <w:szCs w:val="18"/>
              </w:rPr>
              <w:t>教学方式</w:t>
            </w:r>
          </w:p>
        </w:tc>
        <w:tc>
          <w:tcPr>
            <w:tcW w:w="7246" w:type="dxa"/>
            <w:gridSpan w:val="3"/>
          </w:tcPr>
          <w:p>
            <w:pPr>
              <w:pStyle w:val="20"/>
              <w:rPr>
                <w:sz w:val="18"/>
                <w:szCs w:val="18"/>
              </w:rPr>
            </w:pPr>
            <w:r>
              <w:rPr>
                <w:rFonts w:hint="eastAsia"/>
                <w:sz w:val="18"/>
                <w:szCs w:val="18"/>
              </w:rPr>
              <w:t>1.讲授法：教师讲授课程主要内容，帮助学生构建出完整的知识体系，将琐碎的知识点串联起来，帮助学生更好的掌握所学知识。</w:t>
            </w:r>
          </w:p>
          <w:p>
            <w:pPr>
              <w:rPr>
                <w:rFonts w:ascii="宋体" w:hAnsi="宋体" w:cs="宋体"/>
                <w:sz w:val="18"/>
                <w:szCs w:val="18"/>
              </w:rPr>
            </w:pPr>
            <w:r>
              <w:rPr>
                <w:rFonts w:hint="eastAsia" w:ascii="宋体" w:hAnsi="宋体" w:cs="宋体"/>
                <w:sz w:val="18"/>
                <w:szCs w:val="18"/>
              </w:rPr>
              <w:t>2.围绕</w:t>
            </w:r>
            <w:r>
              <w:rPr>
                <w:rFonts w:hint="eastAsia"/>
                <w:sz w:val="18"/>
                <w:szCs w:val="18"/>
              </w:rPr>
              <w:t>“广西桂锦祥投资有限公司隐匿收入偷税案例”</w:t>
            </w:r>
            <w:r>
              <w:rPr>
                <w:rFonts w:hint="eastAsia" w:ascii="宋体" w:hAnsi="宋体" w:cs="宋体"/>
                <w:sz w:val="18"/>
                <w:szCs w:val="18"/>
              </w:rPr>
              <w:t>的主题，学生自由</w:t>
            </w:r>
            <w:r>
              <w:rPr>
                <w:rFonts w:hint="eastAsia" w:ascii="宋体" w:hAnsi="宋体" w:cs="宋体"/>
                <w:b/>
                <w:bCs/>
                <w:sz w:val="18"/>
                <w:szCs w:val="18"/>
              </w:rPr>
              <w:t>讨论</w:t>
            </w:r>
            <w:r>
              <w:rPr>
                <w:rFonts w:hint="eastAsia" w:ascii="宋体" w:hAnsi="宋体" w:cs="宋体"/>
                <w:sz w:val="18"/>
                <w:szCs w:val="18"/>
              </w:rPr>
              <w:t>，相互启发；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vAlign w:val="center"/>
          </w:tcPr>
          <w:p>
            <w:pPr>
              <w:pStyle w:val="20"/>
              <w:widowControl w:val="0"/>
              <w:jc w:val="both"/>
              <w:rPr>
                <w:sz w:val="18"/>
                <w:szCs w:val="18"/>
              </w:rPr>
            </w:pPr>
            <w:r>
              <w:rPr>
                <w:rFonts w:hint="eastAsia" w:ascii="黑体" w:hAnsi="黑体" w:eastAsia="黑体" w:cs="黑体"/>
                <w:kern w:val="2"/>
                <w:sz w:val="18"/>
                <w:szCs w:val="18"/>
              </w:rPr>
              <w:t>教学单元十六：财务报告</w:t>
            </w:r>
          </w:p>
        </w:tc>
        <w:tc>
          <w:tcPr>
            <w:tcW w:w="2595" w:type="dxa"/>
            <w:vAlign w:val="center"/>
          </w:tcPr>
          <w:p>
            <w:pPr>
              <w:pStyle w:val="20"/>
              <w:widowControl w:val="0"/>
              <w:jc w:val="both"/>
              <w:rPr>
                <w:rFonts w:ascii="黑体" w:hAnsi="黑体" w:cs="黑体"/>
                <w:kern w:val="2"/>
                <w:sz w:val="18"/>
                <w:szCs w:val="18"/>
              </w:rPr>
            </w:pPr>
            <w:r>
              <w:rPr>
                <w:rFonts w:hint="eastAsia"/>
                <w:sz w:val="18"/>
                <w:szCs w:val="18"/>
              </w:rPr>
              <w:t>学时：6     其中实验学时：0</w:t>
            </w:r>
          </w:p>
        </w:tc>
        <w:tc>
          <w:tcPr>
            <w:tcW w:w="1867" w:type="dxa"/>
            <w:vAlign w:val="center"/>
          </w:tcPr>
          <w:p>
            <w:pPr>
              <w:pStyle w:val="20"/>
              <w:widowControl w:val="0"/>
              <w:jc w:val="both"/>
              <w:rPr>
                <w:rFonts w:hint="eastAsia" w:eastAsia="宋体"/>
                <w:sz w:val="18"/>
                <w:szCs w:val="18"/>
                <w:lang w:val="en-US" w:eastAsia="zh-CN"/>
              </w:rPr>
            </w:pPr>
            <w:r>
              <w:rPr>
                <w:rFonts w:hint="eastAsia"/>
                <w:sz w:val="18"/>
                <w:szCs w:val="18"/>
              </w:rPr>
              <w:t>支撑课程目标：</w:t>
            </w:r>
            <w:r>
              <w:rPr>
                <w:rFonts w:hint="eastAsia" w:ascii="宋体" w:hAnsi="宋体"/>
                <w:sz w:val="18"/>
                <w:szCs w:val="20"/>
              </w:rPr>
              <w:t>L0</w:t>
            </w:r>
            <w:r>
              <w:rPr>
                <w:rFonts w:hint="eastAsia" w:ascii="宋体" w:hAnsi="宋体"/>
                <w:sz w:val="18"/>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1155" w:type="dxa"/>
            <w:vAlign w:val="center"/>
          </w:tcPr>
          <w:p>
            <w:pPr>
              <w:pStyle w:val="20"/>
              <w:widowControl w:val="0"/>
              <w:jc w:val="both"/>
              <w:rPr>
                <w:rFonts w:ascii="宋体" w:hAnsi="宋体" w:cs="宋体"/>
                <w:sz w:val="18"/>
                <w:szCs w:val="18"/>
              </w:rPr>
            </w:pPr>
            <w:r>
              <w:rPr>
                <w:rFonts w:hint="eastAsia" w:ascii="宋体" w:hAnsi="宋体" w:cs="宋体"/>
                <w:sz w:val="18"/>
                <w:szCs w:val="18"/>
              </w:rPr>
              <w:t>主要内容</w:t>
            </w:r>
          </w:p>
        </w:tc>
        <w:tc>
          <w:tcPr>
            <w:tcW w:w="7246" w:type="dxa"/>
            <w:gridSpan w:val="3"/>
          </w:tcPr>
          <w:p>
            <w:pPr>
              <w:pStyle w:val="20"/>
              <w:widowControl w:val="0"/>
              <w:jc w:val="both"/>
              <w:rPr>
                <w:sz w:val="18"/>
                <w:szCs w:val="18"/>
              </w:rPr>
            </w:pPr>
            <w:r>
              <w:rPr>
                <w:rFonts w:hint="eastAsia"/>
                <w:sz w:val="18"/>
                <w:szCs w:val="18"/>
              </w:rPr>
              <w:t>主要内容：1.财务报告概述；2.资产负债表；3.利润表；4.现金流量表；5.所有者权益变动表；6.财务报表附注</w:t>
            </w:r>
          </w:p>
          <w:p>
            <w:pPr>
              <w:pStyle w:val="20"/>
              <w:widowControl w:val="0"/>
              <w:jc w:val="both"/>
              <w:rPr>
                <w:sz w:val="18"/>
                <w:szCs w:val="18"/>
              </w:rPr>
            </w:pPr>
            <w:r>
              <w:rPr>
                <w:rFonts w:hint="eastAsia"/>
                <w:sz w:val="18"/>
                <w:szCs w:val="18"/>
              </w:rPr>
              <w:t>教学重点：1.资产负债表；2.利润表；3.现金流量表；</w:t>
            </w:r>
          </w:p>
          <w:p>
            <w:pPr>
              <w:pStyle w:val="20"/>
              <w:widowControl w:val="0"/>
              <w:jc w:val="both"/>
              <w:rPr>
                <w:sz w:val="18"/>
                <w:szCs w:val="18"/>
              </w:rPr>
            </w:pPr>
            <w:r>
              <w:rPr>
                <w:rFonts w:hint="eastAsia"/>
                <w:sz w:val="18"/>
                <w:szCs w:val="18"/>
              </w:rPr>
              <w:t>教学难点：现金流量表</w:t>
            </w:r>
          </w:p>
          <w:p>
            <w:pPr>
              <w:pStyle w:val="2"/>
              <w:rPr>
                <w:sz w:val="18"/>
                <w:szCs w:val="18"/>
              </w:rPr>
            </w:pPr>
            <w:r>
              <w:rPr>
                <w:rFonts w:hint="eastAsia"/>
                <w:sz w:val="18"/>
                <w:szCs w:val="18"/>
              </w:rPr>
              <w:t>思政融入点：“中信国安财务造假案例”，通过案例背景分析成因引出财务报告章节的相关知识，进而引导学生思考财务造假的成因，培养学生的分析能力，培养学生坚持准则，诚信为本的良好品质，提升学生思想道德素质修养。</w:t>
            </w:r>
          </w:p>
          <w:p>
            <w:pPr>
              <w:pStyle w:val="20"/>
              <w:widowControl w:val="0"/>
              <w:jc w:val="both"/>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vAlign w:val="center"/>
          </w:tcPr>
          <w:p>
            <w:pPr>
              <w:pStyle w:val="20"/>
              <w:widowControl w:val="0"/>
              <w:jc w:val="both"/>
              <w:rPr>
                <w:sz w:val="18"/>
                <w:szCs w:val="18"/>
              </w:rPr>
            </w:pPr>
            <w:r>
              <w:rPr>
                <w:rFonts w:hint="eastAsia"/>
                <w:sz w:val="18"/>
                <w:szCs w:val="18"/>
              </w:rPr>
              <w:t>教学方式</w:t>
            </w:r>
          </w:p>
        </w:tc>
        <w:tc>
          <w:tcPr>
            <w:tcW w:w="7246" w:type="dxa"/>
            <w:gridSpan w:val="3"/>
          </w:tcPr>
          <w:p>
            <w:pPr>
              <w:pStyle w:val="20"/>
              <w:rPr>
                <w:sz w:val="18"/>
                <w:szCs w:val="18"/>
              </w:rPr>
            </w:pPr>
            <w:r>
              <w:rPr>
                <w:rFonts w:hint="eastAsia"/>
                <w:sz w:val="18"/>
                <w:szCs w:val="18"/>
              </w:rPr>
              <w:t>1.讲授法：教师讲授课程主要内容，帮助学生构建出完整的知识体系，将琐碎的知识点串联起来，帮助学生更好的掌握所学知识。</w:t>
            </w:r>
          </w:p>
          <w:p>
            <w:pPr>
              <w:pStyle w:val="20"/>
              <w:rPr>
                <w:sz w:val="18"/>
                <w:szCs w:val="18"/>
              </w:rPr>
            </w:pPr>
            <w:r>
              <w:rPr>
                <w:rFonts w:hint="eastAsia"/>
                <w:sz w:val="18"/>
                <w:szCs w:val="18"/>
              </w:rPr>
              <w:t>2.案例法教学：在课上与课外需加大综合案例的分析与练习，巩固并强化学生的财务报告的形成观念。</w:t>
            </w:r>
          </w:p>
          <w:p>
            <w:pPr>
              <w:jc w:val="left"/>
              <w:rPr>
                <w:rFonts w:ascii="黑体" w:hAnsi="黑体" w:eastAsia="黑体" w:cs="黑体"/>
                <w:sz w:val="18"/>
                <w:szCs w:val="18"/>
              </w:rPr>
            </w:pPr>
          </w:p>
        </w:tc>
      </w:tr>
    </w:tbl>
    <w:p>
      <w:pPr>
        <w:widowControl/>
        <w:spacing w:before="100" w:after="100" w:line="400" w:lineRule="exact"/>
        <w:ind w:firstLine="240" w:firstLineChars="100"/>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五、考核方式及成绩评定</w:t>
      </w:r>
    </w:p>
    <w:p>
      <w:pPr>
        <w:widowControl/>
        <w:spacing w:line="360" w:lineRule="auto"/>
        <w:jc w:val="left"/>
        <w:rPr>
          <w:rFonts w:ascii="宋体" w:hAnsi="宋体" w:cs="宋体"/>
        </w:rPr>
      </w:pPr>
      <w:r>
        <w:rPr>
          <w:rFonts w:hint="eastAsia" w:ascii="宋体" w:hAnsi="宋体" w:cs="宋体"/>
          <w:color w:val="000000"/>
          <w:kern w:val="0"/>
          <w:lang w:bidi="ar"/>
        </w:rPr>
        <w:t>（一）成绩评定方法</w:t>
      </w:r>
    </w:p>
    <w:tbl>
      <w:tblPr>
        <w:tblStyle w:val="9"/>
        <w:tblW w:w="80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12"/>
        <w:gridCol w:w="1680"/>
        <w:gridCol w:w="4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1412"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考核环节</w:t>
            </w:r>
          </w:p>
        </w:tc>
        <w:tc>
          <w:tcPr>
            <w:tcW w:w="1680"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权重</w:t>
            </w:r>
          </w:p>
        </w:tc>
        <w:tc>
          <w:tcPr>
            <w:tcW w:w="4936"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考核要点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12" w:type="dxa"/>
            <w:vAlign w:val="center"/>
          </w:tcPr>
          <w:p>
            <w:pPr>
              <w:widowControl/>
              <w:jc w:val="center"/>
              <w:rPr>
                <w:rFonts w:ascii="宋体" w:hAnsi="宋体" w:cs="宋体"/>
                <w:sz w:val="18"/>
                <w:szCs w:val="18"/>
              </w:rPr>
            </w:pPr>
            <w:r>
              <w:rPr>
                <w:rFonts w:hint="eastAsia" w:ascii="宋体" w:hAnsi="宋体" w:cs="宋体"/>
                <w:sz w:val="18"/>
                <w:szCs w:val="18"/>
              </w:rPr>
              <w:t>课堂表现及书面作业</w:t>
            </w:r>
          </w:p>
        </w:tc>
        <w:tc>
          <w:tcPr>
            <w:tcW w:w="1680" w:type="dxa"/>
          </w:tcPr>
          <w:p>
            <w:pPr>
              <w:jc w:val="center"/>
              <w:rPr>
                <w:rFonts w:ascii="宋体" w:hAnsi="宋体" w:cs="宋体"/>
                <w:sz w:val="18"/>
                <w:szCs w:val="18"/>
              </w:rPr>
            </w:pPr>
            <w:r>
              <w:rPr>
                <w:rFonts w:hint="eastAsia" w:ascii="宋体" w:hAnsi="宋体" w:cs="宋体"/>
                <w:sz w:val="18"/>
                <w:szCs w:val="18"/>
              </w:rPr>
              <w:t>30%</w:t>
            </w:r>
          </w:p>
        </w:tc>
        <w:tc>
          <w:tcPr>
            <w:tcW w:w="4936" w:type="dxa"/>
          </w:tcPr>
          <w:p>
            <w:pPr>
              <w:widowControl/>
              <w:jc w:val="left"/>
              <w:rPr>
                <w:rFonts w:ascii="宋体" w:hAnsi="宋体" w:cs="宋体"/>
                <w:sz w:val="18"/>
                <w:szCs w:val="18"/>
              </w:rPr>
            </w:pPr>
            <w:r>
              <w:rPr>
                <w:rFonts w:hint="eastAsia" w:ascii="宋体" w:hAnsi="宋体" w:cs="宋体"/>
                <w:sz w:val="18"/>
                <w:szCs w:val="18"/>
              </w:rPr>
              <w:t>考勤记录、课堂提问、课后作业等情况评定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12" w:type="dxa"/>
            <w:vAlign w:val="center"/>
          </w:tcPr>
          <w:p>
            <w:pPr>
              <w:jc w:val="center"/>
              <w:rPr>
                <w:rFonts w:ascii="宋体" w:hAnsi="宋体" w:cs="宋体"/>
                <w:sz w:val="18"/>
                <w:szCs w:val="18"/>
              </w:rPr>
            </w:pPr>
            <w:r>
              <w:rPr>
                <w:rFonts w:hint="eastAsia" w:ascii="宋体" w:hAnsi="宋体" w:cs="宋体"/>
                <w:sz w:val="18"/>
                <w:szCs w:val="18"/>
              </w:rPr>
              <w:t>期末考试</w:t>
            </w:r>
          </w:p>
        </w:tc>
        <w:tc>
          <w:tcPr>
            <w:tcW w:w="1680" w:type="dxa"/>
          </w:tcPr>
          <w:p>
            <w:pPr>
              <w:jc w:val="center"/>
              <w:rPr>
                <w:rFonts w:ascii="宋体" w:hAnsi="宋体" w:cs="宋体"/>
                <w:sz w:val="18"/>
                <w:szCs w:val="18"/>
              </w:rPr>
            </w:pPr>
            <w:r>
              <w:rPr>
                <w:rFonts w:hint="eastAsia" w:ascii="宋体" w:hAnsi="宋体" w:cs="宋体"/>
                <w:sz w:val="18"/>
                <w:szCs w:val="18"/>
              </w:rPr>
              <w:t>70%</w:t>
            </w:r>
          </w:p>
        </w:tc>
        <w:tc>
          <w:tcPr>
            <w:tcW w:w="4936" w:type="dxa"/>
          </w:tcPr>
          <w:p>
            <w:pPr>
              <w:widowControl/>
              <w:jc w:val="left"/>
              <w:rPr>
                <w:rFonts w:ascii="宋体" w:hAnsi="宋体" w:cs="宋体"/>
                <w:sz w:val="18"/>
                <w:szCs w:val="18"/>
              </w:rPr>
            </w:pPr>
            <w:r>
              <w:rPr>
                <w:rFonts w:hint="eastAsia" w:ascii="宋体" w:hAnsi="宋体" w:cs="宋体"/>
                <w:sz w:val="18"/>
                <w:szCs w:val="18"/>
              </w:rPr>
              <w:t>闭卷考试：单选题、</w:t>
            </w:r>
            <w:r>
              <w:rPr>
                <w:rFonts w:hint="eastAsia" w:ascii="宋体" w:hAnsi="宋体" w:cs="宋体"/>
                <w:sz w:val="18"/>
                <w:szCs w:val="18"/>
                <w:lang w:val="en-US" w:eastAsia="zh-CN"/>
              </w:rPr>
              <w:t>填空题、</w:t>
            </w:r>
            <w:r>
              <w:rPr>
                <w:rFonts w:hint="eastAsia" w:ascii="宋体" w:hAnsi="宋体" w:cs="宋体"/>
                <w:sz w:val="18"/>
                <w:szCs w:val="18"/>
              </w:rPr>
              <w:t>判断题、计算分析题、综合题（根据试卷答题正确性评定，答题步骤正确性与解题思路正确性酌情给分）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12" w:type="dxa"/>
            <w:vAlign w:val="center"/>
          </w:tcPr>
          <w:p>
            <w:pPr>
              <w:jc w:val="center"/>
              <w:rPr>
                <w:rFonts w:ascii="宋体" w:hAnsi="宋体" w:cs="宋体"/>
                <w:sz w:val="18"/>
                <w:szCs w:val="18"/>
              </w:rPr>
            </w:pPr>
            <w:r>
              <w:rPr>
                <w:rFonts w:hint="eastAsia" w:ascii="宋体" w:hAnsi="宋体" w:cs="宋体"/>
                <w:sz w:val="18"/>
                <w:szCs w:val="18"/>
              </w:rPr>
              <w:t>合计</w:t>
            </w:r>
          </w:p>
        </w:tc>
        <w:tc>
          <w:tcPr>
            <w:tcW w:w="1680" w:type="dxa"/>
          </w:tcPr>
          <w:p>
            <w:pPr>
              <w:jc w:val="center"/>
              <w:rPr>
                <w:rFonts w:ascii="宋体" w:hAnsi="宋体" w:cs="宋体"/>
                <w:sz w:val="18"/>
                <w:szCs w:val="18"/>
              </w:rPr>
            </w:pPr>
            <w:r>
              <w:rPr>
                <w:rFonts w:hint="eastAsia" w:ascii="宋体" w:hAnsi="宋体" w:cs="宋体"/>
                <w:sz w:val="18"/>
                <w:szCs w:val="18"/>
              </w:rPr>
              <w:t>100%</w:t>
            </w:r>
          </w:p>
        </w:tc>
        <w:tc>
          <w:tcPr>
            <w:tcW w:w="4936" w:type="dxa"/>
          </w:tcPr>
          <w:p>
            <w:pPr>
              <w:widowControl/>
              <w:jc w:val="left"/>
              <w:rPr>
                <w:rFonts w:ascii="宋体" w:hAnsi="宋体" w:cs="宋体"/>
                <w:sz w:val="18"/>
                <w:szCs w:val="18"/>
              </w:rPr>
            </w:pPr>
          </w:p>
        </w:tc>
      </w:tr>
    </w:tbl>
    <w:p>
      <w:pPr>
        <w:widowControl/>
        <w:numPr>
          <w:ilvl w:val="0"/>
          <w:numId w:val="2"/>
        </w:numPr>
        <w:spacing w:line="360" w:lineRule="auto"/>
        <w:jc w:val="left"/>
        <w:rPr>
          <w:rFonts w:ascii="宋体" w:hAnsi="宋体" w:cs="宋体"/>
          <w:color w:val="000000"/>
          <w:kern w:val="0"/>
          <w:lang w:bidi="ar"/>
        </w:rPr>
      </w:pPr>
      <w:r>
        <w:rPr>
          <w:rFonts w:hint="eastAsia" w:ascii="宋体" w:hAnsi="宋体" w:cs="宋体"/>
          <w:color w:val="000000"/>
          <w:kern w:val="0"/>
          <w:lang w:bidi="ar"/>
        </w:rPr>
        <w:t>课程目标评定权重</w:t>
      </w:r>
    </w:p>
    <w:tbl>
      <w:tblPr>
        <w:tblStyle w:val="9"/>
        <w:tblW w:w="6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4"/>
        <w:gridCol w:w="1635"/>
        <w:gridCol w:w="1308"/>
        <w:gridCol w:w="1152"/>
        <w:gridCol w:w="1241"/>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764" w:type="dxa"/>
            <w:vMerge w:val="restart"/>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课程目标</w:t>
            </w:r>
          </w:p>
        </w:tc>
        <w:tc>
          <w:tcPr>
            <w:tcW w:w="1635" w:type="dxa"/>
            <w:vMerge w:val="restart"/>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课程目标权重</w:t>
            </w:r>
          </w:p>
        </w:tc>
        <w:tc>
          <w:tcPr>
            <w:tcW w:w="1308" w:type="dxa"/>
            <w:vAlign w:val="center"/>
          </w:tcPr>
          <w:p>
            <w:pPr>
              <w:widowControl/>
              <w:jc w:val="center"/>
              <w:rPr>
                <w:rFonts w:ascii="宋体" w:hAnsi="宋体" w:cs="宋体"/>
                <w:sz w:val="18"/>
                <w:szCs w:val="18"/>
              </w:rPr>
            </w:pPr>
            <w:r>
              <w:rPr>
                <w:rFonts w:hint="eastAsia" w:ascii="宋体" w:hAnsi="宋体" w:cs="宋体"/>
                <w:sz w:val="18"/>
                <w:szCs w:val="18"/>
              </w:rPr>
              <w:t>课堂表现及书面作业</w:t>
            </w:r>
            <w:r>
              <w:rPr>
                <w:rFonts w:hint="eastAsia" w:ascii="宋体" w:hAnsi="宋体" w:cs="宋体"/>
                <w:color w:val="000000"/>
                <w:kern w:val="0"/>
                <w:sz w:val="18"/>
                <w:szCs w:val="18"/>
                <w:lang w:bidi="ar"/>
              </w:rPr>
              <w:t>(权重:</w:t>
            </w:r>
            <w:r>
              <w:rPr>
                <w:rFonts w:hint="eastAsia" w:ascii="宋体" w:hAnsi="宋体" w:cs="宋体"/>
                <w:color w:val="000000"/>
                <w:kern w:val="0"/>
                <w:sz w:val="18"/>
                <w:szCs w:val="18"/>
                <w:lang w:val="en-US" w:eastAsia="zh-CN" w:bidi="ar"/>
              </w:rPr>
              <w:t>K1=</w:t>
            </w:r>
            <w:r>
              <w:rPr>
                <w:rFonts w:hint="eastAsia" w:ascii="宋体" w:hAnsi="宋体" w:cs="宋体"/>
                <w:color w:val="000000"/>
                <w:kern w:val="0"/>
                <w:sz w:val="18"/>
                <w:szCs w:val="18"/>
                <w:lang w:bidi="ar"/>
              </w:rPr>
              <w:t>30%)</w:t>
            </w:r>
          </w:p>
        </w:tc>
        <w:tc>
          <w:tcPr>
            <w:tcW w:w="1152" w:type="dxa"/>
            <w:vAlign w:val="center"/>
          </w:tcPr>
          <w:p>
            <w:pPr>
              <w:pStyle w:val="20"/>
              <w:jc w:val="center"/>
              <w:rPr>
                <w:rFonts w:ascii="宋体" w:hAnsi="宋体" w:cs="宋体"/>
                <w:sz w:val="18"/>
                <w:szCs w:val="18"/>
              </w:rPr>
            </w:pPr>
            <w:r>
              <w:rPr>
                <w:rFonts w:hint="eastAsia" w:ascii="宋体" w:hAnsi="宋体" w:cs="宋体"/>
                <w:sz w:val="18"/>
                <w:szCs w:val="18"/>
              </w:rPr>
              <w:t>期末考试</w:t>
            </w:r>
          </w:p>
          <w:p>
            <w:pPr>
              <w:widowControl/>
              <w:jc w:val="center"/>
              <w:rPr>
                <w:rFonts w:ascii="宋体" w:hAnsi="宋体" w:cs="宋体"/>
                <w:sz w:val="18"/>
                <w:szCs w:val="18"/>
              </w:rPr>
            </w:pPr>
            <w:r>
              <w:rPr>
                <w:rFonts w:hint="eastAsia" w:ascii="宋体" w:hAnsi="宋体" w:cs="宋体"/>
                <w:color w:val="000000"/>
                <w:kern w:val="0"/>
                <w:sz w:val="18"/>
                <w:szCs w:val="18"/>
                <w:lang w:bidi="ar"/>
              </w:rPr>
              <w:t>(权重：</w:t>
            </w:r>
            <w:r>
              <w:rPr>
                <w:rFonts w:hint="eastAsia" w:ascii="宋体" w:hAnsi="宋体" w:cs="宋体"/>
                <w:color w:val="000000"/>
                <w:kern w:val="0"/>
                <w:sz w:val="18"/>
                <w:szCs w:val="18"/>
                <w:lang w:val="en-US" w:eastAsia="zh-CN" w:bidi="ar"/>
              </w:rPr>
              <w:t>K2=</w:t>
            </w:r>
            <w:r>
              <w:rPr>
                <w:rFonts w:hint="eastAsia" w:ascii="宋体" w:hAnsi="宋体" w:cs="宋体"/>
                <w:color w:val="000000"/>
                <w:kern w:val="0"/>
                <w:sz w:val="18"/>
                <w:szCs w:val="18"/>
                <w:lang w:bidi="ar"/>
              </w:rPr>
              <w:t>70%)</w:t>
            </w:r>
          </w:p>
        </w:tc>
        <w:tc>
          <w:tcPr>
            <w:tcW w:w="1241" w:type="dxa"/>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合计</w:t>
            </w:r>
          </w:p>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(权重：100%)</w:t>
            </w:r>
          </w:p>
        </w:tc>
        <w:tc>
          <w:tcPr>
            <w:tcW w:w="715" w:type="dxa"/>
            <w:vMerge w:val="restart"/>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课程目标达成度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764" w:type="dxa"/>
            <w:vMerge w:val="continue"/>
            <w:vAlign w:val="center"/>
          </w:tcPr>
          <w:p>
            <w:pPr>
              <w:widowControl/>
              <w:jc w:val="center"/>
              <w:rPr>
                <w:rFonts w:ascii="宋体" w:hAnsi="宋体" w:cs="宋体"/>
                <w:color w:val="000000"/>
                <w:kern w:val="0"/>
                <w:sz w:val="18"/>
                <w:szCs w:val="18"/>
                <w:lang w:bidi="ar"/>
              </w:rPr>
            </w:pPr>
          </w:p>
        </w:tc>
        <w:tc>
          <w:tcPr>
            <w:tcW w:w="1635" w:type="dxa"/>
            <w:vMerge w:val="continue"/>
            <w:vAlign w:val="center"/>
          </w:tcPr>
          <w:p>
            <w:pPr>
              <w:widowControl/>
              <w:jc w:val="center"/>
              <w:rPr>
                <w:rFonts w:ascii="宋体" w:hAnsi="宋体" w:cs="宋体"/>
                <w:color w:val="000000"/>
                <w:kern w:val="0"/>
                <w:sz w:val="18"/>
                <w:szCs w:val="18"/>
                <w:lang w:bidi="ar"/>
              </w:rPr>
            </w:pPr>
          </w:p>
        </w:tc>
        <w:tc>
          <w:tcPr>
            <w:tcW w:w="1308" w:type="dxa"/>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分数分配</w:t>
            </w:r>
          </w:p>
        </w:tc>
        <w:tc>
          <w:tcPr>
            <w:tcW w:w="1152" w:type="dxa"/>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分数分配</w:t>
            </w:r>
          </w:p>
        </w:tc>
        <w:tc>
          <w:tcPr>
            <w:tcW w:w="1241" w:type="dxa"/>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课程目标分数</w:t>
            </w:r>
          </w:p>
        </w:tc>
        <w:tc>
          <w:tcPr>
            <w:tcW w:w="715" w:type="dxa"/>
            <w:vMerge w:val="continue"/>
            <w:vAlign w:val="center"/>
          </w:tcPr>
          <w:p>
            <w:pPr>
              <w:widowControl/>
              <w:jc w:val="center"/>
              <w:rPr>
                <w:rFonts w:ascii="宋体" w:hAnsi="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pPr>
              <w:pStyle w:val="20"/>
              <w:jc w:val="center"/>
              <w:rPr>
                <w:rFonts w:ascii="宋体" w:hAnsi="宋体" w:cs="宋体"/>
                <w:color w:val="000000"/>
                <w:sz w:val="18"/>
                <w:szCs w:val="18"/>
                <w:lang w:bidi="ar"/>
              </w:rPr>
            </w:pPr>
            <w:r>
              <w:rPr>
                <w:rFonts w:hint="eastAsia" w:ascii="宋体" w:hAnsi="宋体" w:cs="宋体"/>
                <w:sz w:val="18"/>
                <w:szCs w:val="18"/>
              </w:rPr>
              <w:t>L01</w:t>
            </w:r>
          </w:p>
        </w:tc>
        <w:tc>
          <w:tcPr>
            <w:tcW w:w="1635" w:type="dxa"/>
            <w:vAlign w:val="center"/>
          </w:tcPr>
          <w:p>
            <w:pPr>
              <w:pStyle w:val="20"/>
              <w:jc w:val="center"/>
              <w:rPr>
                <w:rFonts w:ascii="宋体" w:hAnsi="宋体" w:cs="宋体"/>
                <w:color w:val="000000"/>
                <w:sz w:val="18"/>
                <w:szCs w:val="18"/>
                <w:lang w:bidi="ar"/>
              </w:rPr>
            </w:pPr>
            <w:r>
              <w:rPr>
                <w:rFonts w:hint="eastAsia" w:ascii="宋体" w:hAnsi="宋体" w:cs="宋体"/>
                <w:sz w:val="18"/>
                <w:szCs w:val="18"/>
              </w:rPr>
              <w:t>Y1</w:t>
            </w:r>
            <w:r>
              <w:rPr>
                <w:rFonts w:hint="eastAsia" w:ascii="宋体" w:hAnsi="宋体" w:cs="宋体"/>
                <w:sz w:val="18"/>
                <w:szCs w:val="18"/>
                <w:lang w:val="en-US" w:eastAsia="zh-CN"/>
              </w:rPr>
              <w:t>=</w:t>
            </w:r>
            <w:r>
              <w:rPr>
                <w:rFonts w:hint="eastAsia" w:ascii="宋体" w:hAnsi="宋体" w:cs="宋体"/>
                <w:sz w:val="18"/>
                <w:szCs w:val="18"/>
              </w:rPr>
              <w:t xml:space="preserve"> </w:t>
            </w:r>
            <w:r>
              <w:rPr>
                <w:rFonts w:hint="eastAsia" w:ascii="宋体" w:hAnsi="宋体" w:cs="宋体"/>
                <w:sz w:val="18"/>
                <w:szCs w:val="18"/>
                <w:lang w:val="en-US" w:eastAsia="zh-CN"/>
              </w:rPr>
              <w:t>56</w:t>
            </w:r>
            <w:r>
              <w:rPr>
                <w:rFonts w:hint="eastAsia" w:ascii="宋体" w:hAnsi="宋体" w:cs="宋体"/>
                <w:sz w:val="18"/>
                <w:szCs w:val="18"/>
              </w:rPr>
              <w:t>%</w:t>
            </w:r>
          </w:p>
        </w:tc>
        <w:tc>
          <w:tcPr>
            <w:tcW w:w="1308" w:type="dxa"/>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A1(56)</w:t>
            </w:r>
          </w:p>
        </w:tc>
        <w:tc>
          <w:tcPr>
            <w:tcW w:w="1152" w:type="dxa"/>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A2(56)</w:t>
            </w:r>
          </w:p>
        </w:tc>
        <w:tc>
          <w:tcPr>
            <w:tcW w:w="1241" w:type="dxa"/>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M1=56</w:t>
            </w:r>
          </w:p>
        </w:tc>
        <w:tc>
          <w:tcPr>
            <w:tcW w:w="715" w:type="dxa"/>
            <w:vAlign w:val="center"/>
          </w:tcPr>
          <w:p>
            <w:pPr>
              <w:widowControl/>
              <w:jc w:val="center"/>
              <w:textAlignment w:val="center"/>
              <w:rPr>
                <w:rFonts w:ascii="宋体" w:hAnsi="宋体" w:cs="宋体"/>
                <w:sz w:val="18"/>
                <w:szCs w:val="18"/>
              </w:rPr>
            </w:pPr>
            <w:r>
              <w:rPr>
                <w:rFonts w:hint="eastAsia" w:ascii="宋体" w:hAnsi="宋体" w:cs="宋体"/>
                <w:color w:val="0000FF"/>
                <w:sz w:val="21"/>
                <w:szCs w:val="21"/>
                <w:lang w:bidi="ar"/>
              </w:rPr>
              <w:t>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6" w:hRule="atLeast"/>
          <w:jc w:val="center"/>
        </w:trPr>
        <w:tc>
          <w:tcPr>
            <w:tcW w:w="764" w:type="dxa"/>
            <w:vAlign w:val="center"/>
          </w:tcPr>
          <w:p>
            <w:pPr>
              <w:pStyle w:val="20"/>
              <w:jc w:val="center"/>
              <w:rPr>
                <w:rFonts w:ascii="宋体" w:hAnsi="宋体" w:cs="宋体"/>
                <w:sz w:val="18"/>
                <w:szCs w:val="18"/>
              </w:rPr>
            </w:pPr>
            <w:r>
              <w:rPr>
                <w:rFonts w:hint="eastAsia" w:ascii="宋体" w:hAnsi="宋体" w:cs="宋体"/>
                <w:sz w:val="18"/>
                <w:szCs w:val="18"/>
              </w:rPr>
              <w:t>L02</w:t>
            </w:r>
          </w:p>
        </w:tc>
        <w:tc>
          <w:tcPr>
            <w:tcW w:w="1635" w:type="dxa"/>
            <w:vAlign w:val="center"/>
          </w:tcPr>
          <w:p>
            <w:pPr>
              <w:pStyle w:val="20"/>
              <w:jc w:val="center"/>
              <w:rPr>
                <w:rFonts w:ascii="宋体" w:hAnsi="宋体" w:cs="宋体"/>
                <w:color w:val="000000"/>
                <w:sz w:val="18"/>
                <w:szCs w:val="18"/>
                <w:lang w:bidi="ar"/>
              </w:rPr>
            </w:pPr>
            <w:r>
              <w:rPr>
                <w:rFonts w:hint="eastAsia" w:ascii="宋体" w:hAnsi="宋体" w:cs="宋体"/>
                <w:sz w:val="18"/>
                <w:szCs w:val="18"/>
              </w:rPr>
              <w:t>Y</w:t>
            </w:r>
            <w:r>
              <w:rPr>
                <w:rFonts w:hint="eastAsia" w:ascii="宋体" w:hAnsi="宋体" w:cs="宋体"/>
                <w:sz w:val="18"/>
                <w:szCs w:val="18"/>
                <w:lang w:val="en-US" w:eastAsia="zh-CN"/>
              </w:rPr>
              <w:t>2= 34</w:t>
            </w:r>
            <w:r>
              <w:rPr>
                <w:rFonts w:hint="eastAsia" w:ascii="宋体" w:hAnsi="宋体" w:cs="宋体"/>
                <w:sz w:val="18"/>
                <w:szCs w:val="18"/>
              </w:rPr>
              <w:t>%</w:t>
            </w:r>
          </w:p>
        </w:tc>
        <w:tc>
          <w:tcPr>
            <w:tcW w:w="1308" w:type="dxa"/>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B1(34)</w:t>
            </w:r>
          </w:p>
        </w:tc>
        <w:tc>
          <w:tcPr>
            <w:tcW w:w="1152" w:type="dxa"/>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B2(34)</w:t>
            </w:r>
          </w:p>
        </w:tc>
        <w:tc>
          <w:tcPr>
            <w:tcW w:w="1241" w:type="dxa"/>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M2=34</w:t>
            </w:r>
          </w:p>
        </w:tc>
        <w:tc>
          <w:tcPr>
            <w:tcW w:w="715" w:type="dxa"/>
            <w:vAlign w:val="center"/>
          </w:tcPr>
          <w:p>
            <w:pPr>
              <w:widowControl/>
              <w:jc w:val="center"/>
              <w:textAlignment w:val="center"/>
              <w:rPr>
                <w:rFonts w:hint="eastAsia" w:ascii="宋体" w:hAnsi="宋体" w:eastAsia="宋体" w:cs="宋体"/>
                <w:sz w:val="18"/>
                <w:szCs w:val="18"/>
                <w:lang w:val="en-US" w:eastAsia="zh-CN"/>
              </w:rPr>
            </w:pPr>
            <w:r>
              <w:rPr>
                <w:rFonts w:hint="eastAsia" w:ascii="宋体" w:hAnsi="宋体" w:cs="宋体"/>
                <w:color w:val="0000FF"/>
                <w:sz w:val="21"/>
                <w:szCs w:val="21"/>
                <w:lang w:bidi="ar"/>
              </w:rPr>
              <w:t>Q</w:t>
            </w:r>
            <w:r>
              <w:rPr>
                <w:rFonts w:hint="eastAsia" w:ascii="宋体" w:hAnsi="宋体" w:cs="宋体"/>
                <w:color w:val="0000FF"/>
                <w:sz w:val="21"/>
                <w:szCs w:val="21"/>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pPr>
              <w:pStyle w:val="20"/>
              <w:jc w:val="center"/>
              <w:rPr>
                <w:rFonts w:ascii="宋体" w:hAnsi="宋体" w:cs="宋体"/>
                <w:sz w:val="18"/>
                <w:szCs w:val="18"/>
              </w:rPr>
            </w:pPr>
            <w:r>
              <w:rPr>
                <w:rFonts w:hint="eastAsia" w:ascii="宋体" w:hAnsi="宋体" w:cs="宋体"/>
                <w:sz w:val="18"/>
                <w:szCs w:val="18"/>
              </w:rPr>
              <w:t>L03</w:t>
            </w:r>
          </w:p>
        </w:tc>
        <w:tc>
          <w:tcPr>
            <w:tcW w:w="1635" w:type="dxa"/>
            <w:vAlign w:val="center"/>
          </w:tcPr>
          <w:p>
            <w:pPr>
              <w:pStyle w:val="20"/>
              <w:jc w:val="center"/>
              <w:rPr>
                <w:rFonts w:ascii="宋体" w:hAnsi="宋体" w:cs="宋体"/>
                <w:color w:val="000000"/>
                <w:sz w:val="18"/>
                <w:szCs w:val="18"/>
                <w:lang w:bidi="ar"/>
              </w:rPr>
            </w:pPr>
            <w:r>
              <w:rPr>
                <w:rFonts w:hint="eastAsia" w:ascii="宋体" w:hAnsi="宋体" w:cs="宋体"/>
                <w:sz w:val="18"/>
                <w:szCs w:val="18"/>
              </w:rPr>
              <w:t>Y</w:t>
            </w:r>
            <w:r>
              <w:rPr>
                <w:rFonts w:hint="eastAsia" w:ascii="宋体" w:hAnsi="宋体" w:cs="宋体"/>
                <w:sz w:val="18"/>
                <w:szCs w:val="18"/>
                <w:lang w:val="en-US" w:eastAsia="zh-CN"/>
              </w:rPr>
              <w:t>3= 10</w:t>
            </w:r>
            <w:r>
              <w:rPr>
                <w:rFonts w:hint="eastAsia" w:ascii="宋体" w:hAnsi="宋体" w:cs="宋体"/>
                <w:sz w:val="18"/>
                <w:szCs w:val="18"/>
              </w:rPr>
              <w:t>%</w:t>
            </w:r>
          </w:p>
        </w:tc>
        <w:tc>
          <w:tcPr>
            <w:tcW w:w="1308" w:type="dxa"/>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C1(10)</w:t>
            </w:r>
          </w:p>
        </w:tc>
        <w:tc>
          <w:tcPr>
            <w:tcW w:w="1152" w:type="dxa"/>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C2(10)</w:t>
            </w:r>
          </w:p>
        </w:tc>
        <w:tc>
          <w:tcPr>
            <w:tcW w:w="1241" w:type="dxa"/>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M3=10</w:t>
            </w:r>
          </w:p>
        </w:tc>
        <w:tc>
          <w:tcPr>
            <w:tcW w:w="715" w:type="dxa"/>
            <w:vAlign w:val="center"/>
          </w:tcPr>
          <w:p>
            <w:pPr>
              <w:widowControl/>
              <w:jc w:val="center"/>
              <w:textAlignment w:val="center"/>
              <w:rPr>
                <w:rFonts w:hint="eastAsia" w:ascii="宋体" w:hAnsi="宋体" w:eastAsia="宋体" w:cs="宋体"/>
                <w:sz w:val="18"/>
                <w:szCs w:val="18"/>
                <w:lang w:val="en-US" w:eastAsia="zh-CN"/>
              </w:rPr>
            </w:pPr>
            <w:r>
              <w:rPr>
                <w:rFonts w:hint="eastAsia" w:ascii="宋体" w:hAnsi="宋体" w:cs="宋体"/>
                <w:color w:val="0000FF"/>
                <w:sz w:val="21"/>
                <w:szCs w:val="21"/>
                <w:lang w:bidi="ar"/>
              </w:rPr>
              <w:t>Q</w:t>
            </w:r>
            <w:r>
              <w:rPr>
                <w:rFonts w:hint="eastAsia" w:ascii="宋体" w:hAnsi="宋体" w:cs="宋体"/>
                <w:color w:val="0000FF"/>
                <w:sz w:val="21"/>
                <w:szCs w:val="21"/>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pPr>
              <w:jc w:val="center"/>
              <w:rPr>
                <w:rFonts w:ascii="宋体" w:hAnsi="宋体" w:cs="宋体"/>
                <w:sz w:val="18"/>
                <w:szCs w:val="18"/>
              </w:rPr>
            </w:pPr>
            <w:r>
              <w:rPr>
                <w:rFonts w:hint="eastAsia" w:ascii="宋体" w:hAnsi="宋体" w:cs="宋体"/>
                <w:sz w:val="18"/>
                <w:szCs w:val="18"/>
              </w:rPr>
              <w:t>合计</w:t>
            </w:r>
          </w:p>
        </w:tc>
        <w:tc>
          <w:tcPr>
            <w:tcW w:w="1635" w:type="dxa"/>
            <w:vAlign w:val="center"/>
          </w:tcPr>
          <w:p>
            <w:pPr>
              <w:jc w:val="center"/>
              <w:rPr>
                <w:rFonts w:ascii="宋体" w:hAnsi="宋体" w:cs="宋体"/>
                <w:sz w:val="18"/>
                <w:szCs w:val="18"/>
              </w:rPr>
            </w:pPr>
            <w:r>
              <w:rPr>
                <w:rFonts w:hint="eastAsia" w:ascii="宋体" w:hAnsi="宋体" w:cs="宋体"/>
                <w:sz w:val="18"/>
                <w:szCs w:val="18"/>
              </w:rPr>
              <w:t>Y1+Y2+Y3</w:t>
            </w:r>
          </w:p>
          <w:p>
            <w:pPr>
              <w:jc w:val="center"/>
              <w:rPr>
                <w:rFonts w:ascii="宋体" w:hAnsi="宋体" w:cs="宋体"/>
                <w:sz w:val="18"/>
                <w:szCs w:val="18"/>
              </w:rPr>
            </w:pPr>
            <w:r>
              <w:rPr>
                <w:rFonts w:hint="eastAsia" w:ascii="宋体" w:hAnsi="宋体" w:cs="宋体"/>
                <w:sz w:val="18"/>
                <w:szCs w:val="18"/>
              </w:rPr>
              <w:t>=100%</w:t>
            </w:r>
          </w:p>
        </w:tc>
        <w:tc>
          <w:tcPr>
            <w:tcW w:w="1308" w:type="dxa"/>
            <w:vAlign w:val="center"/>
          </w:tcPr>
          <w:p>
            <w:pPr>
              <w:jc w:val="center"/>
              <w:rPr>
                <w:rFonts w:ascii="宋体" w:hAnsi="宋体" w:cs="宋体"/>
                <w:sz w:val="18"/>
                <w:szCs w:val="18"/>
              </w:rPr>
            </w:pPr>
            <w:r>
              <w:rPr>
                <w:rFonts w:hint="eastAsia" w:ascii="宋体" w:hAnsi="宋体" w:cs="宋体"/>
                <w:sz w:val="18"/>
                <w:szCs w:val="18"/>
              </w:rPr>
              <w:t>100</w:t>
            </w:r>
          </w:p>
        </w:tc>
        <w:tc>
          <w:tcPr>
            <w:tcW w:w="1152" w:type="dxa"/>
            <w:vAlign w:val="center"/>
          </w:tcPr>
          <w:p>
            <w:pPr>
              <w:jc w:val="center"/>
              <w:rPr>
                <w:rFonts w:ascii="宋体" w:hAnsi="宋体" w:cs="宋体"/>
                <w:sz w:val="18"/>
                <w:szCs w:val="18"/>
              </w:rPr>
            </w:pPr>
            <w:r>
              <w:rPr>
                <w:rFonts w:hint="eastAsia" w:ascii="宋体" w:hAnsi="宋体" w:cs="宋体"/>
                <w:sz w:val="18"/>
                <w:szCs w:val="18"/>
              </w:rPr>
              <w:t>100</w:t>
            </w:r>
          </w:p>
        </w:tc>
        <w:tc>
          <w:tcPr>
            <w:tcW w:w="1241" w:type="dxa"/>
            <w:vAlign w:val="center"/>
          </w:tcPr>
          <w:p>
            <w:pPr>
              <w:jc w:val="center"/>
              <w:rPr>
                <w:rFonts w:ascii="宋体" w:hAnsi="宋体" w:cs="宋体"/>
                <w:sz w:val="18"/>
                <w:szCs w:val="18"/>
              </w:rPr>
            </w:pPr>
            <w:r>
              <w:rPr>
                <w:rFonts w:hint="eastAsia" w:ascii="宋体" w:hAnsi="宋体" w:cs="宋体"/>
                <w:sz w:val="18"/>
                <w:szCs w:val="18"/>
              </w:rPr>
              <w:t>100</w:t>
            </w:r>
          </w:p>
        </w:tc>
        <w:tc>
          <w:tcPr>
            <w:tcW w:w="715" w:type="dxa"/>
            <w:vAlign w:val="center"/>
          </w:tcPr>
          <w:p>
            <w:pPr>
              <w:widowControl/>
              <w:jc w:val="center"/>
              <w:textAlignment w:val="center"/>
              <w:rPr>
                <w:rFonts w:ascii="宋体" w:hAnsi="宋体" w:cs="宋体"/>
                <w:sz w:val="18"/>
                <w:szCs w:val="18"/>
              </w:rPr>
            </w:pPr>
            <w:r>
              <w:rPr>
                <w:rFonts w:hint="eastAsia" w:ascii="宋体" w:hAnsi="宋体" w:cs="宋体"/>
                <w:color w:val="0000FF"/>
                <w:sz w:val="21"/>
                <w:szCs w:val="21"/>
                <w:lang w:bidi="ar"/>
              </w:rPr>
              <w:t>Q</w:t>
            </w:r>
          </w:p>
        </w:tc>
      </w:tr>
    </w:tbl>
    <w:p>
      <w:pPr>
        <w:widowControl/>
        <w:spacing w:line="360" w:lineRule="auto"/>
        <w:jc w:val="left"/>
        <w:rPr>
          <w:rFonts w:ascii="宋体" w:hAnsi="宋体" w:cs="宋体"/>
          <w:color w:val="000000"/>
          <w:kern w:val="0"/>
          <w:lang w:bidi="ar"/>
        </w:rPr>
      </w:pPr>
      <w:r>
        <w:rPr>
          <w:rFonts w:hint="eastAsia" w:ascii="宋体" w:hAnsi="宋体" w:cs="宋体"/>
          <w:color w:val="000000"/>
          <w:kern w:val="0"/>
          <w:lang w:bidi="ar"/>
        </w:rPr>
        <w:t>课程目标达成度计算方法：</w:t>
      </w:r>
    </w:p>
    <w:p>
      <w:pPr>
        <w:widowControl/>
        <w:spacing w:line="360" w:lineRule="auto"/>
        <w:jc w:val="left"/>
        <w:rPr>
          <w:rFonts w:ascii="宋体" w:hAnsi="宋体" w:cs="宋体"/>
          <w:color w:val="000000"/>
          <w:kern w:val="0"/>
          <w:lang w:bidi="ar"/>
        </w:rPr>
      </w:pPr>
      <w:r>
        <w:rPr>
          <w:rFonts w:hint="eastAsia" w:ascii="宋体" w:hAnsi="宋体" w:cs="宋体"/>
          <w:color w:val="000000"/>
          <w:kern w:val="0"/>
          <w:lang w:bidi="ar"/>
        </w:rPr>
        <w:t>（1）课程目标分数计算：M1=A1*K1+A2*K2+A3*K3+A4*K4;</w:t>
      </w:r>
    </w:p>
    <w:p>
      <w:pPr>
        <w:pStyle w:val="20"/>
        <w:rPr>
          <w:rFonts w:ascii="宋体" w:hAnsi="宋体" w:cs="宋体"/>
          <w:sz w:val="21"/>
          <w:szCs w:val="21"/>
        </w:rPr>
      </w:pPr>
      <w:r>
        <w:rPr>
          <w:rFonts w:hint="eastAsia" w:ascii="宋体" w:hAnsi="宋体" w:cs="宋体"/>
          <w:sz w:val="21"/>
          <w:szCs w:val="21"/>
          <w:lang w:bidi="ar"/>
        </w:rPr>
        <w:t>（2）课程分目标达成度计算：</w:t>
      </w:r>
      <w:r>
        <w:rPr>
          <w:rFonts w:hint="eastAsia" w:ascii="宋体" w:hAnsi="宋体" w:cs="宋体"/>
          <w:color w:val="0000FF"/>
          <w:sz w:val="21"/>
          <w:szCs w:val="21"/>
          <w:lang w:bidi="ar"/>
        </w:rPr>
        <w:t>Q1=K1*该项课程目标</w:t>
      </w:r>
      <w:r>
        <w:rPr>
          <w:rFonts w:hint="eastAsia" w:ascii="宋体" w:hAnsi="宋体" w:cs="宋体"/>
          <w:b/>
          <w:bCs/>
          <w:sz w:val="21"/>
          <w:szCs w:val="21"/>
        </w:rPr>
        <w:t>考核方式1</w:t>
      </w:r>
      <w:r>
        <w:rPr>
          <w:rFonts w:hint="eastAsia" w:ascii="宋体" w:hAnsi="宋体" w:cs="宋体"/>
          <w:color w:val="0000FF"/>
          <w:sz w:val="21"/>
          <w:szCs w:val="21"/>
          <w:lang w:bidi="ar"/>
        </w:rPr>
        <w:t>学生平均分+K2*该项课程目标</w:t>
      </w:r>
      <w:r>
        <w:rPr>
          <w:rFonts w:hint="eastAsia" w:ascii="宋体" w:hAnsi="宋体" w:cs="宋体"/>
          <w:b/>
          <w:bCs/>
          <w:sz w:val="21"/>
          <w:szCs w:val="21"/>
        </w:rPr>
        <w:t>考核方式2</w:t>
      </w:r>
    </w:p>
    <w:p>
      <w:pPr>
        <w:pStyle w:val="20"/>
        <w:rPr>
          <w:rFonts w:ascii="宋体" w:hAnsi="宋体" w:cs="宋体"/>
          <w:color w:val="0000FF"/>
          <w:sz w:val="21"/>
          <w:szCs w:val="21"/>
          <w:lang w:bidi="ar"/>
        </w:rPr>
      </w:pPr>
      <w:r>
        <w:rPr>
          <w:rFonts w:hint="eastAsia" w:ascii="宋体" w:hAnsi="宋体" w:cs="宋体"/>
          <w:color w:val="0000FF"/>
          <w:sz w:val="21"/>
          <w:szCs w:val="21"/>
          <w:lang w:bidi="ar"/>
        </w:rPr>
        <w:t>平均分+K3*该项课程目标</w:t>
      </w:r>
      <w:r>
        <w:rPr>
          <w:rFonts w:hint="eastAsia" w:ascii="宋体" w:hAnsi="宋体" w:cs="宋体"/>
          <w:b/>
          <w:bCs/>
          <w:sz w:val="21"/>
          <w:szCs w:val="21"/>
        </w:rPr>
        <w:t>考核方式3</w:t>
      </w:r>
      <w:r>
        <w:rPr>
          <w:rFonts w:hint="eastAsia" w:ascii="宋体" w:hAnsi="宋体" w:cs="宋体"/>
          <w:color w:val="0000FF"/>
          <w:sz w:val="21"/>
          <w:szCs w:val="21"/>
          <w:lang w:bidi="ar"/>
        </w:rPr>
        <w:t>平均分+K4*该项课程目标</w:t>
      </w:r>
      <w:r>
        <w:rPr>
          <w:rFonts w:hint="eastAsia" w:ascii="宋体" w:hAnsi="宋体" w:cs="宋体"/>
          <w:b/>
          <w:bCs/>
          <w:sz w:val="21"/>
          <w:szCs w:val="21"/>
        </w:rPr>
        <w:t>考核方式4</w:t>
      </w:r>
      <w:r>
        <w:rPr>
          <w:rFonts w:hint="eastAsia" w:ascii="宋体" w:hAnsi="宋体" w:cs="宋体"/>
          <w:color w:val="0000FF"/>
          <w:sz w:val="21"/>
          <w:szCs w:val="21"/>
          <w:lang w:bidi="ar"/>
        </w:rPr>
        <w:t>平均分）/M1</w:t>
      </w:r>
    </w:p>
    <w:p>
      <w:pPr>
        <w:pStyle w:val="20"/>
        <w:rPr>
          <w:rFonts w:ascii="宋体" w:hAnsi="宋体" w:cs="宋体"/>
          <w:color w:val="0000FF"/>
          <w:sz w:val="21"/>
          <w:szCs w:val="21"/>
          <w:lang w:bidi="ar"/>
        </w:rPr>
      </w:pPr>
      <w:r>
        <w:rPr>
          <w:rFonts w:hint="eastAsia" w:ascii="宋体" w:hAnsi="宋体" w:cs="宋体"/>
          <w:sz w:val="21"/>
          <w:szCs w:val="21"/>
        </w:rPr>
        <w:t>（3）课程目标总达成度（含n个课程目标）:Q=M1×Y1+M2×Y2+M3×Y3+M4×Y4</w:t>
      </w:r>
    </w:p>
    <w:p>
      <w:pPr>
        <w:widowControl/>
        <w:spacing w:line="360" w:lineRule="auto"/>
        <w:jc w:val="left"/>
        <w:rPr>
          <w:rFonts w:ascii="宋体" w:hAnsi="宋体" w:cs="宋体"/>
          <w:color w:val="000000"/>
          <w:kern w:val="0"/>
          <w:lang w:bidi="ar"/>
        </w:rPr>
      </w:pPr>
      <w:r>
        <w:rPr>
          <w:rFonts w:hint="eastAsia" w:ascii="宋体" w:hAnsi="宋体" w:cs="宋体"/>
          <w:color w:val="000000"/>
          <w:kern w:val="0"/>
          <w:lang w:bidi="ar"/>
        </w:rPr>
        <w:t>（4）以上课程目标数量和考核方式数量可自行确定。</w:t>
      </w:r>
    </w:p>
    <w:p>
      <w:pPr>
        <w:widowControl/>
        <w:spacing w:line="360" w:lineRule="auto"/>
        <w:ind w:firstLine="420" w:firstLineChars="200"/>
        <w:jc w:val="left"/>
        <w:rPr>
          <w:rFonts w:ascii="宋体" w:hAnsi="宋体" w:cs="宋体"/>
          <w:color w:val="000000"/>
          <w:kern w:val="0"/>
          <w:highlight w:val="yellow"/>
          <w:lang w:bidi="ar"/>
        </w:rPr>
      </w:pPr>
      <w:r>
        <w:rPr>
          <w:rFonts w:hint="eastAsia" w:ascii="宋体" w:hAnsi="宋体" w:cs="宋体"/>
          <w:color w:val="000000"/>
          <w:kern w:val="0"/>
          <w:lang w:bidi="ar"/>
        </w:rPr>
        <w:t>（三）课程目标评价标准</w:t>
      </w:r>
    </w:p>
    <w:p>
      <w:pPr>
        <w:widowControl/>
        <w:spacing w:line="360" w:lineRule="auto"/>
        <w:ind w:firstLine="420" w:firstLineChars="200"/>
        <w:jc w:val="left"/>
        <w:rPr>
          <w:rFonts w:ascii="宋体" w:hAnsi="宋体" w:cs="宋体"/>
        </w:rPr>
      </w:pPr>
      <w:r>
        <w:rPr>
          <w:rFonts w:hint="eastAsia" w:ascii="宋体" w:hAnsi="宋体" w:cs="宋体"/>
          <w:color w:val="000000"/>
          <w:kern w:val="0"/>
          <w:lang w:bidi="ar"/>
        </w:rPr>
        <w:t>1.课堂表现及</w:t>
      </w:r>
      <w:r>
        <w:rPr>
          <w:rFonts w:hint="eastAsia" w:ascii="宋体" w:hAnsi="宋体" w:cs="宋体"/>
        </w:rPr>
        <w:t>书面作业</w:t>
      </w:r>
    </w:p>
    <w:tbl>
      <w:tblPr>
        <w:tblStyle w:val="9"/>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0"/>
        <w:gridCol w:w="5140"/>
        <w:gridCol w:w="1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2000" w:type="dxa"/>
            <w:vAlign w:val="center"/>
          </w:tcPr>
          <w:p>
            <w:pPr>
              <w:widowControl/>
              <w:jc w:val="center"/>
              <w:rPr>
                <w:rFonts w:ascii="宋体" w:hAnsi="宋体" w:cs="宋体"/>
                <w:b/>
                <w:bCs/>
                <w:color w:val="auto"/>
                <w:sz w:val="18"/>
                <w:szCs w:val="18"/>
              </w:rPr>
            </w:pPr>
            <w:r>
              <w:rPr>
                <w:rFonts w:hint="eastAsia" w:ascii="宋体" w:hAnsi="宋体" w:cs="宋体"/>
                <w:b/>
                <w:bCs/>
                <w:color w:val="auto"/>
                <w:kern w:val="0"/>
                <w:sz w:val="18"/>
                <w:szCs w:val="18"/>
                <w:lang w:bidi="ar"/>
              </w:rPr>
              <w:t>课程目标</w:t>
            </w:r>
          </w:p>
        </w:tc>
        <w:tc>
          <w:tcPr>
            <w:tcW w:w="6599" w:type="dxa"/>
            <w:gridSpan w:val="2"/>
            <w:vAlign w:val="center"/>
          </w:tcPr>
          <w:p>
            <w:pPr>
              <w:widowControl/>
              <w:jc w:val="center"/>
              <w:rPr>
                <w:rFonts w:ascii="宋体" w:hAnsi="宋体" w:cs="宋体"/>
                <w:b/>
                <w:bCs/>
                <w:color w:val="auto"/>
                <w:sz w:val="18"/>
                <w:szCs w:val="18"/>
              </w:rPr>
            </w:pPr>
            <w:r>
              <w:rPr>
                <w:rFonts w:hint="eastAsia" w:ascii="宋体" w:hAnsi="宋体" w:cs="宋体"/>
                <w:b/>
                <w:bCs/>
                <w:color w:val="auto"/>
                <w:kern w:val="0"/>
                <w:sz w:val="18"/>
                <w:szCs w:val="18"/>
                <w:lang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03" w:hRule="atLeast"/>
          <w:jc w:val="center"/>
        </w:trPr>
        <w:tc>
          <w:tcPr>
            <w:tcW w:w="2000" w:type="dxa"/>
            <w:vMerge w:val="restart"/>
            <w:vAlign w:val="center"/>
          </w:tcPr>
          <w:p>
            <w:pPr>
              <w:widowControl/>
              <w:jc w:val="left"/>
              <w:rPr>
                <w:rFonts w:ascii="宋体" w:hAnsi="宋体" w:cs="宋体"/>
                <w:color w:val="auto"/>
                <w:kern w:val="0"/>
                <w:sz w:val="18"/>
                <w:szCs w:val="18"/>
                <w:lang w:bidi="ar"/>
              </w:rPr>
            </w:pPr>
            <w:r>
              <w:rPr>
                <w:rFonts w:hint="eastAsia" w:ascii="宋体" w:hAnsi="宋体" w:cs="宋体"/>
                <w:color w:val="auto"/>
                <w:kern w:val="0"/>
                <w:sz w:val="18"/>
                <w:szCs w:val="18"/>
                <w:lang w:bidi="ar"/>
              </w:rPr>
              <w:t>L01:</w:t>
            </w:r>
            <w:r>
              <w:rPr>
                <w:rFonts w:hint="eastAsia" w:ascii="宋体" w:hAnsi="宋体"/>
                <w:color w:val="auto"/>
                <w:szCs w:val="24"/>
              </w:rPr>
              <w:t xml:space="preserve"> </w:t>
            </w:r>
            <w:r>
              <w:rPr>
                <w:rFonts w:hint="eastAsia" w:ascii="宋体" w:hAnsi="宋体" w:cs="宋体"/>
                <w:color w:val="auto"/>
                <w:kern w:val="0"/>
                <w:sz w:val="18"/>
                <w:szCs w:val="18"/>
                <w:lang w:bidi="ar"/>
              </w:rPr>
              <w:t>通过对本课程六大要素分章节的专题讲解，使学生全面、系统了解财务会计基本理论框架，理解财务核算的原理，掌握日常业务的核算方法与技能，从而觉具备从事日常财务会计的工作能力。</w:t>
            </w:r>
          </w:p>
          <w:p>
            <w:pPr>
              <w:widowControl/>
              <w:jc w:val="left"/>
              <w:rPr>
                <w:rFonts w:ascii="宋体" w:hAnsi="宋体" w:cs="宋体"/>
                <w:color w:val="auto"/>
                <w:sz w:val="18"/>
                <w:szCs w:val="18"/>
              </w:rPr>
            </w:pPr>
          </w:p>
        </w:tc>
        <w:tc>
          <w:tcPr>
            <w:tcW w:w="5140" w:type="dxa"/>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能够熟练掌握日常业务核算。 出勤率高，每次按时提交作业，作业字迹工整，作业内容正确；实践作业、研讨作业，均能积极参与，对所讨论内容理解 正确。</w:t>
            </w:r>
          </w:p>
        </w:tc>
        <w:tc>
          <w:tcPr>
            <w:tcW w:w="1459" w:type="dxa"/>
          </w:tcPr>
          <w:p>
            <w:pPr>
              <w:widowControl/>
              <w:jc w:val="center"/>
              <w:rPr>
                <w:rFonts w:ascii="宋体" w:hAnsi="宋体" w:cs="宋体"/>
                <w:color w:val="auto"/>
                <w:sz w:val="18"/>
                <w:szCs w:val="18"/>
              </w:rPr>
            </w:pPr>
            <w:r>
              <w:rPr>
                <w:rFonts w:hint="eastAsia" w:ascii="宋体" w:hAnsi="宋体" w:cs="宋体"/>
                <w:color w:val="auto"/>
                <w:sz w:val="18"/>
                <w:szCs w:val="18"/>
              </w:rPr>
              <w:t>优（90-100）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pPr>
              <w:jc w:val="center"/>
              <w:rPr>
                <w:rFonts w:ascii="宋体" w:hAnsi="宋体" w:cs="宋体"/>
                <w:color w:val="auto"/>
                <w:sz w:val="18"/>
                <w:szCs w:val="18"/>
              </w:rPr>
            </w:pPr>
          </w:p>
        </w:tc>
        <w:tc>
          <w:tcPr>
            <w:tcW w:w="5140" w:type="dxa"/>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能够较好掌握日常业务核算。出勤率较高，每次按时提交作业，作业字迹工整，作业内容正确；实践作业、研讨作业，均能积极参与，对所讨论内容理解正确。</w:t>
            </w:r>
          </w:p>
        </w:tc>
        <w:tc>
          <w:tcPr>
            <w:tcW w:w="145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良（80-89）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pPr>
              <w:jc w:val="center"/>
              <w:rPr>
                <w:rFonts w:ascii="宋体" w:hAnsi="宋体" w:cs="宋体"/>
                <w:color w:val="auto"/>
                <w:sz w:val="18"/>
                <w:szCs w:val="18"/>
              </w:rPr>
            </w:pPr>
          </w:p>
        </w:tc>
        <w:tc>
          <w:tcPr>
            <w:tcW w:w="5140" w:type="dxa"/>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能够掌握日常业务核算。出勤率较高，每次按时提交作业，作业字迹工整，作业内容正确；实践作业、研讨作业，均能积极参与，对所讨论内容理解正确。</w:t>
            </w:r>
          </w:p>
        </w:tc>
        <w:tc>
          <w:tcPr>
            <w:tcW w:w="145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中（70-79）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pPr>
              <w:jc w:val="center"/>
              <w:rPr>
                <w:rFonts w:ascii="宋体" w:hAnsi="宋体" w:cs="宋体"/>
                <w:color w:val="auto"/>
                <w:sz w:val="18"/>
                <w:szCs w:val="18"/>
              </w:rPr>
            </w:pPr>
          </w:p>
        </w:tc>
        <w:tc>
          <w:tcPr>
            <w:tcW w:w="5140" w:type="dxa"/>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基本能够掌握日常业务核算。每次按时提交作业，作业字迹工整，作业内容正确；出勤率不高，实践作业、研讨作业，均能积极参与，对所讨论内容理解正确。</w:t>
            </w:r>
          </w:p>
        </w:tc>
        <w:tc>
          <w:tcPr>
            <w:tcW w:w="145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及格（60-69）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pPr>
              <w:jc w:val="center"/>
              <w:rPr>
                <w:rFonts w:ascii="宋体" w:hAnsi="宋体" w:cs="宋体"/>
                <w:color w:val="auto"/>
                <w:sz w:val="18"/>
                <w:szCs w:val="18"/>
              </w:rPr>
            </w:pPr>
          </w:p>
        </w:tc>
        <w:tc>
          <w:tcPr>
            <w:tcW w:w="5140" w:type="dxa"/>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不能够掌握日常业务核算。出勤率低，不能按时交作业；实践作业、研讨作业，不能参与。</w:t>
            </w:r>
          </w:p>
        </w:tc>
        <w:tc>
          <w:tcPr>
            <w:tcW w:w="1459" w:type="dxa"/>
          </w:tcPr>
          <w:p>
            <w:pPr>
              <w:widowControl/>
              <w:jc w:val="center"/>
              <w:rPr>
                <w:rFonts w:ascii="宋体" w:hAnsi="宋体" w:cs="宋体"/>
                <w:color w:val="auto"/>
                <w:sz w:val="18"/>
                <w:szCs w:val="18"/>
              </w:rPr>
            </w:pPr>
            <w:r>
              <w:rPr>
                <w:rFonts w:hint="eastAsia" w:ascii="宋体" w:hAnsi="宋体" w:cs="宋体"/>
                <w:color w:val="auto"/>
                <w:sz w:val="18"/>
                <w:szCs w:val="18"/>
              </w:rPr>
              <w:t>不及格（0-59）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restart"/>
            <w:vAlign w:val="center"/>
          </w:tcPr>
          <w:p>
            <w:pPr>
              <w:jc w:val="center"/>
              <w:rPr>
                <w:rFonts w:ascii="宋体" w:hAnsi="宋体" w:cs="宋体"/>
                <w:color w:val="auto"/>
                <w:sz w:val="18"/>
                <w:szCs w:val="18"/>
              </w:rPr>
            </w:pPr>
            <w:r>
              <w:rPr>
                <w:rFonts w:hint="eastAsia" w:ascii="宋体" w:hAnsi="宋体" w:cs="宋体"/>
                <w:color w:val="auto"/>
                <w:kern w:val="0"/>
                <w:sz w:val="18"/>
                <w:szCs w:val="18"/>
                <w:lang w:bidi="ar"/>
              </w:rPr>
              <w:t>L02</w:t>
            </w:r>
            <w:r>
              <w:rPr>
                <w:rFonts w:hint="eastAsia" w:ascii="宋体" w:hAnsi="宋体" w:cs="宋体"/>
                <w:color w:val="auto"/>
                <w:sz w:val="18"/>
                <w:szCs w:val="18"/>
              </w:rPr>
              <w:t>：通过本课程的非货币性资产交换、债务重组以及所得税会计的讲解，使学生能够掌握非货币性资产交换及债务重组的会计处理，理解所得税费用的核算，帮助学生了解企业特殊业务的核算方法与技能，从而具备从事复杂和较难的财务会计的工作能力。</w:t>
            </w:r>
          </w:p>
          <w:p>
            <w:pPr>
              <w:jc w:val="center"/>
              <w:rPr>
                <w:rFonts w:ascii="宋体" w:hAnsi="宋体" w:cs="宋体"/>
                <w:color w:val="auto"/>
                <w:sz w:val="18"/>
                <w:szCs w:val="18"/>
              </w:rPr>
            </w:pPr>
          </w:p>
        </w:tc>
        <w:tc>
          <w:tcPr>
            <w:tcW w:w="5140" w:type="dxa"/>
          </w:tcPr>
          <w:p>
            <w:pPr>
              <w:widowControl/>
              <w:jc w:val="left"/>
              <w:rPr>
                <w:rFonts w:ascii="宋体" w:hAnsi="宋体" w:cs="宋体"/>
                <w:color w:val="auto"/>
                <w:kern w:val="0"/>
                <w:sz w:val="18"/>
                <w:szCs w:val="18"/>
                <w:lang w:bidi="ar"/>
              </w:rPr>
            </w:pPr>
            <w:r>
              <w:rPr>
                <w:rFonts w:hint="eastAsia" w:ascii="宋体" w:hAnsi="宋体" w:cs="宋体"/>
                <w:color w:val="auto"/>
                <w:kern w:val="0"/>
                <w:sz w:val="18"/>
                <w:szCs w:val="18"/>
                <w:lang w:bidi="ar"/>
              </w:rPr>
              <w:t>能够熟练掌握企业特殊业务的核算。出勤率高，每次按时提交作业，作业字迹工整，作业内容正确；实践作业、研讨作业，均能积极参与，对所讨论内容理解正确。</w:t>
            </w:r>
          </w:p>
        </w:tc>
        <w:tc>
          <w:tcPr>
            <w:tcW w:w="1459" w:type="dxa"/>
          </w:tcPr>
          <w:p>
            <w:pPr>
              <w:widowControl/>
              <w:jc w:val="center"/>
              <w:rPr>
                <w:rFonts w:ascii="宋体" w:hAnsi="宋体" w:cs="宋体"/>
                <w:color w:val="auto"/>
                <w:sz w:val="18"/>
                <w:szCs w:val="18"/>
              </w:rPr>
            </w:pPr>
            <w:r>
              <w:rPr>
                <w:rFonts w:hint="eastAsia" w:ascii="宋体" w:hAnsi="宋体" w:cs="宋体"/>
                <w:color w:val="auto"/>
                <w:sz w:val="18"/>
                <w:szCs w:val="18"/>
              </w:rPr>
              <w:t>优（90-100）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color w:val="auto"/>
                <w:sz w:val="18"/>
                <w:szCs w:val="18"/>
              </w:rPr>
            </w:pPr>
          </w:p>
        </w:tc>
        <w:tc>
          <w:tcPr>
            <w:tcW w:w="5140" w:type="dxa"/>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能够较好掌握企业特殊业务的核算。出勤率教高，每次按时提交作业，作业字迹工整，作业内容正确；实践作业、研讨作业，均能积极参与，对所讨论内容理解正确。</w:t>
            </w:r>
          </w:p>
        </w:tc>
        <w:tc>
          <w:tcPr>
            <w:tcW w:w="145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良（80-89）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color w:val="auto"/>
                <w:sz w:val="18"/>
                <w:szCs w:val="18"/>
              </w:rPr>
            </w:pPr>
          </w:p>
        </w:tc>
        <w:tc>
          <w:tcPr>
            <w:tcW w:w="5140" w:type="dxa"/>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能够掌握企业特殊业务的核算。出勤率教高，每次按时提交作业，作业字迹工整，作业内容正确；实践作业、研讨作业，均能积极参与，对所讨论内容理解正确。</w:t>
            </w:r>
          </w:p>
        </w:tc>
        <w:tc>
          <w:tcPr>
            <w:tcW w:w="145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中（70-79）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color w:val="auto"/>
                <w:sz w:val="18"/>
                <w:szCs w:val="18"/>
              </w:rPr>
            </w:pPr>
          </w:p>
        </w:tc>
        <w:tc>
          <w:tcPr>
            <w:tcW w:w="5140" w:type="dxa"/>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基本能够掌握企业特殊业务的核算。出勤率不高、每次按时提交作业，作业内容基本正确；实践作业、研讨作业，基本能参与，对所讨论内容理解基本正确。</w:t>
            </w:r>
          </w:p>
        </w:tc>
        <w:tc>
          <w:tcPr>
            <w:tcW w:w="145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及格（60-69）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color w:val="auto"/>
                <w:sz w:val="18"/>
                <w:szCs w:val="18"/>
              </w:rPr>
            </w:pPr>
          </w:p>
        </w:tc>
        <w:tc>
          <w:tcPr>
            <w:tcW w:w="5140" w:type="dxa"/>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不能够掌握企业特殊业务的核算。出勤率低、不能按时交作业；实践作业、研讨作业，不能参与。</w:t>
            </w:r>
          </w:p>
        </w:tc>
        <w:tc>
          <w:tcPr>
            <w:tcW w:w="1459" w:type="dxa"/>
          </w:tcPr>
          <w:p>
            <w:pPr>
              <w:widowControl/>
              <w:jc w:val="center"/>
              <w:rPr>
                <w:rFonts w:ascii="宋体" w:hAnsi="宋体" w:cs="宋体"/>
                <w:color w:val="auto"/>
                <w:sz w:val="18"/>
                <w:szCs w:val="18"/>
              </w:rPr>
            </w:pPr>
            <w:r>
              <w:rPr>
                <w:rFonts w:hint="eastAsia" w:ascii="宋体" w:hAnsi="宋体" w:cs="宋体"/>
                <w:color w:val="auto"/>
                <w:sz w:val="18"/>
                <w:szCs w:val="18"/>
              </w:rPr>
              <w:t>不及格（0-59）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2000" w:type="dxa"/>
            <w:vMerge w:val="restart"/>
            <w:vAlign w:val="center"/>
          </w:tcPr>
          <w:p>
            <w:pPr>
              <w:jc w:val="center"/>
              <w:rPr>
                <w:rFonts w:ascii="宋体" w:hAnsi="宋体" w:cs="宋体"/>
                <w:color w:val="auto"/>
                <w:sz w:val="18"/>
                <w:szCs w:val="18"/>
              </w:rPr>
            </w:pPr>
            <w:r>
              <w:rPr>
                <w:rFonts w:hint="eastAsia" w:ascii="宋体" w:hAnsi="宋体" w:cs="宋体"/>
                <w:color w:val="auto"/>
                <w:kern w:val="0"/>
                <w:sz w:val="18"/>
                <w:szCs w:val="18"/>
                <w:lang w:bidi="ar"/>
              </w:rPr>
              <w:t>L03</w:t>
            </w:r>
            <w:r>
              <w:rPr>
                <w:rFonts w:hint="eastAsia" w:ascii="宋体" w:hAnsi="宋体" w:cs="宋体"/>
                <w:color w:val="auto"/>
                <w:sz w:val="18"/>
                <w:szCs w:val="18"/>
              </w:rPr>
              <w:t>：</w:t>
            </w:r>
            <w:r>
              <w:rPr>
                <w:rFonts w:hint="eastAsia" w:ascii="宋体" w:hAnsi="宋体"/>
                <w:color w:val="auto"/>
                <w:szCs w:val="24"/>
              </w:rPr>
              <w:t>通过财务报告的讲解，帮助学生了解财务报告的内容、意义和编制要求；理解资产负债表、利润表、现金流量表等会计报表的性质、作用、结构以及编制方法。</w:t>
            </w:r>
            <w:r>
              <w:rPr>
                <w:rFonts w:ascii="宋体" w:hAnsi="宋体"/>
                <w:color w:val="auto"/>
                <w:szCs w:val="24"/>
              </w:rPr>
              <w:t xml:space="preserve"> </w:t>
            </w:r>
            <w:r>
              <w:rPr>
                <w:rFonts w:hint="eastAsia" w:ascii="宋体" w:hAnsi="宋体" w:cs="宋体"/>
                <w:color w:val="auto"/>
                <w:sz w:val="18"/>
                <w:szCs w:val="18"/>
              </w:rPr>
              <w:t xml:space="preserve"> </w:t>
            </w:r>
          </w:p>
        </w:tc>
        <w:tc>
          <w:tcPr>
            <w:tcW w:w="5140" w:type="dxa"/>
          </w:tcPr>
          <w:p>
            <w:pPr>
              <w:widowControl/>
              <w:jc w:val="left"/>
              <w:rPr>
                <w:rFonts w:ascii="宋体" w:hAnsi="宋体" w:cs="宋体"/>
                <w:color w:val="auto"/>
                <w:kern w:val="0"/>
                <w:sz w:val="18"/>
                <w:szCs w:val="18"/>
                <w:lang w:bidi="ar"/>
              </w:rPr>
            </w:pPr>
            <w:r>
              <w:rPr>
                <w:rFonts w:hint="eastAsia" w:ascii="宋体" w:hAnsi="宋体" w:cs="宋体"/>
                <w:color w:val="auto"/>
                <w:kern w:val="0"/>
                <w:sz w:val="18"/>
                <w:szCs w:val="18"/>
                <w:lang w:bidi="ar"/>
              </w:rPr>
              <w:t>能够熟练掌握财务报告的相关内容。出勤率高， 每次按时提交作业，作业字迹工整，作业内容正确；实践作业、研讨作业，均能积极参与，对所讨论内容理解正确。</w:t>
            </w:r>
          </w:p>
        </w:tc>
        <w:tc>
          <w:tcPr>
            <w:tcW w:w="1459" w:type="dxa"/>
          </w:tcPr>
          <w:p>
            <w:pPr>
              <w:widowControl/>
              <w:jc w:val="center"/>
              <w:rPr>
                <w:rFonts w:ascii="宋体" w:hAnsi="宋体" w:cs="宋体"/>
                <w:color w:val="auto"/>
                <w:sz w:val="18"/>
                <w:szCs w:val="18"/>
              </w:rPr>
            </w:pPr>
            <w:r>
              <w:rPr>
                <w:rFonts w:hint="eastAsia" w:ascii="宋体" w:hAnsi="宋体" w:cs="宋体"/>
                <w:color w:val="auto"/>
                <w:sz w:val="18"/>
                <w:szCs w:val="18"/>
              </w:rPr>
              <w:t>优（90-100）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2000" w:type="dxa"/>
            <w:vMerge w:val="continue"/>
            <w:vAlign w:val="center"/>
          </w:tcPr>
          <w:p>
            <w:pPr>
              <w:jc w:val="center"/>
              <w:rPr>
                <w:rFonts w:ascii="宋体" w:hAnsi="宋体" w:cs="宋体"/>
                <w:color w:val="auto"/>
                <w:sz w:val="18"/>
                <w:szCs w:val="18"/>
              </w:rPr>
            </w:pPr>
          </w:p>
        </w:tc>
        <w:tc>
          <w:tcPr>
            <w:tcW w:w="5140" w:type="dxa"/>
          </w:tcPr>
          <w:p>
            <w:pPr>
              <w:widowControl/>
              <w:jc w:val="left"/>
              <w:rPr>
                <w:rFonts w:ascii="宋体" w:hAnsi="宋体" w:cs="宋体"/>
                <w:color w:val="auto"/>
                <w:kern w:val="0"/>
                <w:sz w:val="18"/>
                <w:szCs w:val="18"/>
                <w:lang w:bidi="ar"/>
              </w:rPr>
            </w:pPr>
            <w:r>
              <w:rPr>
                <w:rFonts w:hint="eastAsia" w:ascii="宋体" w:hAnsi="宋体" w:cs="宋体"/>
                <w:color w:val="auto"/>
                <w:kern w:val="0"/>
                <w:sz w:val="18"/>
                <w:szCs w:val="18"/>
                <w:lang w:bidi="ar"/>
              </w:rPr>
              <w:t>能够较好掌握财务报告的相关内容。出勤率较高，每次按时提交作业，作业字迹工整，作业内容正确；实践作业、研讨作业，均能积极参与，对所讨论内容理解正确。</w:t>
            </w:r>
          </w:p>
        </w:tc>
        <w:tc>
          <w:tcPr>
            <w:tcW w:w="145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良（80-89）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2000" w:type="dxa"/>
            <w:vMerge w:val="continue"/>
            <w:vAlign w:val="center"/>
          </w:tcPr>
          <w:p>
            <w:pPr>
              <w:jc w:val="center"/>
              <w:rPr>
                <w:rFonts w:ascii="宋体" w:hAnsi="宋体" w:cs="宋体"/>
                <w:color w:val="auto"/>
                <w:sz w:val="18"/>
                <w:szCs w:val="18"/>
              </w:rPr>
            </w:pPr>
          </w:p>
        </w:tc>
        <w:tc>
          <w:tcPr>
            <w:tcW w:w="5140" w:type="dxa"/>
          </w:tcPr>
          <w:p>
            <w:pPr>
              <w:widowControl/>
              <w:jc w:val="left"/>
              <w:rPr>
                <w:rFonts w:ascii="宋体" w:hAnsi="宋体" w:cs="宋体"/>
                <w:color w:val="auto"/>
                <w:kern w:val="0"/>
                <w:sz w:val="18"/>
                <w:szCs w:val="18"/>
                <w:lang w:bidi="ar"/>
              </w:rPr>
            </w:pPr>
            <w:r>
              <w:rPr>
                <w:rFonts w:hint="eastAsia" w:ascii="宋体" w:hAnsi="宋体" w:cs="宋体"/>
                <w:color w:val="auto"/>
                <w:kern w:val="0"/>
                <w:sz w:val="18"/>
                <w:szCs w:val="18"/>
                <w:lang w:bidi="ar"/>
              </w:rPr>
              <w:t>能够掌握财务报告的相关内容。出勤率一般，每次时提交作业，作业字迹工整，作业内容正确；实践作业、研讨作业，均能积极参与，对所讨论内容理解正确。</w:t>
            </w:r>
          </w:p>
          <w:p>
            <w:pPr>
              <w:widowControl/>
              <w:jc w:val="left"/>
              <w:rPr>
                <w:rFonts w:ascii="宋体" w:hAnsi="宋体" w:cs="宋体"/>
                <w:color w:val="auto"/>
                <w:sz w:val="18"/>
                <w:szCs w:val="18"/>
              </w:rPr>
            </w:pPr>
          </w:p>
        </w:tc>
        <w:tc>
          <w:tcPr>
            <w:tcW w:w="145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中（70-79）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2" w:hRule="atLeast"/>
          <w:jc w:val="center"/>
        </w:trPr>
        <w:tc>
          <w:tcPr>
            <w:tcW w:w="2000" w:type="dxa"/>
            <w:vMerge w:val="continue"/>
            <w:vAlign w:val="center"/>
          </w:tcPr>
          <w:p>
            <w:pPr>
              <w:jc w:val="center"/>
              <w:rPr>
                <w:rFonts w:ascii="宋体" w:hAnsi="宋体" w:cs="宋体"/>
                <w:color w:val="auto"/>
                <w:sz w:val="18"/>
                <w:szCs w:val="18"/>
              </w:rPr>
            </w:pPr>
          </w:p>
        </w:tc>
        <w:tc>
          <w:tcPr>
            <w:tcW w:w="5140" w:type="dxa"/>
          </w:tcPr>
          <w:p>
            <w:pPr>
              <w:widowControl/>
              <w:jc w:val="left"/>
              <w:rPr>
                <w:rFonts w:ascii="宋体" w:hAnsi="宋体" w:cs="宋体"/>
                <w:color w:val="auto"/>
                <w:kern w:val="0"/>
                <w:sz w:val="18"/>
                <w:szCs w:val="18"/>
                <w:lang w:bidi="ar"/>
              </w:rPr>
            </w:pPr>
            <w:r>
              <w:rPr>
                <w:rFonts w:hint="eastAsia" w:ascii="宋体" w:hAnsi="宋体" w:cs="宋体"/>
                <w:color w:val="auto"/>
                <w:kern w:val="0"/>
                <w:sz w:val="18"/>
                <w:szCs w:val="18"/>
                <w:lang w:bidi="ar"/>
              </w:rPr>
              <w:t>基本能够掌握财务报告的相关内容。 出勤率不高，次按时提交作业，作业字迹工整，作业内容正确；实践作业、研讨作业，均能积极参与，对所讨论内容理解正确。</w:t>
            </w:r>
          </w:p>
          <w:p>
            <w:pPr>
              <w:widowControl/>
              <w:jc w:val="left"/>
              <w:rPr>
                <w:rFonts w:ascii="宋体" w:hAnsi="宋体" w:cs="宋体"/>
                <w:color w:val="auto"/>
                <w:sz w:val="18"/>
                <w:szCs w:val="18"/>
              </w:rPr>
            </w:pPr>
          </w:p>
        </w:tc>
        <w:tc>
          <w:tcPr>
            <w:tcW w:w="145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及格（60-69）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72" w:hRule="atLeast"/>
          <w:jc w:val="center"/>
        </w:trPr>
        <w:tc>
          <w:tcPr>
            <w:tcW w:w="2000" w:type="dxa"/>
            <w:vMerge w:val="continue"/>
            <w:vAlign w:val="center"/>
          </w:tcPr>
          <w:p>
            <w:pPr>
              <w:jc w:val="center"/>
              <w:rPr>
                <w:rFonts w:ascii="宋体" w:hAnsi="宋体" w:cs="宋体"/>
                <w:color w:val="auto"/>
                <w:sz w:val="18"/>
                <w:szCs w:val="18"/>
              </w:rPr>
            </w:pPr>
          </w:p>
        </w:tc>
        <w:tc>
          <w:tcPr>
            <w:tcW w:w="5140" w:type="dxa"/>
          </w:tcPr>
          <w:p>
            <w:pPr>
              <w:widowControl/>
              <w:jc w:val="left"/>
              <w:rPr>
                <w:rFonts w:ascii="宋体" w:hAnsi="宋体" w:cs="宋体"/>
                <w:color w:val="auto"/>
                <w:kern w:val="0"/>
                <w:sz w:val="18"/>
                <w:szCs w:val="18"/>
                <w:lang w:bidi="ar"/>
              </w:rPr>
            </w:pPr>
            <w:r>
              <w:rPr>
                <w:rFonts w:hint="eastAsia" w:ascii="宋体" w:hAnsi="宋体" w:cs="宋体"/>
                <w:color w:val="auto"/>
                <w:kern w:val="0"/>
                <w:sz w:val="18"/>
                <w:szCs w:val="18"/>
                <w:lang w:bidi="ar"/>
              </w:rPr>
              <w:t>不能够掌握财务报告的相关内容。出勤率低，不按时交作业；实践作业、研讨作业，不能参与。</w:t>
            </w:r>
          </w:p>
          <w:p>
            <w:pPr>
              <w:widowControl/>
              <w:jc w:val="left"/>
              <w:rPr>
                <w:rFonts w:ascii="宋体" w:hAnsi="宋体" w:cs="宋体"/>
                <w:color w:val="auto"/>
                <w:sz w:val="18"/>
                <w:szCs w:val="18"/>
              </w:rPr>
            </w:pPr>
          </w:p>
        </w:tc>
        <w:tc>
          <w:tcPr>
            <w:tcW w:w="1459" w:type="dxa"/>
          </w:tcPr>
          <w:p>
            <w:pPr>
              <w:widowControl/>
              <w:jc w:val="center"/>
              <w:rPr>
                <w:rFonts w:ascii="宋体" w:hAnsi="宋体" w:cs="宋体"/>
                <w:color w:val="auto"/>
                <w:sz w:val="18"/>
                <w:szCs w:val="18"/>
              </w:rPr>
            </w:pPr>
            <w:r>
              <w:rPr>
                <w:rFonts w:hint="eastAsia" w:ascii="宋体" w:hAnsi="宋体" w:cs="宋体"/>
                <w:color w:val="auto"/>
                <w:sz w:val="18"/>
                <w:szCs w:val="18"/>
              </w:rPr>
              <w:t>不及格（0-59）</w:t>
            </w:r>
          </w:p>
        </w:tc>
      </w:tr>
    </w:tbl>
    <w:p>
      <w:pPr>
        <w:spacing w:line="324" w:lineRule="auto"/>
        <w:ind w:left="525"/>
        <w:rPr>
          <w:rFonts w:ascii="宋体" w:hAnsi="宋体" w:cs="宋体"/>
          <w:color w:val="auto"/>
        </w:rPr>
      </w:pPr>
    </w:p>
    <w:p>
      <w:pPr>
        <w:widowControl/>
        <w:spacing w:line="360" w:lineRule="auto"/>
        <w:ind w:left="525"/>
        <w:jc w:val="left"/>
        <w:rPr>
          <w:rFonts w:ascii="宋体" w:hAnsi="宋体" w:cs="宋体"/>
          <w:color w:val="auto"/>
          <w:kern w:val="0"/>
          <w:lang w:bidi="ar"/>
        </w:rPr>
      </w:pPr>
    </w:p>
    <w:p>
      <w:pPr>
        <w:widowControl/>
        <w:spacing w:line="360" w:lineRule="auto"/>
        <w:ind w:left="525"/>
        <w:jc w:val="left"/>
        <w:rPr>
          <w:rFonts w:ascii="宋体" w:hAnsi="宋体" w:cs="宋体"/>
          <w:color w:val="auto"/>
          <w:kern w:val="0"/>
          <w:lang w:bidi="ar"/>
        </w:rPr>
      </w:pPr>
    </w:p>
    <w:p>
      <w:pPr>
        <w:widowControl/>
        <w:spacing w:line="360" w:lineRule="auto"/>
        <w:ind w:left="525"/>
        <w:jc w:val="left"/>
        <w:rPr>
          <w:rFonts w:ascii="宋体" w:hAnsi="宋体" w:cs="宋体"/>
          <w:color w:val="auto"/>
          <w:kern w:val="0"/>
          <w:lang w:bidi="ar"/>
        </w:rPr>
      </w:pPr>
    </w:p>
    <w:p>
      <w:pPr>
        <w:widowControl/>
        <w:spacing w:line="360" w:lineRule="auto"/>
        <w:ind w:left="525"/>
        <w:jc w:val="left"/>
        <w:rPr>
          <w:rFonts w:ascii="宋体" w:hAnsi="宋体" w:cs="宋体"/>
          <w:color w:val="auto"/>
          <w:kern w:val="0"/>
          <w:lang w:bidi="ar"/>
        </w:rPr>
      </w:pPr>
      <w:r>
        <w:rPr>
          <w:rFonts w:hint="eastAsia" w:ascii="宋体" w:hAnsi="宋体" w:cs="宋体"/>
          <w:color w:val="auto"/>
          <w:kern w:val="0"/>
          <w:lang w:bidi="ar"/>
        </w:rPr>
        <w:t>3.期末考试</w:t>
      </w:r>
    </w:p>
    <w:tbl>
      <w:tblPr>
        <w:tblStyle w:val="9"/>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0"/>
        <w:gridCol w:w="5170"/>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2000" w:type="dxa"/>
            <w:vAlign w:val="center"/>
          </w:tcPr>
          <w:p>
            <w:pPr>
              <w:widowControl/>
              <w:jc w:val="center"/>
              <w:rPr>
                <w:rFonts w:ascii="宋体" w:hAnsi="宋体" w:cs="宋体"/>
                <w:b/>
                <w:bCs/>
                <w:color w:val="auto"/>
                <w:sz w:val="18"/>
                <w:szCs w:val="18"/>
              </w:rPr>
            </w:pPr>
            <w:r>
              <w:rPr>
                <w:rFonts w:hint="eastAsia" w:ascii="宋体" w:hAnsi="宋体" w:cs="宋体"/>
                <w:b/>
                <w:bCs/>
                <w:color w:val="auto"/>
                <w:kern w:val="0"/>
                <w:sz w:val="18"/>
                <w:szCs w:val="18"/>
                <w:lang w:bidi="ar"/>
              </w:rPr>
              <w:t>课程目标</w:t>
            </w:r>
          </w:p>
        </w:tc>
        <w:tc>
          <w:tcPr>
            <w:tcW w:w="6599" w:type="dxa"/>
            <w:gridSpan w:val="2"/>
            <w:vAlign w:val="center"/>
          </w:tcPr>
          <w:p>
            <w:pPr>
              <w:widowControl/>
              <w:jc w:val="center"/>
              <w:rPr>
                <w:rFonts w:ascii="宋体" w:hAnsi="宋体" w:cs="宋体"/>
                <w:b/>
                <w:bCs/>
                <w:color w:val="auto"/>
                <w:sz w:val="18"/>
                <w:szCs w:val="18"/>
              </w:rPr>
            </w:pPr>
            <w:r>
              <w:rPr>
                <w:rFonts w:hint="eastAsia" w:ascii="宋体" w:hAnsi="宋体" w:cs="宋体"/>
                <w:b/>
                <w:bCs/>
                <w:color w:val="auto"/>
                <w:kern w:val="0"/>
                <w:sz w:val="18"/>
                <w:szCs w:val="18"/>
                <w:lang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restart"/>
            <w:vAlign w:val="center"/>
          </w:tcPr>
          <w:p>
            <w:pPr>
              <w:widowControl/>
              <w:jc w:val="left"/>
              <w:rPr>
                <w:rFonts w:ascii="宋体" w:hAnsi="宋体" w:cs="宋体"/>
                <w:color w:val="auto"/>
                <w:kern w:val="0"/>
                <w:sz w:val="18"/>
                <w:szCs w:val="18"/>
                <w:lang w:bidi="ar"/>
              </w:rPr>
            </w:pPr>
            <w:r>
              <w:rPr>
                <w:rFonts w:hint="eastAsia" w:ascii="宋体" w:hAnsi="宋体" w:cs="宋体"/>
                <w:color w:val="auto"/>
                <w:kern w:val="0"/>
                <w:sz w:val="18"/>
                <w:szCs w:val="18"/>
                <w:lang w:bidi="ar"/>
              </w:rPr>
              <w:t>L01: 通过对本课程六大要素分章节的专题讲解，使学生全面、系统了解财务会计基本理论框架，理解财务核算的原理，掌握日常业务的核算方法与技能，从而觉具备从事日常财务会计的工作能力。</w:t>
            </w:r>
          </w:p>
          <w:p>
            <w:pPr>
              <w:widowControl/>
              <w:jc w:val="left"/>
              <w:rPr>
                <w:rFonts w:ascii="宋体" w:hAnsi="宋体" w:cs="宋体"/>
                <w:color w:val="auto"/>
                <w:sz w:val="18"/>
                <w:szCs w:val="18"/>
              </w:rPr>
            </w:pPr>
          </w:p>
        </w:tc>
        <w:tc>
          <w:tcPr>
            <w:tcW w:w="5170" w:type="dxa"/>
          </w:tcPr>
          <w:p>
            <w:pPr>
              <w:widowControl/>
              <w:jc w:val="left"/>
              <w:rPr>
                <w:color w:val="auto"/>
                <w:sz w:val="18"/>
                <w:szCs w:val="18"/>
              </w:rPr>
            </w:pPr>
            <w:r>
              <w:rPr>
                <w:rFonts w:hint="eastAsia" w:ascii="宋体" w:hAnsi="宋体" w:cs="宋体"/>
                <w:color w:val="auto"/>
                <w:kern w:val="0"/>
                <w:sz w:val="18"/>
                <w:szCs w:val="18"/>
                <w:lang w:bidi="ar"/>
              </w:rPr>
              <w:t>能够很好地掌握六大要素的知识，对基本内容有很好的理解。</w:t>
            </w:r>
          </w:p>
        </w:tc>
        <w:tc>
          <w:tcPr>
            <w:tcW w:w="1429" w:type="dxa"/>
          </w:tcPr>
          <w:p>
            <w:pPr>
              <w:widowControl/>
              <w:jc w:val="center"/>
              <w:rPr>
                <w:rFonts w:ascii="宋体" w:hAnsi="宋体" w:cs="宋体"/>
                <w:color w:val="auto"/>
                <w:sz w:val="18"/>
                <w:szCs w:val="18"/>
              </w:rPr>
            </w:pPr>
            <w:r>
              <w:rPr>
                <w:rFonts w:hint="eastAsia" w:ascii="宋体" w:hAnsi="宋体" w:cs="宋体"/>
                <w:color w:val="auto"/>
                <w:sz w:val="18"/>
                <w:szCs w:val="18"/>
              </w:rPr>
              <w:t>优（90-100）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pPr>
              <w:jc w:val="center"/>
              <w:rPr>
                <w:rFonts w:ascii="宋体" w:hAnsi="宋体" w:cs="宋体"/>
                <w:color w:val="auto"/>
                <w:sz w:val="18"/>
                <w:szCs w:val="18"/>
              </w:rPr>
            </w:pPr>
          </w:p>
        </w:tc>
        <w:tc>
          <w:tcPr>
            <w:tcW w:w="5170" w:type="dxa"/>
          </w:tcPr>
          <w:p>
            <w:pPr>
              <w:widowControl/>
              <w:jc w:val="left"/>
              <w:rPr>
                <w:color w:val="auto"/>
                <w:sz w:val="18"/>
                <w:szCs w:val="18"/>
              </w:rPr>
            </w:pPr>
            <w:r>
              <w:rPr>
                <w:rFonts w:hint="eastAsia" w:ascii="宋体" w:hAnsi="宋体" w:cs="宋体"/>
                <w:color w:val="auto"/>
                <w:kern w:val="0"/>
                <w:sz w:val="18"/>
                <w:szCs w:val="18"/>
                <w:lang w:bidi="ar"/>
              </w:rPr>
              <w:t>能够较好地掌握六大要素的知识，对基本内容有较好的理解。</w:t>
            </w:r>
          </w:p>
        </w:tc>
        <w:tc>
          <w:tcPr>
            <w:tcW w:w="142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良（80-89）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pPr>
              <w:jc w:val="center"/>
              <w:rPr>
                <w:rFonts w:ascii="宋体" w:hAnsi="宋体" w:cs="宋体"/>
                <w:color w:val="auto"/>
                <w:sz w:val="18"/>
                <w:szCs w:val="18"/>
              </w:rPr>
            </w:pPr>
          </w:p>
        </w:tc>
        <w:tc>
          <w:tcPr>
            <w:tcW w:w="5170" w:type="dxa"/>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能够掌握六大要素的知识，对基本内容有一定的理解。</w:t>
            </w:r>
          </w:p>
        </w:tc>
        <w:tc>
          <w:tcPr>
            <w:tcW w:w="142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中（70-79）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pPr>
              <w:jc w:val="center"/>
              <w:rPr>
                <w:rFonts w:ascii="宋体" w:hAnsi="宋体" w:cs="宋体"/>
                <w:color w:val="auto"/>
                <w:sz w:val="18"/>
                <w:szCs w:val="18"/>
              </w:rPr>
            </w:pPr>
          </w:p>
        </w:tc>
        <w:tc>
          <w:tcPr>
            <w:tcW w:w="5170" w:type="dxa"/>
          </w:tcPr>
          <w:p>
            <w:pPr>
              <w:widowControl/>
              <w:jc w:val="left"/>
              <w:rPr>
                <w:color w:val="auto"/>
                <w:sz w:val="18"/>
                <w:szCs w:val="18"/>
              </w:rPr>
            </w:pPr>
            <w:r>
              <w:rPr>
                <w:rFonts w:hint="eastAsia" w:ascii="宋体" w:hAnsi="宋体" w:cs="宋体"/>
                <w:color w:val="auto"/>
                <w:kern w:val="0"/>
                <w:sz w:val="18"/>
                <w:szCs w:val="18"/>
                <w:lang w:bidi="ar"/>
              </w:rPr>
              <w:t>基本上能够掌握六大要素的知识，对基本的内容有一定的了解。</w:t>
            </w:r>
          </w:p>
        </w:tc>
        <w:tc>
          <w:tcPr>
            <w:tcW w:w="142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及格（60-69）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2" w:hRule="atLeast"/>
          <w:jc w:val="center"/>
        </w:trPr>
        <w:tc>
          <w:tcPr>
            <w:tcW w:w="2000" w:type="dxa"/>
            <w:vMerge w:val="continue"/>
            <w:vAlign w:val="center"/>
          </w:tcPr>
          <w:p>
            <w:pPr>
              <w:jc w:val="center"/>
              <w:rPr>
                <w:rFonts w:ascii="宋体" w:hAnsi="宋体" w:cs="宋体"/>
                <w:color w:val="auto"/>
                <w:sz w:val="18"/>
                <w:szCs w:val="18"/>
              </w:rPr>
            </w:pPr>
          </w:p>
        </w:tc>
        <w:tc>
          <w:tcPr>
            <w:tcW w:w="5170" w:type="dxa"/>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不能够掌握六大要素的知识，对基本内容不了解。</w:t>
            </w:r>
          </w:p>
        </w:tc>
        <w:tc>
          <w:tcPr>
            <w:tcW w:w="1429" w:type="dxa"/>
          </w:tcPr>
          <w:p>
            <w:pPr>
              <w:widowControl/>
              <w:jc w:val="center"/>
              <w:rPr>
                <w:rFonts w:ascii="宋体" w:hAnsi="宋体" w:cs="宋体"/>
                <w:color w:val="auto"/>
                <w:sz w:val="18"/>
                <w:szCs w:val="18"/>
              </w:rPr>
            </w:pPr>
            <w:r>
              <w:rPr>
                <w:rFonts w:hint="eastAsia" w:ascii="宋体" w:hAnsi="宋体" w:cs="宋体"/>
                <w:color w:val="auto"/>
                <w:sz w:val="18"/>
                <w:szCs w:val="18"/>
              </w:rPr>
              <w:t>不及格（0-59）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restart"/>
            <w:vAlign w:val="center"/>
          </w:tcPr>
          <w:p>
            <w:pPr>
              <w:jc w:val="center"/>
              <w:rPr>
                <w:rFonts w:ascii="宋体" w:hAnsi="宋体" w:cs="宋体"/>
                <w:color w:val="auto"/>
                <w:sz w:val="18"/>
                <w:szCs w:val="18"/>
              </w:rPr>
            </w:pPr>
          </w:p>
          <w:p>
            <w:pPr>
              <w:rPr>
                <w:rFonts w:ascii="宋体" w:hAnsi="宋体" w:cs="宋体"/>
                <w:color w:val="auto"/>
                <w:sz w:val="18"/>
                <w:szCs w:val="18"/>
              </w:rPr>
            </w:pPr>
            <w:r>
              <w:rPr>
                <w:rFonts w:hint="eastAsia" w:ascii="宋体" w:hAnsi="宋体" w:cs="宋体"/>
                <w:color w:val="auto"/>
                <w:sz w:val="18"/>
                <w:szCs w:val="18"/>
              </w:rPr>
              <w:t>L02: 通过本课程的非货币性资产交换、债务重组以及所得税会计的讲解，使学生能够掌握非货币性资产交换及债务重组的会计处理，理解所得税费用的核算，帮助学生了解企业特殊业务的核算方法与技能，从而具备从事复杂和较难的财务会计的工作能力。</w:t>
            </w:r>
          </w:p>
        </w:tc>
        <w:tc>
          <w:tcPr>
            <w:tcW w:w="5170" w:type="dxa"/>
          </w:tcPr>
          <w:p>
            <w:pPr>
              <w:widowControl/>
              <w:jc w:val="left"/>
              <w:rPr>
                <w:color w:val="auto"/>
                <w:sz w:val="18"/>
                <w:szCs w:val="18"/>
              </w:rPr>
            </w:pPr>
            <w:r>
              <w:rPr>
                <w:rFonts w:hint="eastAsia" w:ascii="宋体" w:hAnsi="宋体" w:cs="宋体"/>
                <w:color w:val="auto"/>
                <w:kern w:val="0"/>
                <w:sz w:val="18"/>
                <w:szCs w:val="18"/>
                <w:lang w:bidi="ar"/>
              </w:rPr>
              <w:t>能够很好地掌握企业特殊业务的知识，对基本内容有很好的理解。</w:t>
            </w:r>
          </w:p>
        </w:tc>
        <w:tc>
          <w:tcPr>
            <w:tcW w:w="1429" w:type="dxa"/>
          </w:tcPr>
          <w:p>
            <w:pPr>
              <w:widowControl/>
              <w:jc w:val="center"/>
              <w:rPr>
                <w:rFonts w:ascii="宋体" w:hAnsi="宋体" w:cs="宋体"/>
                <w:color w:val="auto"/>
                <w:sz w:val="18"/>
                <w:szCs w:val="18"/>
              </w:rPr>
            </w:pPr>
            <w:r>
              <w:rPr>
                <w:rFonts w:hint="eastAsia" w:ascii="宋体" w:hAnsi="宋体" w:cs="宋体"/>
                <w:color w:val="auto"/>
                <w:sz w:val="18"/>
                <w:szCs w:val="18"/>
              </w:rPr>
              <w:t>优（90-100）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color w:val="auto"/>
                <w:sz w:val="18"/>
                <w:szCs w:val="18"/>
              </w:rPr>
            </w:pPr>
          </w:p>
        </w:tc>
        <w:tc>
          <w:tcPr>
            <w:tcW w:w="5170" w:type="dxa"/>
          </w:tcPr>
          <w:p>
            <w:pPr>
              <w:widowControl/>
              <w:jc w:val="left"/>
              <w:rPr>
                <w:color w:val="auto"/>
                <w:sz w:val="18"/>
                <w:szCs w:val="18"/>
              </w:rPr>
            </w:pPr>
            <w:r>
              <w:rPr>
                <w:rFonts w:hint="eastAsia" w:ascii="宋体" w:hAnsi="宋体" w:cs="宋体"/>
                <w:color w:val="auto"/>
                <w:kern w:val="0"/>
                <w:sz w:val="18"/>
                <w:szCs w:val="18"/>
                <w:lang w:bidi="ar"/>
              </w:rPr>
              <w:t>能够较好地掌握企业特殊业务的知识，对基本内容有较好的理解。</w:t>
            </w:r>
          </w:p>
        </w:tc>
        <w:tc>
          <w:tcPr>
            <w:tcW w:w="142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良（80-89）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color w:val="auto"/>
                <w:sz w:val="18"/>
                <w:szCs w:val="18"/>
              </w:rPr>
            </w:pPr>
          </w:p>
        </w:tc>
        <w:tc>
          <w:tcPr>
            <w:tcW w:w="5170" w:type="dxa"/>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能够掌握企业特殊业务的知识，对基本内容有一定的理解。</w:t>
            </w:r>
          </w:p>
        </w:tc>
        <w:tc>
          <w:tcPr>
            <w:tcW w:w="142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中（70-79）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color w:val="auto"/>
                <w:sz w:val="18"/>
                <w:szCs w:val="18"/>
              </w:rPr>
            </w:pPr>
          </w:p>
        </w:tc>
        <w:tc>
          <w:tcPr>
            <w:tcW w:w="5170" w:type="dxa"/>
          </w:tcPr>
          <w:p>
            <w:pPr>
              <w:widowControl/>
              <w:jc w:val="left"/>
              <w:rPr>
                <w:color w:val="auto"/>
                <w:sz w:val="18"/>
                <w:szCs w:val="18"/>
              </w:rPr>
            </w:pPr>
            <w:r>
              <w:rPr>
                <w:rFonts w:hint="eastAsia" w:ascii="宋体" w:hAnsi="宋体" w:cs="宋体"/>
                <w:color w:val="auto"/>
                <w:kern w:val="0"/>
                <w:sz w:val="18"/>
                <w:szCs w:val="18"/>
                <w:lang w:bidi="ar"/>
              </w:rPr>
              <w:t>基本上能够掌握企业特殊业务的知识，对基本内容有一定的了解。</w:t>
            </w:r>
          </w:p>
        </w:tc>
        <w:tc>
          <w:tcPr>
            <w:tcW w:w="142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及格（60-69）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color w:val="auto"/>
                <w:sz w:val="18"/>
                <w:szCs w:val="18"/>
              </w:rPr>
            </w:pPr>
          </w:p>
        </w:tc>
        <w:tc>
          <w:tcPr>
            <w:tcW w:w="5170" w:type="dxa"/>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不能够掌握企业特殊业务的知识，对基本内容不了解。</w:t>
            </w:r>
          </w:p>
        </w:tc>
        <w:tc>
          <w:tcPr>
            <w:tcW w:w="1429" w:type="dxa"/>
          </w:tcPr>
          <w:p>
            <w:pPr>
              <w:widowControl/>
              <w:jc w:val="center"/>
              <w:rPr>
                <w:rFonts w:ascii="宋体" w:hAnsi="宋体" w:cs="宋体"/>
                <w:color w:val="auto"/>
                <w:sz w:val="18"/>
                <w:szCs w:val="18"/>
              </w:rPr>
            </w:pPr>
            <w:r>
              <w:rPr>
                <w:rFonts w:hint="eastAsia" w:ascii="宋体" w:hAnsi="宋体" w:cs="宋体"/>
                <w:color w:val="auto"/>
                <w:sz w:val="18"/>
                <w:szCs w:val="18"/>
              </w:rPr>
              <w:t>不及格（0-59）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2000" w:type="dxa"/>
            <w:vMerge w:val="restart"/>
            <w:vAlign w:val="center"/>
          </w:tcPr>
          <w:p>
            <w:pPr>
              <w:rPr>
                <w:rFonts w:ascii="宋体" w:hAnsi="宋体" w:cs="宋体"/>
                <w:color w:val="auto"/>
                <w:sz w:val="18"/>
                <w:szCs w:val="18"/>
              </w:rPr>
            </w:pPr>
            <w:r>
              <w:rPr>
                <w:rFonts w:hint="eastAsia" w:ascii="宋体" w:hAnsi="宋体" w:cs="宋体"/>
                <w:color w:val="auto"/>
                <w:sz w:val="18"/>
                <w:szCs w:val="18"/>
              </w:rPr>
              <w:t>L03：</w:t>
            </w:r>
            <w:r>
              <w:rPr>
                <w:rFonts w:hint="eastAsia" w:ascii="宋体" w:hAnsi="宋体"/>
                <w:color w:val="auto"/>
                <w:szCs w:val="24"/>
              </w:rPr>
              <w:t>通过财务报告的讲解，帮助学生了解财务报告的内容、意义和编制要求；理解资产负债表、利润表、现金流量表等会计报表的性质、作用、结构以及编制方法。</w:t>
            </w:r>
            <w:r>
              <w:rPr>
                <w:rFonts w:ascii="宋体" w:hAnsi="宋体"/>
                <w:color w:val="auto"/>
                <w:szCs w:val="24"/>
              </w:rPr>
              <w:t xml:space="preserve"> </w:t>
            </w:r>
            <w:r>
              <w:rPr>
                <w:rFonts w:hint="eastAsia" w:ascii="宋体" w:hAnsi="宋体" w:cs="宋体"/>
                <w:color w:val="auto"/>
                <w:sz w:val="18"/>
                <w:szCs w:val="18"/>
              </w:rPr>
              <w:t xml:space="preserve"> </w:t>
            </w:r>
          </w:p>
        </w:tc>
        <w:tc>
          <w:tcPr>
            <w:tcW w:w="5170" w:type="dxa"/>
          </w:tcPr>
          <w:p>
            <w:pPr>
              <w:widowControl/>
              <w:jc w:val="left"/>
              <w:rPr>
                <w:color w:val="auto"/>
                <w:sz w:val="18"/>
                <w:szCs w:val="18"/>
              </w:rPr>
            </w:pPr>
            <w:r>
              <w:rPr>
                <w:rFonts w:hint="eastAsia" w:ascii="宋体" w:hAnsi="宋体" w:cs="宋体"/>
                <w:color w:val="auto"/>
                <w:kern w:val="0"/>
                <w:sz w:val="18"/>
                <w:szCs w:val="18"/>
                <w:lang w:bidi="ar"/>
              </w:rPr>
              <w:t>能够很好地掌握财务报告的知识，对基本内容有很好的理解。</w:t>
            </w:r>
          </w:p>
        </w:tc>
        <w:tc>
          <w:tcPr>
            <w:tcW w:w="1429" w:type="dxa"/>
          </w:tcPr>
          <w:p>
            <w:pPr>
              <w:widowControl/>
              <w:jc w:val="center"/>
              <w:rPr>
                <w:rFonts w:ascii="宋体" w:hAnsi="宋体" w:cs="宋体"/>
                <w:color w:val="auto"/>
                <w:sz w:val="18"/>
                <w:szCs w:val="18"/>
              </w:rPr>
            </w:pPr>
            <w:r>
              <w:rPr>
                <w:rFonts w:hint="eastAsia" w:ascii="宋体" w:hAnsi="宋体" w:cs="宋体"/>
                <w:color w:val="auto"/>
                <w:sz w:val="18"/>
                <w:szCs w:val="18"/>
              </w:rPr>
              <w:t>优（90-100）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2000" w:type="dxa"/>
            <w:vMerge w:val="continue"/>
            <w:vAlign w:val="center"/>
          </w:tcPr>
          <w:p>
            <w:pPr>
              <w:jc w:val="center"/>
              <w:rPr>
                <w:rFonts w:ascii="宋体" w:hAnsi="宋体" w:cs="宋体"/>
                <w:color w:val="auto"/>
                <w:sz w:val="18"/>
                <w:szCs w:val="18"/>
              </w:rPr>
            </w:pPr>
          </w:p>
        </w:tc>
        <w:tc>
          <w:tcPr>
            <w:tcW w:w="5170" w:type="dxa"/>
          </w:tcPr>
          <w:p>
            <w:pPr>
              <w:widowControl/>
              <w:jc w:val="left"/>
              <w:rPr>
                <w:color w:val="auto"/>
                <w:sz w:val="18"/>
                <w:szCs w:val="18"/>
              </w:rPr>
            </w:pPr>
            <w:r>
              <w:rPr>
                <w:rFonts w:hint="eastAsia" w:ascii="宋体" w:hAnsi="宋体" w:cs="宋体"/>
                <w:color w:val="auto"/>
                <w:kern w:val="0"/>
                <w:sz w:val="18"/>
                <w:szCs w:val="18"/>
                <w:lang w:bidi="ar"/>
              </w:rPr>
              <w:t>能够较好地掌握财务报告的知识，对基本内容有较好的理解。</w:t>
            </w:r>
          </w:p>
        </w:tc>
        <w:tc>
          <w:tcPr>
            <w:tcW w:w="142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良（80-89）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2000" w:type="dxa"/>
            <w:vMerge w:val="continue"/>
            <w:vAlign w:val="center"/>
          </w:tcPr>
          <w:p>
            <w:pPr>
              <w:jc w:val="center"/>
              <w:rPr>
                <w:rFonts w:ascii="宋体" w:hAnsi="宋体" w:cs="宋体"/>
                <w:color w:val="auto"/>
                <w:sz w:val="18"/>
                <w:szCs w:val="18"/>
              </w:rPr>
            </w:pPr>
          </w:p>
        </w:tc>
        <w:tc>
          <w:tcPr>
            <w:tcW w:w="5170" w:type="dxa"/>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能够掌握财务报告的知识，对基本内容有一定的理解。</w:t>
            </w:r>
          </w:p>
        </w:tc>
        <w:tc>
          <w:tcPr>
            <w:tcW w:w="142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中（70-79）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2" w:hRule="atLeast"/>
          <w:jc w:val="center"/>
        </w:trPr>
        <w:tc>
          <w:tcPr>
            <w:tcW w:w="2000" w:type="dxa"/>
            <w:vMerge w:val="continue"/>
            <w:vAlign w:val="center"/>
          </w:tcPr>
          <w:p>
            <w:pPr>
              <w:jc w:val="center"/>
              <w:rPr>
                <w:rFonts w:ascii="宋体" w:hAnsi="宋体" w:cs="宋体"/>
                <w:color w:val="auto"/>
                <w:sz w:val="18"/>
                <w:szCs w:val="18"/>
              </w:rPr>
            </w:pPr>
          </w:p>
        </w:tc>
        <w:tc>
          <w:tcPr>
            <w:tcW w:w="5170" w:type="dxa"/>
          </w:tcPr>
          <w:p>
            <w:pPr>
              <w:widowControl/>
              <w:jc w:val="left"/>
              <w:rPr>
                <w:rFonts w:ascii="宋体" w:hAnsi="宋体" w:cs="宋体"/>
                <w:color w:val="auto"/>
                <w:kern w:val="0"/>
                <w:sz w:val="18"/>
                <w:szCs w:val="18"/>
                <w:lang w:bidi="ar"/>
              </w:rPr>
            </w:pPr>
            <w:r>
              <w:rPr>
                <w:rFonts w:hint="eastAsia" w:ascii="宋体" w:hAnsi="宋体" w:cs="宋体"/>
                <w:color w:val="auto"/>
                <w:kern w:val="0"/>
                <w:sz w:val="18"/>
                <w:szCs w:val="18"/>
                <w:lang w:bidi="ar"/>
              </w:rPr>
              <w:t>基本上能够掌握财务报告的知识，对基本内容有一定的了解。</w:t>
            </w:r>
          </w:p>
        </w:tc>
        <w:tc>
          <w:tcPr>
            <w:tcW w:w="1429" w:type="dxa"/>
          </w:tcPr>
          <w:p>
            <w:pPr>
              <w:widowControl/>
              <w:jc w:val="center"/>
              <w:rPr>
                <w:rFonts w:ascii="宋体" w:hAnsi="宋体" w:cs="宋体"/>
                <w:color w:val="auto"/>
                <w:sz w:val="18"/>
                <w:szCs w:val="18"/>
              </w:rPr>
            </w:pPr>
            <w:r>
              <w:rPr>
                <w:rFonts w:hint="eastAsia" w:ascii="宋体" w:hAnsi="宋体" w:cs="宋体"/>
                <w:color w:val="auto"/>
                <w:kern w:val="0"/>
                <w:sz w:val="18"/>
                <w:szCs w:val="18"/>
                <w:lang w:bidi="ar"/>
              </w:rPr>
              <w:t>及格（60-69）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72" w:hRule="atLeast"/>
          <w:jc w:val="center"/>
        </w:trPr>
        <w:tc>
          <w:tcPr>
            <w:tcW w:w="2000" w:type="dxa"/>
            <w:vMerge w:val="continue"/>
            <w:vAlign w:val="center"/>
          </w:tcPr>
          <w:p>
            <w:pPr>
              <w:jc w:val="center"/>
              <w:rPr>
                <w:rFonts w:ascii="宋体" w:hAnsi="宋体" w:cs="宋体"/>
                <w:color w:val="auto"/>
                <w:sz w:val="18"/>
                <w:szCs w:val="18"/>
              </w:rPr>
            </w:pPr>
          </w:p>
        </w:tc>
        <w:tc>
          <w:tcPr>
            <w:tcW w:w="5170" w:type="dxa"/>
          </w:tcPr>
          <w:p>
            <w:pPr>
              <w:widowControl/>
              <w:jc w:val="left"/>
              <w:rPr>
                <w:rFonts w:ascii="宋体" w:hAnsi="宋体" w:cs="宋体"/>
                <w:color w:val="auto"/>
                <w:sz w:val="18"/>
                <w:szCs w:val="18"/>
              </w:rPr>
            </w:pPr>
            <w:r>
              <w:rPr>
                <w:rFonts w:hint="eastAsia" w:ascii="宋体" w:hAnsi="宋体" w:cs="宋体"/>
                <w:color w:val="auto"/>
                <w:kern w:val="0"/>
                <w:sz w:val="18"/>
                <w:szCs w:val="18"/>
                <w:lang w:bidi="ar"/>
              </w:rPr>
              <w:t>不能够掌握财务报告的知识，对基本内容不了解。</w:t>
            </w:r>
          </w:p>
        </w:tc>
        <w:tc>
          <w:tcPr>
            <w:tcW w:w="1429" w:type="dxa"/>
          </w:tcPr>
          <w:p>
            <w:pPr>
              <w:widowControl/>
              <w:jc w:val="center"/>
              <w:rPr>
                <w:rFonts w:ascii="宋体" w:hAnsi="宋体" w:cs="宋体"/>
                <w:color w:val="auto"/>
                <w:sz w:val="18"/>
                <w:szCs w:val="18"/>
              </w:rPr>
            </w:pPr>
            <w:r>
              <w:rPr>
                <w:rFonts w:hint="eastAsia" w:ascii="宋体" w:hAnsi="宋体" w:cs="宋体"/>
                <w:color w:val="auto"/>
                <w:sz w:val="18"/>
                <w:szCs w:val="18"/>
              </w:rPr>
              <w:t>不及格（0-59）</w:t>
            </w:r>
          </w:p>
        </w:tc>
      </w:tr>
    </w:tbl>
    <w:p>
      <w:pPr>
        <w:spacing w:line="324" w:lineRule="auto"/>
        <w:ind w:firstLine="420" w:firstLineChars="200"/>
        <w:rPr>
          <w:rFonts w:ascii="宋体" w:hAnsi="宋体" w:cs="宋体"/>
        </w:rPr>
      </w:pPr>
    </w:p>
    <w:p>
      <w:pPr>
        <w:widowControl/>
        <w:spacing w:before="100" w:after="100" w:line="400" w:lineRule="exact"/>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六、教材与主要参考书目</w:t>
      </w:r>
    </w:p>
    <w:p>
      <w:pPr>
        <w:spacing w:line="400" w:lineRule="exact"/>
        <w:rPr>
          <w:rFonts w:ascii="宋体"/>
        </w:rPr>
      </w:pPr>
      <w:r>
        <w:rPr>
          <w:rFonts w:hint="eastAsia" w:ascii="宋体"/>
        </w:rPr>
        <w:t>1.自编教材：《中级财务会计》，周建龙、赵春艳、毛腊梅主编、安徽大学出版社、2021第1版；</w:t>
      </w:r>
    </w:p>
    <w:p>
      <w:pPr>
        <w:spacing w:line="400" w:lineRule="exact"/>
        <w:rPr>
          <w:rFonts w:ascii="宋体"/>
        </w:rPr>
      </w:pPr>
      <w:r>
        <w:rPr>
          <w:rFonts w:hint="eastAsia" w:ascii="宋体"/>
        </w:rPr>
        <w:t>2.教学信息化资源：</w:t>
      </w:r>
      <w:r>
        <w:rPr>
          <w:rFonts w:ascii="宋体"/>
        </w:rPr>
        <w:t>e</w:t>
      </w:r>
      <w:r>
        <w:rPr>
          <w:rFonts w:hint="eastAsia" w:ascii="宋体"/>
        </w:rPr>
        <w:t>会学慕课《中级财务会计》</w:t>
      </w:r>
    </w:p>
    <w:p>
      <w:pPr>
        <w:widowControl/>
        <w:spacing w:before="100" w:after="100" w:line="400" w:lineRule="exact"/>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七、大纲编写的依据与说明</w:t>
      </w:r>
    </w:p>
    <w:p>
      <w:pPr>
        <w:spacing w:line="400" w:lineRule="exact"/>
        <w:ind w:firstLine="420" w:firstLineChars="200"/>
        <w:rPr>
          <w:rFonts w:ascii="宋体"/>
          <w:b/>
          <w:bCs/>
        </w:rPr>
      </w:pPr>
      <w:r>
        <w:rPr>
          <w:rFonts w:hint="eastAsia" w:ascii="宋体"/>
        </w:rPr>
        <w:t>由于会计制度和会计准则在不断修订和完善，本大纲依据最新版高等教育出版社出版的《中级财务会计》编制。</w:t>
      </w:r>
    </w:p>
    <w:p>
      <w:pPr>
        <w:spacing w:line="400" w:lineRule="exact"/>
        <w:ind w:firstLine="420" w:firstLineChars="200"/>
        <w:rPr>
          <w:rFonts w:ascii="宋体"/>
        </w:rPr>
      </w:pPr>
    </w:p>
    <w:p>
      <w:pPr>
        <w:spacing w:line="400" w:lineRule="exact"/>
        <w:ind w:firstLine="1145" w:firstLineChars="543"/>
        <w:rPr>
          <w:rFonts w:hint="default" w:eastAsia="宋体"/>
          <w:b/>
          <w:bCs/>
          <w:lang w:val="en-US" w:eastAsia="zh-CN"/>
        </w:rPr>
      </w:pPr>
      <w:r>
        <w:rPr>
          <w:rFonts w:hint="eastAsia" w:cs="宋体"/>
          <w:b/>
          <w:bCs/>
        </w:rPr>
        <w:t>制定人：胡雪琪</w:t>
      </w:r>
      <w:r>
        <w:rPr>
          <w:b/>
          <w:bCs/>
        </w:rPr>
        <w:t xml:space="preserve">                  </w:t>
      </w:r>
      <w:r>
        <w:rPr>
          <w:rFonts w:hint="eastAsia" w:cs="宋体"/>
          <w:b/>
          <w:bCs/>
        </w:rPr>
        <w:t>审核人：</w:t>
      </w:r>
      <w:r>
        <w:rPr>
          <w:rFonts w:hint="eastAsia" w:cs="宋体"/>
          <w:b/>
          <w:bCs/>
          <w:lang w:val="en-US" w:eastAsia="zh-CN"/>
        </w:rPr>
        <w:t>刘捷先</w:t>
      </w:r>
      <w:r>
        <w:rPr>
          <w:b/>
          <w:bCs/>
        </w:rPr>
        <w:t xml:space="preserve">                   </w:t>
      </w:r>
      <w:r>
        <w:rPr>
          <w:rFonts w:hint="eastAsia" w:cs="宋体"/>
          <w:b/>
          <w:bCs/>
        </w:rPr>
        <w:t>审核日期：</w:t>
      </w:r>
      <w:r>
        <w:rPr>
          <w:rFonts w:hint="eastAsia" w:cs="宋体"/>
          <w:b/>
          <w:bCs/>
          <w:lang w:val="en-US" w:eastAsia="zh-CN"/>
        </w:rPr>
        <w:t>2023.10</w:t>
      </w:r>
    </w:p>
    <w:p>
      <w:pPr>
        <w:spacing w:line="400" w:lineRule="exact"/>
        <w:ind w:firstLine="1145" w:firstLineChars="543"/>
        <w:rPr>
          <w:b/>
          <w:bCs/>
        </w:rPr>
      </w:pPr>
    </w:p>
    <w:p>
      <w:pPr>
        <w:spacing w:line="400" w:lineRule="exact"/>
        <w:ind w:firstLine="1145" w:firstLineChars="543"/>
        <w:rPr>
          <w:rFonts w:ascii="宋体"/>
          <w:b/>
          <w:bCs/>
        </w:rPr>
      </w:pPr>
    </w:p>
    <w:p>
      <w:pPr>
        <w:spacing w:line="400" w:lineRule="exact"/>
        <w:ind w:firstLine="420" w:firstLineChars="200"/>
        <w:rPr>
          <w:rFonts w:ascii="宋体"/>
        </w:rPr>
      </w:pPr>
    </w:p>
    <w:sectPr>
      <w:footerReference r:id="rId3" w:type="default"/>
      <w:pgSz w:w="11906" w:h="16838"/>
      <w:pgMar w:top="1531" w:right="1134" w:bottom="1531" w:left="1134" w:header="851" w:footer="124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uto" w:vAnchor="text" w:hAnchor="margin" w:xAlign="center" w:y="1"/>
      <w:rPr>
        <w:rStyle w:val="12"/>
        <w:sz w:val="21"/>
        <w:szCs w:val="21"/>
      </w:rPr>
    </w:pPr>
    <w:r>
      <w:rPr>
        <w:rStyle w:val="12"/>
        <w:sz w:val="21"/>
        <w:szCs w:val="21"/>
      </w:rPr>
      <w:fldChar w:fldCharType="begin"/>
    </w:r>
    <w:r>
      <w:rPr>
        <w:rStyle w:val="12"/>
        <w:sz w:val="21"/>
        <w:szCs w:val="21"/>
      </w:rPr>
      <w:instrText xml:space="preserve">PAGE  </w:instrText>
    </w:r>
    <w:r>
      <w:rPr>
        <w:rStyle w:val="12"/>
        <w:sz w:val="21"/>
        <w:szCs w:val="21"/>
      </w:rPr>
      <w:fldChar w:fldCharType="separate"/>
    </w:r>
    <w:r>
      <w:rPr>
        <w:rStyle w:val="12"/>
        <w:sz w:val="21"/>
        <w:szCs w:val="21"/>
      </w:rPr>
      <w:t>7</w:t>
    </w:r>
    <w:r>
      <w:rPr>
        <w:rStyle w:val="12"/>
        <w:sz w:val="21"/>
        <w:szCs w:val="21"/>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E9746"/>
    <w:multiLevelType w:val="singleLevel"/>
    <w:tmpl w:val="862E9746"/>
    <w:lvl w:ilvl="0" w:tentative="0">
      <w:start w:val="4"/>
      <w:numFmt w:val="chineseCounting"/>
      <w:suff w:val="nothing"/>
      <w:lvlText w:val="%1、"/>
      <w:lvlJc w:val="left"/>
      <w:rPr>
        <w:rFonts w:hint="eastAsia"/>
      </w:rPr>
    </w:lvl>
  </w:abstractNum>
  <w:abstractNum w:abstractNumId="1">
    <w:nsid w:val="96CC69C8"/>
    <w:multiLevelType w:val="singleLevel"/>
    <w:tmpl w:val="96CC69C8"/>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oNotHyphenateCaps/>
  <w:drawingGridHorizontalSpacing w:val="105"/>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5MDY3MTQ4NmVhODZhMDc3ZjYzOTk1NmIxZjZjNDMifQ=="/>
  </w:docVars>
  <w:rsids>
    <w:rsidRoot w:val="00891DCA"/>
    <w:rsid w:val="00003FFE"/>
    <w:rsid w:val="000048CB"/>
    <w:rsid w:val="000138A8"/>
    <w:rsid w:val="0001523F"/>
    <w:rsid w:val="0002769D"/>
    <w:rsid w:val="000326A3"/>
    <w:rsid w:val="00037740"/>
    <w:rsid w:val="00043562"/>
    <w:rsid w:val="00051A79"/>
    <w:rsid w:val="00057642"/>
    <w:rsid w:val="0007042C"/>
    <w:rsid w:val="000808BC"/>
    <w:rsid w:val="0008387C"/>
    <w:rsid w:val="00083FD0"/>
    <w:rsid w:val="000A2FD9"/>
    <w:rsid w:val="000A58A6"/>
    <w:rsid w:val="000A5ACD"/>
    <w:rsid w:val="000C1147"/>
    <w:rsid w:val="000C49DE"/>
    <w:rsid w:val="000C78D8"/>
    <w:rsid w:val="000E5CBD"/>
    <w:rsid w:val="000F1DD7"/>
    <w:rsid w:val="000F2A24"/>
    <w:rsid w:val="001224B2"/>
    <w:rsid w:val="00123AB6"/>
    <w:rsid w:val="00154FF4"/>
    <w:rsid w:val="00156451"/>
    <w:rsid w:val="00163369"/>
    <w:rsid w:val="00173A68"/>
    <w:rsid w:val="00181BA3"/>
    <w:rsid w:val="001849FD"/>
    <w:rsid w:val="00187805"/>
    <w:rsid w:val="00187BCD"/>
    <w:rsid w:val="00197EC4"/>
    <w:rsid w:val="001A3382"/>
    <w:rsid w:val="001B1D61"/>
    <w:rsid w:val="001B5D59"/>
    <w:rsid w:val="001E0669"/>
    <w:rsid w:val="001E31F8"/>
    <w:rsid w:val="001E7E48"/>
    <w:rsid w:val="001F2E2C"/>
    <w:rsid w:val="00200A67"/>
    <w:rsid w:val="00215D76"/>
    <w:rsid w:val="00216F6D"/>
    <w:rsid w:val="00224663"/>
    <w:rsid w:val="00225121"/>
    <w:rsid w:val="00232038"/>
    <w:rsid w:val="00232F59"/>
    <w:rsid w:val="00240A99"/>
    <w:rsid w:val="0025075D"/>
    <w:rsid w:val="002534C2"/>
    <w:rsid w:val="00261625"/>
    <w:rsid w:val="0026254D"/>
    <w:rsid w:val="002652C6"/>
    <w:rsid w:val="00272B32"/>
    <w:rsid w:val="002759E9"/>
    <w:rsid w:val="00282854"/>
    <w:rsid w:val="00285441"/>
    <w:rsid w:val="002858E6"/>
    <w:rsid w:val="00291E6A"/>
    <w:rsid w:val="00296A18"/>
    <w:rsid w:val="002B15A1"/>
    <w:rsid w:val="002C4253"/>
    <w:rsid w:val="002D351B"/>
    <w:rsid w:val="002D7387"/>
    <w:rsid w:val="002E032E"/>
    <w:rsid w:val="002E0928"/>
    <w:rsid w:val="002E2331"/>
    <w:rsid w:val="002E77E3"/>
    <w:rsid w:val="00302134"/>
    <w:rsid w:val="003069CE"/>
    <w:rsid w:val="00306CDA"/>
    <w:rsid w:val="00316BE0"/>
    <w:rsid w:val="00324725"/>
    <w:rsid w:val="00331A8C"/>
    <w:rsid w:val="00336979"/>
    <w:rsid w:val="00337320"/>
    <w:rsid w:val="00352C6A"/>
    <w:rsid w:val="00354047"/>
    <w:rsid w:val="0036285C"/>
    <w:rsid w:val="00367ECD"/>
    <w:rsid w:val="00385C51"/>
    <w:rsid w:val="00387002"/>
    <w:rsid w:val="0039532E"/>
    <w:rsid w:val="00396015"/>
    <w:rsid w:val="00397320"/>
    <w:rsid w:val="003B3791"/>
    <w:rsid w:val="003C51F7"/>
    <w:rsid w:val="003D28D3"/>
    <w:rsid w:val="003E17BB"/>
    <w:rsid w:val="003E1D09"/>
    <w:rsid w:val="003F026E"/>
    <w:rsid w:val="004010E0"/>
    <w:rsid w:val="00402FCA"/>
    <w:rsid w:val="00405445"/>
    <w:rsid w:val="00406648"/>
    <w:rsid w:val="004114D9"/>
    <w:rsid w:val="00412AC3"/>
    <w:rsid w:val="00413734"/>
    <w:rsid w:val="0042202D"/>
    <w:rsid w:val="004256DE"/>
    <w:rsid w:val="00436364"/>
    <w:rsid w:val="00440144"/>
    <w:rsid w:val="00445007"/>
    <w:rsid w:val="00446AB0"/>
    <w:rsid w:val="00446F31"/>
    <w:rsid w:val="00453FEA"/>
    <w:rsid w:val="0047276F"/>
    <w:rsid w:val="00483665"/>
    <w:rsid w:val="0049683E"/>
    <w:rsid w:val="004A305B"/>
    <w:rsid w:val="004B6BB4"/>
    <w:rsid w:val="004D19E9"/>
    <w:rsid w:val="004D1C21"/>
    <w:rsid w:val="004E2241"/>
    <w:rsid w:val="004E31F0"/>
    <w:rsid w:val="004F45AC"/>
    <w:rsid w:val="004F5113"/>
    <w:rsid w:val="00503537"/>
    <w:rsid w:val="00504020"/>
    <w:rsid w:val="0052274A"/>
    <w:rsid w:val="005304BB"/>
    <w:rsid w:val="005473E3"/>
    <w:rsid w:val="00557BAC"/>
    <w:rsid w:val="0056459D"/>
    <w:rsid w:val="005B3B59"/>
    <w:rsid w:val="005D2E73"/>
    <w:rsid w:val="005E6488"/>
    <w:rsid w:val="005E76DA"/>
    <w:rsid w:val="005F05B0"/>
    <w:rsid w:val="00603E72"/>
    <w:rsid w:val="0060662B"/>
    <w:rsid w:val="0061121E"/>
    <w:rsid w:val="0061477D"/>
    <w:rsid w:val="00620CEA"/>
    <w:rsid w:val="00622B41"/>
    <w:rsid w:val="006314AA"/>
    <w:rsid w:val="00631E49"/>
    <w:rsid w:val="00632816"/>
    <w:rsid w:val="00642211"/>
    <w:rsid w:val="006426B4"/>
    <w:rsid w:val="0064665D"/>
    <w:rsid w:val="006735B6"/>
    <w:rsid w:val="00673E75"/>
    <w:rsid w:val="00696B02"/>
    <w:rsid w:val="00696F93"/>
    <w:rsid w:val="006A022A"/>
    <w:rsid w:val="006A7402"/>
    <w:rsid w:val="006C62B4"/>
    <w:rsid w:val="006D3111"/>
    <w:rsid w:val="006E0B17"/>
    <w:rsid w:val="007003EB"/>
    <w:rsid w:val="00724AB9"/>
    <w:rsid w:val="00735625"/>
    <w:rsid w:val="007413F4"/>
    <w:rsid w:val="00757C0C"/>
    <w:rsid w:val="00763D2A"/>
    <w:rsid w:val="007853CA"/>
    <w:rsid w:val="0079155F"/>
    <w:rsid w:val="00792184"/>
    <w:rsid w:val="00797C3A"/>
    <w:rsid w:val="007A01AF"/>
    <w:rsid w:val="007A343B"/>
    <w:rsid w:val="007C1D0B"/>
    <w:rsid w:val="007C1E06"/>
    <w:rsid w:val="007C4CF5"/>
    <w:rsid w:val="007D2922"/>
    <w:rsid w:val="007D4E98"/>
    <w:rsid w:val="007E313D"/>
    <w:rsid w:val="007F623F"/>
    <w:rsid w:val="00852721"/>
    <w:rsid w:val="008578BC"/>
    <w:rsid w:val="008652F7"/>
    <w:rsid w:val="00873309"/>
    <w:rsid w:val="008808AD"/>
    <w:rsid w:val="0088517B"/>
    <w:rsid w:val="00891DCA"/>
    <w:rsid w:val="008941AD"/>
    <w:rsid w:val="00897AB6"/>
    <w:rsid w:val="008C66C3"/>
    <w:rsid w:val="008E08F1"/>
    <w:rsid w:val="008E7EC6"/>
    <w:rsid w:val="008F0F57"/>
    <w:rsid w:val="00904C0C"/>
    <w:rsid w:val="00910B8B"/>
    <w:rsid w:val="0092052A"/>
    <w:rsid w:val="00931BE0"/>
    <w:rsid w:val="00944770"/>
    <w:rsid w:val="00944973"/>
    <w:rsid w:val="00951E22"/>
    <w:rsid w:val="009528C9"/>
    <w:rsid w:val="00954CCB"/>
    <w:rsid w:val="0096001D"/>
    <w:rsid w:val="0096191D"/>
    <w:rsid w:val="00961D5A"/>
    <w:rsid w:val="009640D0"/>
    <w:rsid w:val="00964418"/>
    <w:rsid w:val="00971994"/>
    <w:rsid w:val="0097471D"/>
    <w:rsid w:val="00994C51"/>
    <w:rsid w:val="00994E33"/>
    <w:rsid w:val="00995437"/>
    <w:rsid w:val="009A18C8"/>
    <w:rsid w:val="009B6F41"/>
    <w:rsid w:val="009C4200"/>
    <w:rsid w:val="009C62F6"/>
    <w:rsid w:val="00A01920"/>
    <w:rsid w:val="00A0499D"/>
    <w:rsid w:val="00A06087"/>
    <w:rsid w:val="00A13E5E"/>
    <w:rsid w:val="00A22705"/>
    <w:rsid w:val="00A3141F"/>
    <w:rsid w:val="00A35269"/>
    <w:rsid w:val="00A4105D"/>
    <w:rsid w:val="00A51CAF"/>
    <w:rsid w:val="00A552C3"/>
    <w:rsid w:val="00A57EF4"/>
    <w:rsid w:val="00A640E9"/>
    <w:rsid w:val="00A645BB"/>
    <w:rsid w:val="00A667E4"/>
    <w:rsid w:val="00A811C4"/>
    <w:rsid w:val="00AA1679"/>
    <w:rsid w:val="00AB17B9"/>
    <w:rsid w:val="00AB3774"/>
    <w:rsid w:val="00AC08F3"/>
    <w:rsid w:val="00AD6B0C"/>
    <w:rsid w:val="00AE5564"/>
    <w:rsid w:val="00B01C99"/>
    <w:rsid w:val="00B24565"/>
    <w:rsid w:val="00B47B4B"/>
    <w:rsid w:val="00B55A46"/>
    <w:rsid w:val="00B6353B"/>
    <w:rsid w:val="00B82D33"/>
    <w:rsid w:val="00B87A4D"/>
    <w:rsid w:val="00BC7649"/>
    <w:rsid w:val="00BE3045"/>
    <w:rsid w:val="00BE7E95"/>
    <w:rsid w:val="00BF3729"/>
    <w:rsid w:val="00BF6A88"/>
    <w:rsid w:val="00BF771C"/>
    <w:rsid w:val="00C2283A"/>
    <w:rsid w:val="00C23091"/>
    <w:rsid w:val="00C26785"/>
    <w:rsid w:val="00C42F55"/>
    <w:rsid w:val="00C7636D"/>
    <w:rsid w:val="00C85A1C"/>
    <w:rsid w:val="00C85DA8"/>
    <w:rsid w:val="00C96D77"/>
    <w:rsid w:val="00CA0B5C"/>
    <w:rsid w:val="00CB3D10"/>
    <w:rsid w:val="00CB75CB"/>
    <w:rsid w:val="00CB7D77"/>
    <w:rsid w:val="00CD50C3"/>
    <w:rsid w:val="00CE5433"/>
    <w:rsid w:val="00CE6E24"/>
    <w:rsid w:val="00CF1450"/>
    <w:rsid w:val="00D13A91"/>
    <w:rsid w:val="00D3316E"/>
    <w:rsid w:val="00D357FC"/>
    <w:rsid w:val="00D42A82"/>
    <w:rsid w:val="00D45B95"/>
    <w:rsid w:val="00D521C9"/>
    <w:rsid w:val="00D53135"/>
    <w:rsid w:val="00D6133F"/>
    <w:rsid w:val="00D72C15"/>
    <w:rsid w:val="00D73329"/>
    <w:rsid w:val="00D96C89"/>
    <w:rsid w:val="00DA159B"/>
    <w:rsid w:val="00DA584A"/>
    <w:rsid w:val="00DA695D"/>
    <w:rsid w:val="00DB2D89"/>
    <w:rsid w:val="00DB63B8"/>
    <w:rsid w:val="00DC2152"/>
    <w:rsid w:val="00DC3576"/>
    <w:rsid w:val="00DD5CF4"/>
    <w:rsid w:val="00DD6FC2"/>
    <w:rsid w:val="00DE1A73"/>
    <w:rsid w:val="00DF0151"/>
    <w:rsid w:val="00DF2458"/>
    <w:rsid w:val="00DF2D1C"/>
    <w:rsid w:val="00DF4FB2"/>
    <w:rsid w:val="00E028F2"/>
    <w:rsid w:val="00E21CDA"/>
    <w:rsid w:val="00E452BE"/>
    <w:rsid w:val="00E45683"/>
    <w:rsid w:val="00E51954"/>
    <w:rsid w:val="00E61064"/>
    <w:rsid w:val="00E62409"/>
    <w:rsid w:val="00E73172"/>
    <w:rsid w:val="00E873B1"/>
    <w:rsid w:val="00EA2584"/>
    <w:rsid w:val="00EA5133"/>
    <w:rsid w:val="00EB40A5"/>
    <w:rsid w:val="00EC181A"/>
    <w:rsid w:val="00EC4814"/>
    <w:rsid w:val="00EC5746"/>
    <w:rsid w:val="00F13AEB"/>
    <w:rsid w:val="00F14C27"/>
    <w:rsid w:val="00F321DF"/>
    <w:rsid w:val="00F32FED"/>
    <w:rsid w:val="00F42B11"/>
    <w:rsid w:val="00F46A23"/>
    <w:rsid w:val="00F75E47"/>
    <w:rsid w:val="00FA2529"/>
    <w:rsid w:val="00FA37AD"/>
    <w:rsid w:val="00FA7418"/>
    <w:rsid w:val="00FA7FE5"/>
    <w:rsid w:val="00FB05E7"/>
    <w:rsid w:val="00FB08A9"/>
    <w:rsid w:val="00FC44AD"/>
    <w:rsid w:val="00FC7C37"/>
    <w:rsid w:val="00FE25A4"/>
    <w:rsid w:val="00FE5BC1"/>
    <w:rsid w:val="00FF3E22"/>
    <w:rsid w:val="00FF5852"/>
    <w:rsid w:val="031834CA"/>
    <w:rsid w:val="03904B6C"/>
    <w:rsid w:val="06BF7DC5"/>
    <w:rsid w:val="06D90BD6"/>
    <w:rsid w:val="0E49794E"/>
    <w:rsid w:val="14E3609A"/>
    <w:rsid w:val="16A41058"/>
    <w:rsid w:val="180B4D7E"/>
    <w:rsid w:val="18675823"/>
    <w:rsid w:val="1967641A"/>
    <w:rsid w:val="1B1772B9"/>
    <w:rsid w:val="1E676920"/>
    <w:rsid w:val="1FDC499C"/>
    <w:rsid w:val="22BC6C25"/>
    <w:rsid w:val="22D66671"/>
    <w:rsid w:val="242F111A"/>
    <w:rsid w:val="24E46F1D"/>
    <w:rsid w:val="258175A1"/>
    <w:rsid w:val="262A0998"/>
    <w:rsid w:val="295977AD"/>
    <w:rsid w:val="2B21182E"/>
    <w:rsid w:val="2CC2225E"/>
    <w:rsid w:val="323D6405"/>
    <w:rsid w:val="328C5D44"/>
    <w:rsid w:val="3303548F"/>
    <w:rsid w:val="331F711D"/>
    <w:rsid w:val="338E715F"/>
    <w:rsid w:val="35A31C42"/>
    <w:rsid w:val="37672309"/>
    <w:rsid w:val="39BF1903"/>
    <w:rsid w:val="3F9754BF"/>
    <w:rsid w:val="40EE71E3"/>
    <w:rsid w:val="42AC4C08"/>
    <w:rsid w:val="44CD7ECE"/>
    <w:rsid w:val="46212194"/>
    <w:rsid w:val="46CB1893"/>
    <w:rsid w:val="52930CC9"/>
    <w:rsid w:val="55911EF9"/>
    <w:rsid w:val="571B7CCD"/>
    <w:rsid w:val="575F3DA0"/>
    <w:rsid w:val="5AF06E3D"/>
    <w:rsid w:val="5C83180B"/>
    <w:rsid w:val="5D7153EF"/>
    <w:rsid w:val="60BD0FEB"/>
    <w:rsid w:val="60DE2B7F"/>
    <w:rsid w:val="621126B9"/>
    <w:rsid w:val="633867C7"/>
    <w:rsid w:val="67902CD2"/>
    <w:rsid w:val="67973E8D"/>
    <w:rsid w:val="681567D8"/>
    <w:rsid w:val="6893543A"/>
    <w:rsid w:val="68DD7A83"/>
    <w:rsid w:val="6A1D7654"/>
    <w:rsid w:val="6DCB7459"/>
    <w:rsid w:val="75EA541D"/>
    <w:rsid w:val="76F16AE8"/>
    <w:rsid w:val="77200A51"/>
    <w:rsid w:val="79FE047A"/>
    <w:rsid w:val="7AD72040"/>
    <w:rsid w:val="7DF01A77"/>
    <w:rsid w:val="7E3656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99"/>
    <w:pPr>
      <w:jc w:val="left"/>
    </w:pPr>
  </w:style>
  <w:style w:type="paragraph" w:styleId="3">
    <w:name w:val="Body Text Indent"/>
    <w:basedOn w:val="1"/>
    <w:link w:val="14"/>
    <w:qFormat/>
    <w:uiPriority w:val="99"/>
    <w:pPr>
      <w:spacing w:line="360" w:lineRule="auto"/>
      <w:ind w:firstLine="420" w:firstLineChars="175"/>
    </w:pPr>
    <w:rPr>
      <w:sz w:val="24"/>
      <w:szCs w:val="24"/>
    </w:rPr>
  </w:style>
  <w:style w:type="paragraph" w:styleId="4">
    <w:name w:val="Body Text Indent 2"/>
    <w:basedOn w:val="1"/>
    <w:link w:val="15"/>
    <w:qFormat/>
    <w:uiPriority w:val="99"/>
    <w:pPr>
      <w:spacing w:after="120" w:line="480" w:lineRule="auto"/>
      <w:ind w:left="420" w:leftChars="200"/>
    </w:pPr>
  </w:style>
  <w:style w:type="paragraph" w:styleId="5">
    <w:name w:val="Balloon Text"/>
    <w:basedOn w:val="1"/>
    <w:link w:val="17"/>
    <w:semiHidden/>
    <w:qFormat/>
    <w:uiPriority w:val="99"/>
    <w:rPr>
      <w:sz w:val="18"/>
      <w:szCs w:val="18"/>
    </w:rPr>
  </w:style>
  <w:style w:type="paragraph" w:styleId="6">
    <w:name w:val="footer"/>
    <w:basedOn w:val="1"/>
    <w:link w:val="13"/>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rPr>
      <w:sz w:val="24"/>
      <w:szCs w:val="24"/>
    </w:rPr>
  </w:style>
  <w:style w:type="table" w:styleId="10">
    <w:name w:val="Table Grid"/>
    <w:basedOn w:val="9"/>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page number"/>
    <w:basedOn w:val="11"/>
    <w:qFormat/>
    <w:uiPriority w:val="99"/>
  </w:style>
  <w:style w:type="character" w:customStyle="1" w:styleId="13">
    <w:name w:val="页脚字符"/>
    <w:basedOn w:val="11"/>
    <w:link w:val="6"/>
    <w:semiHidden/>
    <w:qFormat/>
    <w:locked/>
    <w:uiPriority w:val="99"/>
    <w:rPr>
      <w:sz w:val="18"/>
      <w:szCs w:val="18"/>
    </w:rPr>
  </w:style>
  <w:style w:type="character" w:customStyle="1" w:styleId="14">
    <w:name w:val="正文文本缩进字符"/>
    <w:basedOn w:val="11"/>
    <w:link w:val="3"/>
    <w:semiHidden/>
    <w:qFormat/>
    <w:locked/>
    <w:uiPriority w:val="99"/>
    <w:rPr>
      <w:sz w:val="21"/>
      <w:szCs w:val="21"/>
    </w:rPr>
  </w:style>
  <w:style w:type="character" w:customStyle="1" w:styleId="15">
    <w:name w:val="正文文本缩进 2字符"/>
    <w:basedOn w:val="11"/>
    <w:link w:val="4"/>
    <w:semiHidden/>
    <w:qFormat/>
    <w:locked/>
    <w:uiPriority w:val="99"/>
    <w:rPr>
      <w:sz w:val="21"/>
      <w:szCs w:val="21"/>
    </w:rPr>
  </w:style>
  <w:style w:type="character" w:customStyle="1" w:styleId="16">
    <w:name w:val="页眉字符"/>
    <w:basedOn w:val="11"/>
    <w:link w:val="7"/>
    <w:semiHidden/>
    <w:qFormat/>
    <w:locked/>
    <w:uiPriority w:val="99"/>
    <w:rPr>
      <w:sz w:val="18"/>
      <w:szCs w:val="18"/>
    </w:rPr>
  </w:style>
  <w:style w:type="character" w:customStyle="1" w:styleId="17">
    <w:name w:val="批注框文本字符"/>
    <w:basedOn w:val="11"/>
    <w:link w:val="5"/>
    <w:qFormat/>
    <w:locked/>
    <w:uiPriority w:val="99"/>
    <w:rPr>
      <w:kern w:val="2"/>
      <w:sz w:val="18"/>
      <w:szCs w:val="18"/>
    </w:rPr>
  </w:style>
  <w:style w:type="paragraph" w:customStyle="1" w:styleId="18">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19">
    <w:name w:val="网格型1"/>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0">
    <w:name w:val="No Spacing"/>
    <w:qFormat/>
    <w:uiPriority w:val="99"/>
    <w:rPr>
      <w:rFonts w:ascii="Calibri" w:hAnsi="Calibri" w:eastAsia="宋体" w:cs="Times New Roman"/>
      <w:sz w:val="22"/>
      <w:szCs w:val="22"/>
      <w:lang w:val="en-US" w:eastAsia="zh-CN" w:bidi="ar-SA"/>
    </w:rPr>
  </w:style>
  <w:style w:type="paragraph" w:customStyle="1" w:styleId="21">
    <w:name w:val="Char"/>
    <w:basedOn w:val="1"/>
    <w:qFormat/>
    <w:uiPriority w:val="0"/>
    <w:pPr>
      <w:widowControl/>
      <w:spacing w:after="160" w:line="240" w:lineRule="exact"/>
      <w:jc w:val="left"/>
    </w:pPr>
    <w:rPr>
      <w:rFonts w:ascii="Verdana" w:hAnsi="Verdana"/>
      <w:kern w:val="0"/>
      <w:sz w:val="18"/>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 jwc</Company>
  <Pages>11</Pages>
  <Words>1727</Words>
  <Characters>9844</Characters>
  <Lines>82</Lines>
  <Paragraphs>23</Paragraphs>
  <TotalTime>112</TotalTime>
  <ScaleCrop>false</ScaleCrop>
  <LinksUpToDate>false</LinksUpToDate>
  <CharactersWithSpaces>11548</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2023-10-19T01:22:00Z</dcterms:created>
  <dc:creator>yanqun</dc:creator>
  <cp:lastModifiedBy>刘捷先</cp:lastModifiedBy>
  <cp:lastPrinted>2023-09-04T01:51:00Z</cp:lastPrinted>
  <dcterms:modified xsi:type="dcterms:W3CDTF">2024-01-15T01:34:18Z</dcterms:modified>
  <dc:title>《制度经济学》教学大纲（B）</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E2FAC5A8A42749178BDF0E8C833BF973_13</vt:lpwstr>
  </property>
</Properties>
</file>