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0" w:firstLineChars="0"/>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2</w:t>
      </w:r>
    </w:p>
    <w:p/>
    <w:p>
      <w:pPr>
        <w:pStyle w:val="3"/>
        <w:rPr>
          <w:lang w:bidi="ar"/>
        </w:rPr>
      </w:pPr>
    </w:p>
    <w:p>
      <w:pPr>
        <w:widowControl/>
        <w:jc w:val="center"/>
        <w:rPr>
          <w:rFonts w:ascii="黑体" w:hAnsi="宋体" w:eastAsia="黑体" w:cs="黑体"/>
          <w:color w:val="000000"/>
          <w:kern w:val="0"/>
          <w:sz w:val="52"/>
          <w:szCs w:val="52"/>
          <w:lang w:bidi="ar"/>
        </w:rPr>
      </w:pPr>
      <w:r>
        <w:rPr>
          <w:rFonts w:hint="eastAsia" w:ascii="黑体" w:hAnsi="宋体" w:eastAsia="黑体" w:cs="黑体"/>
          <w:color w:val="000000"/>
          <w:kern w:val="0"/>
          <w:sz w:val="52"/>
          <w:szCs w:val="52"/>
          <w:lang w:eastAsia="zh-CN" w:bidi="ar"/>
        </w:rPr>
        <w:t>铜陵</w:t>
      </w:r>
      <w:r>
        <w:rPr>
          <w:rFonts w:hint="eastAsia" w:ascii="黑体" w:hAnsi="宋体" w:eastAsia="黑体" w:cs="黑体"/>
          <w:color w:val="000000"/>
          <w:kern w:val="0"/>
          <w:sz w:val="52"/>
          <w:szCs w:val="52"/>
          <w:lang w:bidi="ar"/>
        </w:rPr>
        <w:t>学院真实项目案例库</w:t>
      </w:r>
    </w:p>
    <w:p>
      <w:pPr>
        <w:jc w:val="center"/>
        <w:rPr>
          <w:b/>
          <w:sz w:val="36"/>
        </w:rPr>
      </w:pPr>
    </w:p>
    <w:p>
      <w:pPr>
        <w:jc w:val="center"/>
        <w:rPr>
          <w:b/>
          <w:sz w:val="36"/>
        </w:rPr>
      </w:pPr>
    </w:p>
    <w:p>
      <w:pPr>
        <w:jc w:val="center"/>
        <w:rPr>
          <w:b/>
          <w:sz w:val="72"/>
        </w:rPr>
      </w:pPr>
      <w:r>
        <w:rPr>
          <w:rFonts w:hint="eastAsia"/>
          <w:b/>
          <w:sz w:val="72"/>
        </w:rPr>
        <w:t>申  报  书</w:t>
      </w:r>
    </w:p>
    <w:p/>
    <w:p/>
    <w:p/>
    <w:p>
      <w:pPr>
        <w:ind w:firstLine="1500" w:firstLineChars="500"/>
        <w:rPr>
          <w:rFonts w:hint="default"/>
          <w:sz w:val="30"/>
          <w:lang w:val="en-US"/>
        </w:rPr>
      </w:pPr>
      <w:r>
        <w:rPr>
          <w:rFonts w:hint="eastAsia"/>
          <w:sz w:val="30"/>
        </w:rPr>
        <w:t xml:space="preserve">课程名称： </w:t>
      </w:r>
      <w:r>
        <w:rPr>
          <w:sz w:val="30"/>
        </w:rPr>
        <w:t xml:space="preserve">    </w:t>
      </w:r>
      <w:r>
        <w:rPr>
          <w:rFonts w:hint="eastAsia"/>
          <w:sz w:val="30"/>
          <w:u w:val="single"/>
          <w:lang w:val="en-US" w:eastAsia="zh-CN"/>
        </w:rPr>
        <w:t xml:space="preserve">  资产评估实务与案例分析  </w:t>
      </w:r>
    </w:p>
    <w:p>
      <w:pPr>
        <w:ind w:firstLine="1500" w:firstLineChars="500"/>
        <w:rPr>
          <w:sz w:val="30"/>
        </w:rPr>
      </w:pPr>
    </w:p>
    <w:p>
      <w:pPr>
        <w:ind w:firstLine="1500" w:firstLineChars="500"/>
        <w:rPr>
          <w:sz w:val="30"/>
        </w:rPr>
      </w:pPr>
      <w:r>
        <w:rPr>
          <w:rFonts w:hint="eastAsia"/>
          <w:sz w:val="30"/>
        </w:rPr>
        <w:t>编写负责人姓名：</w:t>
      </w:r>
      <w:r>
        <w:rPr>
          <w:rFonts w:hint="eastAsia"/>
          <w:sz w:val="30"/>
          <w:u w:val="single"/>
          <w:lang w:val="en-US" w:eastAsia="zh-CN"/>
        </w:rPr>
        <w:t xml:space="preserve">        李振楠          </w:t>
      </w:r>
    </w:p>
    <w:p>
      <w:pPr>
        <w:ind w:firstLine="1500" w:firstLineChars="500"/>
        <w:rPr>
          <w:sz w:val="30"/>
        </w:rPr>
      </w:pPr>
    </w:p>
    <w:p>
      <w:pPr>
        <w:ind w:firstLine="1500" w:firstLineChars="500"/>
        <w:rPr>
          <w:rFonts w:hint="default"/>
          <w:sz w:val="30"/>
          <w:lang w:val="en-US"/>
        </w:rPr>
      </w:pPr>
      <w:r>
        <w:rPr>
          <w:rFonts w:hint="eastAsia"/>
          <w:sz w:val="30"/>
        </w:rPr>
        <w:t xml:space="preserve">联系电话：      </w:t>
      </w:r>
      <w:r>
        <w:rPr>
          <w:rFonts w:hint="eastAsia"/>
          <w:sz w:val="30"/>
          <w:u w:val="single"/>
          <w:lang w:val="en-US" w:eastAsia="zh-CN"/>
        </w:rPr>
        <w:t xml:space="preserve">     18179429056       </w:t>
      </w:r>
    </w:p>
    <w:p>
      <w:pPr>
        <w:ind w:firstLine="1500" w:firstLineChars="500"/>
        <w:rPr>
          <w:sz w:val="30"/>
        </w:rPr>
      </w:pPr>
    </w:p>
    <w:p>
      <w:pPr>
        <w:ind w:firstLine="1500" w:firstLineChars="500"/>
        <w:rPr>
          <w:rFonts w:hint="default"/>
          <w:sz w:val="30"/>
          <w:u w:val="single"/>
          <w:lang w:val="en-US"/>
        </w:rPr>
      </w:pPr>
      <w:r>
        <w:rPr>
          <w:rFonts w:hint="eastAsia"/>
          <w:sz w:val="30"/>
        </w:rPr>
        <w:t>院（部）名称：</w:t>
      </w:r>
      <w:r>
        <w:rPr>
          <w:rFonts w:hint="eastAsia"/>
          <w:sz w:val="30"/>
          <w:lang w:val="en-US" w:eastAsia="zh-CN"/>
        </w:rPr>
        <w:t xml:space="preserve">  </w:t>
      </w:r>
      <w:r>
        <w:rPr>
          <w:rFonts w:hint="eastAsia"/>
          <w:sz w:val="30"/>
          <w:u w:val="single"/>
          <w:lang w:val="en-US" w:eastAsia="zh-CN"/>
        </w:rPr>
        <w:t xml:space="preserve">       会计学院         </w:t>
      </w:r>
    </w:p>
    <w:p>
      <w:pPr>
        <w:ind w:firstLine="1500" w:firstLineChars="500"/>
        <w:rPr>
          <w:sz w:val="30"/>
          <w:u w:val="single"/>
        </w:rPr>
      </w:pPr>
    </w:p>
    <w:p>
      <w:pPr>
        <w:spacing w:line="276" w:lineRule="auto"/>
        <w:jc w:val="center"/>
        <w:rPr>
          <w:rFonts w:hint="eastAsia"/>
          <w:b/>
          <w:sz w:val="30"/>
        </w:rPr>
      </w:pPr>
    </w:p>
    <w:p>
      <w:pPr>
        <w:spacing w:line="276" w:lineRule="auto"/>
        <w:jc w:val="center"/>
        <w:rPr>
          <w:b/>
          <w:sz w:val="30"/>
        </w:rPr>
      </w:pPr>
      <w:r>
        <w:rPr>
          <w:rFonts w:hint="eastAsia"/>
          <w:b/>
          <w:sz w:val="30"/>
        </w:rPr>
        <w:t>二</w:t>
      </w:r>
      <w:r>
        <w:rPr>
          <w:rFonts w:hint="eastAsia" w:ascii="宋体" w:hAnsi="宋体"/>
          <w:b/>
          <w:sz w:val="30"/>
        </w:rPr>
        <w:t>〇二</w:t>
      </w:r>
      <w:r>
        <w:rPr>
          <w:rFonts w:hint="eastAsia" w:ascii="宋体" w:hAnsi="宋体"/>
          <w:b/>
          <w:sz w:val="30"/>
          <w:lang w:eastAsia="zh-CN"/>
        </w:rPr>
        <w:t>四</w:t>
      </w:r>
      <w:r>
        <w:rPr>
          <w:rFonts w:hint="eastAsia"/>
          <w:b/>
          <w:sz w:val="30"/>
        </w:rPr>
        <w:t>年</w:t>
      </w:r>
      <w:r>
        <w:rPr>
          <w:rFonts w:hint="eastAsia"/>
          <w:b/>
          <w:sz w:val="30"/>
          <w:lang w:eastAsia="zh-CN"/>
        </w:rPr>
        <w:t>一</w:t>
      </w:r>
      <w:r>
        <w:rPr>
          <w:rFonts w:hint="eastAsia"/>
          <w:b/>
          <w:sz w:val="30"/>
        </w:rPr>
        <w:t>月</w:t>
      </w:r>
    </w:p>
    <w:p>
      <w:pPr>
        <w:pStyle w:val="3"/>
        <w:sectPr>
          <w:pgSz w:w="11906" w:h="16838"/>
          <w:pgMar w:top="1440" w:right="1800" w:bottom="1440" w:left="1800" w:header="851" w:footer="992" w:gutter="0"/>
          <w:cols w:space="425" w:num="1"/>
          <w:docGrid w:type="lines" w:linePitch="312" w:charSpace="0"/>
        </w:sectPr>
      </w:pPr>
    </w:p>
    <w:p>
      <w:pPr>
        <w:widowControl/>
        <w:jc w:val="center"/>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eastAsia="zh-CN" w:bidi="ar"/>
        </w:rPr>
        <w:t>《</w:t>
      </w:r>
      <w:r>
        <w:rPr>
          <w:rFonts w:hint="eastAsia" w:ascii="黑体" w:hAnsi="黑体" w:eastAsia="黑体" w:cs="黑体"/>
          <w:b/>
          <w:bCs/>
          <w:color w:val="000000"/>
          <w:kern w:val="0"/>
          <w:sz w:val="32"/>
          <w:szCs w:val="32"/>
          <w:lang w:bidi="ar"/>
        </w:rPr>
        <w:t>资产评估实务与案例分析</w:t>
      </w:r>
      <w:r>
        <w:rPr>
          <w:rFonts w:hint="eastAsia" w:ascii="黑体" w:hAnsi="黑体" w:eastAsia="黑体" w:cs="黑体"/>
          <w:b/>
          <w:bCs/>
          <w:color w:val="000000"/>
          <w:kern w:val="0"/>
          <w:sz w:val="32"/>
          <w:szCs w:val="32"/>
          <w:lang w:eastAsia="zh-CN" w:bidi="ar"/>
        </w:rPr>
        <w:t>》</w:t>
      </w:r>
      <w:r>
        <w:rPr>
          <w:rFonts w:hint="eastAsia" w:ascii="黑体" w:hAnsi="黑体" w:eastAsia="黑体" w:cs="黑体"/>
          <w:b/>
          <w:bCs/>
          <w:color w:val="000000"/>
          <w:kern w:val="0"/>
          <w:sz w:val="32"/>
          <w:szCs w:val="32"/>
          <w:lang w:bidi="ar"/>
        </w:rPr>
        <w:t>课程真实项目案例库</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tcPr>
          <w:p>
            <w:pPr>
              <w:keepNext w:val="0"/>
              <w:keepLines w:val="0"/>
              <w:pageBreakBefore w:val="0"/>
              <w:widowControl/>
              <w:kinsoku/>
              <w:wordWrap/>
              <w:overflowPunct/>
              <w:topLinePunct w:val="0"/>
              <w:autoSpaceDE/>
              <w:autoSpaceDN/>
              <w:bidi w:val="0"/>
              <w:adjustRightInd/>
              <w:snapToGrid/>
              <w:spacing w:line="56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课程名称</w:t>
            </w:r>
          </w:p>
        </w:tc>
        <w:tc>
          <w:tcPr>
            <w:tcW w:w="2130" w:type="dxa"/>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资产评估实务与案例分析</w:t>
            </w:r>
          </w:p>
        </w:tc>
        <w:tc>
          <w:tcPr>
            <w:tcW w:w="2131" w:type="dxa"/>
          </w:tcPr>
          <w:p>
            <w:pPr>
              <w:keepNext w:val="0"/>
              <w:keepLines w:val="0"/>
              <w:pageBreakBefore w:val="0"/>
              <w:widowControl/>
              <w:kinsoku/>
              <w:wordWrap/>
              <w:overflowPunct/>
              <w:topLinePunct w:val="0"/>
              <w:autoSpaceDE/>
              <w:autoSpaceDN/>
              <w:bidi w:val="0"/>
              <w:adjustRightInd/>
              <w:snapToGrid/>
              <w:spacing w:line="56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学时</w:t>
            </w:r>
          </w:p>
        </w:tc>
        <w:tc>
          <w:tcPr>
            <w:tcW w:w="2131" w:type="dxa"/>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color w:val="000000"/>
                <w:kern w:val="0"/>
                <w:sz w:val="36"/>
                <w:szCs w:val="36"/>
                <w:lang w:val="en-US" w:eastAsia="zh-CN" w:bidi="ar"/>
              </w:rPr>
            </w:pPr>
            <w:bookmarkStart w:id="15" w:name="_GoBack"/>
            <w:bookmarkEnd w:id="15"/>
            <w:r>
              <w:rPr>
                <w:rFonts w:hint="eastAsia" w:ascii="仿宋_GB2312" w:hAnsi="仿宋_GB2312" w:eastAsia="仿宋_GB2312" w:cs="仿宋_GB2312"/>
                <w:color w:val="000000"/>
                <w:kern w:val="0"/>
                <w:sz w:val="28"/>
                <w:szCs w:val="28"/>
                <w:lang w:val="en-US" w:eastAsia="zh-CN" w:bidi="a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snapToGrid/>
              <w:spacing w:line="56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适用专业</w:t>
            </w:r>
          </w:p>
        </w:tc>
        <w:tc>
          <w:tcPr>
            <w:tcW w:w="2130" w:type="dxa"/>
            <w:vAlign w:val="top"/>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资产评估</w:t>
            </w:r>
          </w:p>
        </w:tc>
        <w:tc>
          <w:tcPr>
            <w:tcW w:w="2131" w:type="dxa"/>
          </w:tcPr>
          <w:p>
            <w:pPr>
              <w:keepNext w:val="0"/>
              <w:keepLines w:val="0"/>
              <w:pageBreakBefore w:val="0"/>
              <w:widowControl/>
              <w:kinsoku/>
              <w:wordWrap/>
              <w:overflowPunct/>
              <w:topLinePunct w:val="0"/>
              <w:autoSpaceDE/>
              <w:autoSpaceDN/>
              <w:bidi w:val="0"/>
              <w:adjustRightInd/>
              <w:snapToGrid/>
              <w:spacing w:line="56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适用年级</w:t>
            </w:r>
          </w:p>
        </w:tc>
        <w:tc>
          <w:tcPr>
            <w:tcW w:w="2131" w:type="dxa"/>
            <w:vAlign w:val="top"/>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color w:val="000000"/>
                <w:kern w:val="0"/>
                <w:sz w:val="36"/>
                <w:szCs w:val="36"/>
                <w:lang w:bidi="ar"/>
              </w:rPr>
            </w:pPr>
            <w:r>
              <w:rPr>
                <w:rFonts w:hint="eastAsia" w:ascii="仿宋_GB2312" w:hAnsi="仿宋_GB2312" w:eastAsia="仿宋_GB2312" w:cs="仿宋_GB2312"/>
                <w:color w:val="000000"/>
                <w:kern w:val="0"/>
                <w:sz w:val="28"/>
                <w:szCs w:val="28"/>
                <w:lang w:val="en-US" w:eastAsia="zh-CN" w:bidi="ar"/>
              </w:rPr>
              <w:t>本科三、四年级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snapToGrid/>
              <w:spacing w:line="56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制订人</w:t>
            </w:r>
          </w:p>
        </w:tc>
        <w:tc>
          <w:tcPr>
            <w:tcW w:w="2130" w:type="dxa"/>
            <w:vAlign w:val="top"/>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李振楠</w:t>
            </w:r>
          </w:p>
        </w:tc>
        <w:tc>
          <w:tcPr>
            <w:tcW w:w="2131" w:type="dxa"/>
          </w:tcPr>
          <w:p>
            <w:pPr>
              <w:keepNext w:val="0"/>
              <w:keepLines w:val="0"/>
              <w:pageBreakBefore w:val="0"/>
              <w:widowControl/>
              <w:kinsoku/>
              <w:wordWrap/>
              <w:overflowPunct/>
              <w:topLinePunct w:val="0"/>
              <w:autoSpaceDE/>
              <w:autoSpaceDN/>
              <w:bidi w:val="0"/>
              <w:adjustRightInd/>
              <w:snapToGrid/>
              <w:spacing w:line="56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时间</w:t>
            </w:r>
          </w:p>
        </w:tc>
        <w:tc>
          <w:tcPr>
            <w:tcW w:w="2131" w:type="dxa"/>
            <w:vAlign w:val="top"/>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color w:val="000000"/>
                <w:kern w:val="0"/>
                <w:sz w:val="36"/>
                <w:szCs w:val="36"/>
                <w:lang w:bidi="ar"/>
              </w:rPr>
            </w:pPr>
            <w:r>
              <w:rPr>
                <w:rFonts w:hint="eastAsia" w:ascii="仿宋_GB2312" w:hAnsi="仿宋_GB2312" w:eastAsia="仿宋_GB2312" w:cs="仿宋_GB2312"/>
                <w:color w:val="000000"/>
                <w:kern w:val="0"/>
                <w:sz w:val="28"/>
                <w:szCs w:val="28"/>
                <w:lang w:val="en-US" w:eastAsia="zh-CN" w:bidi="ar"/>
              </w:rPr>
              <w:t>2024.02.25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课程目标</w:t>
            </w:r>
          </w:p>
        </w:tc>
        <w:tc>
          <w:tcPr>
            <w:tcW w:w="6392" w:type="dxa"/>
            <w:gridSpan w:val="3"/>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熟练掌握专利权评估价值类型、评估假设、评估目的等基本事项。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keepNext w:val="0"/>
              <w:keepLines w:val="0"/>
              <w:pageBreakBefore w:val="0"/>
              <w:widowControl/>
              <w:kinsoku/>
              <w:wordWrap/>
              <w:overflowPunct/>
              <w:topLinePunct w:val="0"/>
              <w:autoSpaceDE/>
              <w:autoSpaceDN/>
              <w:bidi w:val="0"/>
              <w:adjustRightInd/>
              <w:snapToGrid/>
              <w:spacing w:line="560" w:lineRule="exact"/>
              <w:jc w:val="distribute"/>
              <w:textAlignment w:val="auto"/>
              <w:rPr>
                <w:rFonts w:ascii="仿宋_GB2312" w:hAnsi="仿宋_GB2312" w:eastAsia="仿宋_GB2312" w:cs="仿宋_GB2312"/>
                <w:color w:val="000000"/>
                <w:kern w:val="0"/>
                <w:sz w:val="28"/>
                <w:szCs w:val="28"/>
                <w:lang w:bidi="ar"/>
              </w:rPr>
            </w:pPr>
          </w:p>
        </w:tc>
        <w:tc>
          <w:tcPr>
            <w:tcW w:w="6392" w:type="dxa"/>
            <w:gridSpan w:val="3"/>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熟练掌握专利权评估收益法，了解销售收入分成率法和无形资产折现率测算方法的具体应用。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keepNext w:val="0"/>
              <w:keepLines w:val="0"/>
              <w:pageBreakBefore w:val="0"/>
              <w:widowControl/>
              <w:kinsoku/>
              <w:wordWrap/>
              <w:overflowPunct/>
              <w:topLinePunct w:val="0"/>
              <w:autoSpaceDE/>
              <w:autoSpaceDN/>
              <w:bidi w:val="0"/>
              <w:adjustRightInd/>
              <w:snapToGrid/>
              <w:spacing w:line="560" w:lineRule="exact"/>
              <w:jc w:val="distribute"/>
              <w:textAlignment w:val="auto"/>
              <w:rPr>
                <w:rFonts w:ascii="仿宋_GB2312" w:hAnsi="仿宋_GB2312" w:eastAsia="仿宋_GB2312" w:cs="仿宋_GB2312"/>
                <w:color w:val="000000"/>
                <w:kern w:val="0"/>
                <w:sz w:val="28"/>
                <w:szCs w:val="28"/>
                <w:lang w:bidi="ar"/>
              </w:rPr>
            </w:pPr>
          </w:p>
        </w:tc>
        <w:tc>
          <w:tcPr>
            <w:tcW w:w="6392" w:type="dxa"/>
            <w:gridSpan w:val="3"/>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对专利权评估报告和评估说明有整体认识，把握基本评估逻辑，明晰重点内容书写。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snapToGrid/>
              <w:spacing w:line="56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t>申报类型</w:t>
            </w:r>
          </w:p>
        </w:tc>
        <w:tc>
          <w:tcPr>
            <w:tcW w:w="6392" w:type="dxa"/>
            <w:gridSpan w:val="3"/>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sym w:font="Wingdings 2" w:char="0052"/>
            </w:r>
            <w:r>
              <w:rPr>
                <w:rFonts w:hint="eastAsia" w:ascii="仿宋_GB2312" w:hAnsi="仿宋_GB2312" w:eastAsia="仿宋_GB2312" w:cs="仿宋_GB2312"/>
                <w:color w:val="000000"/>
                <w:kern w:val="0"/>
                <w:sz w:val="28"/>
                <w:szCs w:val="28"/>
                <w:lang w:eastAsia="zh-CN" w:bidi="ar"/>
              </w:rPr>
              <w:t>申报认定</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sym w:font="Wingdings 2" w:char="00A3"/>
            </w:r>
            <w:r>
              <w:rPr>
                <w:rFonts w:hint="eastAsia" w:ascii="仿宋_GB2312" w:hAnsi="仿宋_GB2312" w:eastAsia="仿宋_GB2312" w:cs="仿宋_GB2312"/>
                <w:color w:val="000000"/>
                <w:kern w:val="0"/>
                <w:sz w:val="28"/>
                <w:szCs w:val="28"/>
                <w:lang w:val="en-US" w:eastAsia="zh-CN" w:bidi="ar"/>
              </w:rPr>
              <w:t>申报立项</w:t>
            </w:r>
          </w:p>
        </w:tc>
      </w:tr>
    </w:tbl>
    <w:p>
      <w:pPr>
        <w:widowControl/>
        <w:spacing w:before="156" w:beforeLines="50" w:after="156" w:afterLines="50" w:line="360" w:lineRule="auto"/>
        <w:jc w:val="both"/>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项目（案例）</w:t>
      </w:r>
      <w:r>
        <w:rPr>
          <w:rFonts w:hint="eastAsia" w:ascii="黑体" w:hAnsi="黑体" w:eastAsia="黑体" w:cs="黑体"/>
          <w:color w:val="000000"/>
          <w:kern w:val="0"/>
          <w:sz w:val="28"/>
          <w:szCs w:val="28"/>
          <w:lang w:eastAsia="zh-CN" w:bidi="ar"/>
        </w:rPr>
        <w:t>名称</w:t>
      </w:r>
      <w:r>
        <w:rPr>
          <w:rFonts w:hint="eastAsia" w:ascii="黑体" w:hAnsi="黑体" w:eastAsia="黑体" w:cs="黑体"/>
          <w:color w:val="000000"/>
          <w:kern w:val="0"/>
          <w:sz w:val="28"/>
          <w:szCs w:val="28"/>
          <w:lang w:bidi="ar"/>
        </w:rPr>
        <w:t>：</w:t>
      </w:r>
    </w:p>
    <w:p>
      <w:pPr>
        <w:pStyle w:val="3"/>
        <w:ind w:left="0" w:leftChars="0" w:firstLine="0" w:firstLineChars="0"/>
        <w:jc w:val="center"/>
      </w:pPr>
      <w:r>
        <w:rPr>
          <w:rFonts w:hint="eastAsia" w:ascii="黑体" w:hAnsi="黑体" w:eastAsia="黑体" w:cs="黑体"/>
          <w:sz w:val="28"/>
          <w:szCs w:val="28"/>
        </w:rPr>
        <w:t>一种利用铵离子提高林可霉素产量的专利权抵押价值评估案例</w:t>
      </w:r>
    </w:p>
    <w:p>
      <w:pPr>
        <w:widowControl/>
        <w:numPr>
          <w:ilvl w:val="0"/>
          <w:numId w:val="1"/>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宋体"/>
          <w:bCs/>
          <w:color w:val="000000"/>
          <w:kern w:val="0"/>
          <w:sz w:val="28"/>
          <w:szCs w:val="28"/>
          <w:lang w:bidi="ar"/>
        </w:rPr>
        <w:t>教学目标</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3"/>
              <w:keepNext w:val="0"/>
              <w:keepLines w:val="0"/>
              <w:pageBreakBefore w:val="0"/>
              <w:widowControl w:val="0"/>
              <w:kinsoku/>
              <w:wordWrap/>
              <w:overflowPunct/>
              <w:topLinePunct w:val="0"/>
              <w:autoSpaceDE/>
              <w:autoSpaceDN/>
              <w:bidi w:val="0"/>
              <w:adjustRightInd/>
              <w:snapToGrid/>
              <w:spacing w:before="400" w:after="400" w:line="300" w:lineRule="auto"/>
              <w:ind w:firstLine="480" w:firstLineChars="200"/>
              <w:textAlignment w:val="auto"/>
              <w:rPr>
                <w:sz w:val="20"/>
                <w:lang w:bidi="ar"/>
              </w:rPr>
            </w:pPr>
            <w:r>
              <w:rPr>
                <w:rFonts w:hint="eastAsia" w:ascii="宋体" w:hAnsi="宋体" w:eastAsia="宋体" w:cs="宋体"/>
                <w:b w:val="0"/>
                <w:color w:val="auto"/>
                <w:kern w:val="40"/>
                <w:sz w:val="24"/>
                <w:szCs w:val="24"/>
                <w:lang w:val="en-US" w:eastAsia="zh-CN" w:bidi="ar-SA"/>
              </w:rPr>
              <w:t>通过此案例的教学，使学生对无形资产评估特别是专利权的评估有一个全面的认识，对专利权的评估目的、价值类型、评估对象和范围、评估基准日、评估方法、评估假设等评估基本事项的确定有一个比较全面的了解，掌握专利权评估中的销售收入分成率法和无形资产折现率测算方法的具体应用，理解如何运用收益法直接测算组合无形资产的价值和各类参数的选取和确定，培养专利权价值评估中应具备的基本分析问题和解决问题能力。能够对专利权评估报告及评估说明的书写形成基本框架，掌握基本逻辑，拥有提供基础专利权评估报告及评估说明的能力。</w:t>
            </w:r>
          </w:p>
        </w:tc>
      </w:tr>
    </w:tbl>
    <w:p>
      <w:pPr>
        <w:pStyle w:val="3"/>
        <w:rPr>
          <w:lang w:bidi="ar"/>
        </w:rPr>
      </w:pPr>
    </w:p>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项目/案例内容</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firstLine="0" w:firstLineChars="0"/>
              <w:jc w:val="center"/>
              <w:textAlignment w:val="auto"/>
              <w:rPr>
                <w:sz w:val="20"/>
                <w:lang w:bidi="ar"/>
              </w:rPr>
            </w:pPr>
            <w:r>
              <w:rPr>
                <w:rFonts w:hint="eastAsia" w:ascii="黑体" w:hAnsi="黑体" w:eastAsia="黑体" w:cs="黑体"/>
                <w:sz w:val="28"/>
                <w:szCs w:val="28"/>
              </w:rPr>
              <w:t>一种利用铵离子提高林可霉素产量的专利权抵押价值评估案例</w:t>
            </w:r>
          </w:p>
          <w:p>
            <w:pPr>
              <w:pStyle w:val="2"/>
              <w:keepNext/>
              <w:keepLines/>
              <w:pageBreakBefore w:val="0"/>
              <w:widowControl w:val="0"/>
              <w:kinsoku/>
              <w:wordWrap/>
              <w:overflowPunct/>
              <w:topLinePunct w:val="0"/>
              <w:autoSpaceDE/>
              <w:autoSpaceDN/>
              <w:bidi w:val="0"/>
              <w:adjustRightInd/>
              <w:snapToGrid/>
              <w:spacing w:before="400" w:line="300" w:lineRule="auto"/>
              <w:ind w:left="0" w:leftChars="0" w:firstLine="482" w:firstLineChars="20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一、评估的基本事项</w:t>
            </w:r>
          </w:p>
          <w:p>
            <w:pPr>
              <w:pageBreakBefore w:val="0"/>
              <w:widowControl w:val="0"/>
              <w:kinsoku/>
              <w:wordWrap/>
              <w:overflowPunct/>
              <w:topLinePunct w:val="0"/>
              <w:bidi w:val="0"/>
              <w:snapToGrid/>
              <w:spacing w:beforeLines="25"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1.委托方简要介绍</w:t>
            </w:r>
          </w:p>
          <w:p>
            <w:pPr>
              <w:pageBreakBefore w:val="0"/>
              <w:widowControl w:val="0"/>
              <w:kinsoku/>
              <w:wordWrap/>
              <w:overflowPunct/>
              <w:topLinePunct w:val="0"/>
              <w:bidi w:val="0"/>
              <w:snapToGrid/>
              <w:spacing w:beforeLines="25" w:afterLines="25" w:line="300" w:lineRule="auto"/>
              <w:ind w:firstLine="600" w:firstLineChars="250"/>
              <w:textAlignment w:val="auto"/>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江西国药有限责任公司创建于一九八五年，现为国家二级企业，系中国医药工业百强企业和全国中成药工业五十强企业之一，拥有外贸进出口自主权。江西国药有限责任公司具有雄厚的医药产销实力，现有各类专业技术人员600余人，其中高级技术人员150人，专职技术人员占职工总数的50%；固定资产115437万元；占地面积35万平方米，建筑面积18.2万平方米；固定资产设备3300余台，其中发酵设备总容积5100立方米；公司水、电、汽、冷冻等制药供给公用系统配套完善，规模在中国中部地区医药行业中雄居首位。</w:t>
            </w:r>
          </w:p>
          <w:p>
            <w:pPr>
              <w:pageBreakBefore w:val="0"/>
              <w:widowControl w:val="0"/>
              <w:kinsoku/>
              <w:wordWrap/>
              <w:overflowPunct/>
              <w:topLinePunct w:val="0"/>
              <w:bidi w:val="0"/>
              <w:snapToGrid/>
              <w:spacing w:beforeLines="25" w:afterLines="25" w:line="300" w:lineRule="auto"/>
              <w:ind w:firstLine="480" w:firstLineChars="200"/>
              <w:jc w:val="left"/>
              <w:textAlignment w:val="auto"/>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公司下设三个全资子公司、六个生产车间、二个辅助车间，设有药物研究所、质监、技术、生产、设备、技改等处室，公司现有医药品种140余个，主要产品有发酵虫草菌粉(CS-4)、盐酸林可霉素、盐酸土霉素、十三碳二元酸等原料药以及中成药(片剂、胶囊剂、针剂、丸剂、糖浆剂、颗粒剂等)、西药制剂等。江西国药有限责任公司注重技术进步，优化了产品结构，完善了生产新工艺，采用具有国际现代水平的检测仪器，运用微机技术辅助生产控制和行政管理。江西国药有限责任公司坚持质量第一的宗旨，产品严格按“GMP”要求组织生产，产品质量好、信誉高，在国内外市场具有很强的竞争力。公司现有两个国家银质产品，三个部优产品，八个省优产品。特别是盐酸林可霉素、盐酸土霉素通过美国FDA认证，公司生产的产品，行销海内外，其中出口产品的销售收入占总销售收入的50%以上。</w:t>
            </w:r>
          </w:p>
          <w:p>
            <w:pPr>
              <w:pageBreakBefore w:val="0"/>
              <w:widowControl w:val="0"/>
              <w:kinsoku/>
              <w:wordWrap/>
              <w:overflowPunct/>
              <w:topLinePunct w:val="0"/>
              <w:bidi w:val="0"/>
              <w:snapToGrid/>
              <w:spacing w:beforeLines="25"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2.评估目的</w:t>
            </w:r>
          </w:p>
          <w:p>
            <w:pPr>
              <w:pageBreakBefore w:val="0"/>
              <w:widowControl w:val="0"/>
              <w:kinsoku/>
              <w:wordWrap/>
              <w:overflowPunct/>
              <w:topLinePunct w:val="0"/>
              <w:autoSpaceDE w:val="0"/>
              <w:autoSpaceDN w:val="0"/>
              <w:bidi w:val="0"/>
              <w:adjustRightInd w:val="0"/>
              <w:snapToGrid/>
              <w:spacing w:beforeLines="25" w:afterLines="25" w:line="300" w:lineRule="auto"/>
              <w:ind w:firstLine="480" w:firstLineChars="200"/>
              <w:textAlignment w:val="auto"/>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本次评估的目的是江西国药有限责任公司以其拥有的利用铵离子提高林可霉素产量专利权为质押物向银行申请贷款，为合理确定利用铵离子提高林可霉素产量专利权的市场价值提供参考意见。</w:t>
            </w:r>
          </w:p>
          <w:p>
            <w:pPr>
              <w:pageBreakBefore w:val="0"/>
              <w:widowControl w:val="0"/>
              <w:kinsoku/>
              <w:wordWrap/>
              <w:overflowPunct/>
              <w:topLinePunct w:val="0"/>
              <w:bidi w:val="0"/>
              <w:snapToGrid/>
              <w:spacing w:beforeLines="25"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3.价值类型</w:t>
            </w:r>
          </w:p>
          <w:p>
            <w:pPr>
              <w:pageBreakBefore w:val="0"/>
              <w:widowControl w:val="0"/>
              <w:kinsoku/>
              <w:wordWrap/>
              <w:overflowPunct/>
              <w:topLinePunct w:val="0"/>
              <w:autoSpaceDE w:val="0"/>
              <w:autoSpaceDN w:val="0"/>
              <w:bidi w:val="0"/>
              <w:adjustRightInd w:val="0"/>
              <w:snapToGrid/>
              <w:spacing w:beforeLines="25" w:afterLines="25" w:line="300" w:lineRule="auto"/>
              <w:ind w:firstLine="480" w:firstLineChars="200"/>
              <w:textAlignment w:val="auto"/>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根据评估目的和评估对象的特点，考虑到市场条件及评估对象的使用等并无特别限制和要求，因此确定本次评估结论的价值类型为市场价值。市场价值是指自愿买方和自愿卖方在各自理性行事且未受任何强迫压制的情况下，资产在基准日进行正常公平交易的价值估计数额。</w:t>
            </w:r>
          </w:p>
          <w:p>
            <w:pPr>
              <w:pageBreakBefore w:val="0"/>
              <w:widowControl w:val="0"/>
              <w:kinsoku/>
              <w:wordWrap/>
              <w:overflowPunct/>
              <w:topLinePunct w:val="0"/>
              <w:bidi w:val="0"/>
              <w:snapToGrid/>
              <w:spacing w:beforeLines="25"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4.评估对象和范围</w:t>
            </w:r>
          </w:p>
          <w:p>
            <w:pPr>
              <w:pageBreakBefore w:val="0"/>
              <w:widowControl w:val="0"/>
              <w:kinsoku/>
              <w:wordWrap/>
              <w:overflowPunct/>
              <w:topLinePunct w:val="0"/>
              <w:autoSpaceDE w:val="0"/>
              <w:autoSpaceDN w:val="0"/>
              <w:bidi w:val="0"/>
              <w:adjustRightInd w:val="0"/>
              <w:snapToGrid/>
              <w:spacing w:beforeLines="25" w:afterLines="25" w:line="300" w:lineRule="auto"/>
              <w:ind w:firstLine="480" w:firstLineChars="200"/>
              <w:textAlignment w:val="auto"/>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本次评估对象为一种利用铵离子提高林可霉素产量的专利权,该专利是在中国申请的发明专利，专利号为Z12000000032000，为江西国药有限责任公司所独立拥有，申请日期为2008年1月，授权日期为2013年12月，评估范围为江西国药有限责任公司于评估基准日涉及的全部资产及负债。</w:t>
            </w:r>
          </w:p>
          <w:p>
            <w:pPr>
              <w:pageBreakBefore w:val="0"/>
              <w:widowControl w:val="0"/>
              <w:kinsoku/>
              <w:wordWrap/>
              <w:overflowPunct/>
              <w:topLinePunct w:val="0"/>
              <w:bidi w:val="0"/>
              <w:snapToGrid/>
              <w:spacing w:beforeLines="25" w:afterLines="25" w:line="300" w:lineRule="auto"/>
              <w:ind w:firstLine="480" w:firstLineChars="200"/>
              <w:textAlignment w:val="auto"/>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评估对象应用于微生物发酵领域，是一种优化林可霉素发酵生产的方法，该发明人首次在较大规模水平上研究了林可链霉菌发酵生产林可链霉素的影响因素，总结了优化的林可链霉素发酵生产方法，利用该方法可使得林可霉素的产量获得较大提高，该专利属于发明专利。</w:t>
            </w:r>
          </w:p>
          <w:p>
            <w:pPr>
              <w:pageBreakBefore w:val="0"/>
              <w:widowControl w:val="0"/>
              <w:kinsoku/>
              <w:wordWrap/>
              <w:overflowPunct/>
              <w:topLinePunct w:val="0"/>
              <w:bidi w:val="0"/>
              <w:snapToGrid/>
              <w:spacing w:beforeLines="25"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5.评估基准日</w:t>
            </w:r>
          </w:p>
          <w:p>
            <w:pPr>
              <w:pageBreakBefore w:val="0"/>
              <w:widowControl w:val="0"/>
              <w:kinsoku/>
              <w:wordWrap/>
              <w:overflowPunct/>
              <w:topLinePunct w:val="0"/>
              <w:autoSpaceDE w:val="0"/>
              <w:autoSpaceDN w:val="0"/>
              <w:bidi w:val="0"/>
              <w:adjustRightInd w:val="0"/>
              <w:snapToGrid/>
              <w:spacing w:beforeLines="25" w:afterLines="25" w:line="300" w:lineRule="auto"/>
              <w:ind w:firstLine="480" w:firstLineChars="200"/>
              <w:textAlignment w:val="auto"/>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项目资产评估基准日为2018年3月31日。评估基准日系由委托方确定，确定的理由是评估基准日有利于评估目的实现。本次评估以评估基准日的价格为取价标准。</w:t>
            </w:r>
          </w:p>
          <w:p>
            <w:pPr>
              <w:pStyle w:val="2"/>
              <w:ind w:left="0" w:leftChars="0" w:firstLine="482" w:firstLineChars="200"/>
              <w:jc w:val="both"/>
              <w:rPr>
                <w:rFonts w:hint="eastAsia" w:ascii="宋体" w:hAnsi="宋体" w:eastAsia="宋体" w:cs="宋体"/>
                <w:b/>
                <w:bCs/>
                <w:color w:val="auto"/>
                <w:kern w:val="40"/>
                <w:sz w:val="24"/>
                <w:szCs w:val="24"/>
                <w:lang w:val="en-US" w:eastAsia="zh-CN" w:bidi="ar-SA"/>
              </w:rPr>
            </w:pPr>
            <w:bookmarkStart w:id="0" w:name="_Toc451875486"/>
            <w:r>
              <w:rPr>
                <w:rFonts w:hint="eastAsia" w:ascii="宋体" w:hAnsi="宋体" w:eastAsia="宋体" w:cs="宋体"/>
                <w:b/>
                <w:bCs/>
                <w:color w:val="auto"/>
                <w:kern w:val="40"/>
                <w:sz w:val="24"/>
                <w:szCs w:val="24"/>
                <w:lang w:val="en-US" w:eastAsia="zh-CN" w:bidi="ar-SA"/>
              </w:rPr>
              <w:t>二、资产清查简要说明</w:t>
            </w:r>
            <w:bookmarkEnd w:id="0"/>
          </w:p>
          <w:p>
            <w:pPr>
              <w:autoSpaceDE w:val="0"/>
              <w:autoSpaceDN w:val="0"/>
              <w:adjustRightInd w:val="0"/>
              <w:snapToGrid w:val="0"/>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1.资产清查的组织及方案</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接受评估委托后，评估人员指导企业财务和资产管理人员填写资产评估申报明细表及准备资产评估的相关资料；然后由企业财务部门对评估范围的资产和负债按资产评估申报明细表的内容进行全面清查核实，并填写资产评估申报明细表，同时按评估资料清单要求准备相关的产权证明、历史成本支出明细、资产质量状况、其他财务和经济技术指标等相关评估资料，并听取企业相关人员介绍待评估资产的历史和现状；对企业提供的资产评估申报明细表进行核对，对申报评估明细表中资产构成不明确的内容进行确定，以实际清查结果调整评估申报明细表；按评估申报明细表对各项资产进行现场清查核实，并验证相关评估资料。</w:t>
            </w:r>
          </w:p>
          <w:p>
            <w:pPr>
              <w:autoSpaceDE w:val="0"/>
              <w:autoSpaceDN w:val="0"/>
              <w:adjustRightInd w:val="0"/>
              <w:snapToGrid w:val="0"/>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 xml:space="preserve">2.清查核实的方法 </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针对各类资产具体情况分别选择全面清查法、分类清查法、账目核对法和函证询问法。对房屋建筑物、机器设备、在建工程、土地使用权逐项核实；对原材料，根据企业核算的实际情况，按不同种类分别进行抽查盘点；对银行存款、应收票据、长期待摊费用、应付利息、应付职工薪酬、应交税费等项目进行总账、明细账与原始凭证的核对；对应收账款、预付账款、其它应收款、借款、应付账款、其他应付款等采用发询证函并结合抽查会计凭证的方式进行核实。</w:t>
            </w:r>
          </w:p>
          <w:p>
            <w:pPr>
              <w:autoSpaceDE w:val="0"/>
              <w:autoSpaceDN w:val="0"/>
              <w:adjustRightInd w:val="0"/>
              <w:snapToGrid w:val="0"/>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3.资产清查结论</w:t>
            </w:r>
          </w:p>
          <w:p>
            <w:pPr>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通过以上资产清查核实程序，评定委估的各项资产、负债、数量、资产及负债产权清晰、数量正确，各项资产使用和运行正常，满足了“账表相符、账实相符”的评估要求。委估专利已获得国家知识产权局授权的发明专利证书，年费已按时缴纳。</w:t>
            </w:r>
          </w:p>
          <w:p>
            <w:pPr>
              <w:pStyle w:val="2"/>
              <w:ind w:firstLine="643"/>
              <w:jc w:val="both"/>
              <w:rPr>
                <w:rFonts w:hint="eastAsia" w:ascii="宋体" w:hAnsi="宋体" w:eastAsia="宋体" w:cs="宋体"/>
                <w:b/>
                <w:bCs/>
                <w:color w:val="auto"/>
                <w:kern w:val="40"/>
                <w:sz w:val="24"/>
                <w:szCs w:val="24"/>
                <w:lang w:val="en-US" w:eastAsia="zh-CN" w:bidi="ar-SA"/>
              </w:rPr>
            </w:pPr>
            <w:bookmarkStart w:id="1" w:name="_Toc451875487"/>
            <w:r>
              <w:rPr>
                <w:rFonts w:hint="eastAsia" w:ascii="宋体" w:hAnsi="宋体" w:eastAsia="宋体" w:cs="宋体"/>
                <w:b/>
                <w:bCs/>
                <w:color w:val="auto"/>
                <w:kern w:val="40"/>
                <w:sz w:val="24"/>
                <w:szCs w:val="24"/>
                <w:lang w:val="en-US" w:eastAsia="zh-CN" w:bidi="ar-SA"/>
              </w:rPr>
              <w:t>三、评估思路</w:t>
            </w:r>
            <w:bookmarkEnd w:id="1"/>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本次评估采用的是收益法，具体方法是首先评估出拥有专利权企业的产品销售收入，再通过评估该专利在产品销售中的贡献程度，测算出专利权的收入分成率，进而求出专利权所带来的净现金流。专利权的折现率测算比较困难，这里采用不同资产所要求回报率的方法进行测算，将企业整体资产分为营运资产、有形非流动资产和无形资产三种，分别测算出不同资产的市场价值和全部资产、营运资产、有形非流动资产所要求的回报率，进而测算出无形资产的投资回报率，并在确定收益年限的基础上测算出无形资产专利权的价值。资产的关系和含义可以用下列具体公式表示：</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无形资产=全部资产-营运资金-有形非流动资产</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全部资产=股权价值+付息债权价值</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营运资金=流动资产-非付息负债</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有形非流动资产=有形非流动资产账面价值</w:t>
            </w:r>
          </w:p>
          <w:p>
            <w:pPr>
              <w:pStyle w:val="2"/>
              <w:spacing w:before="78" w:after="78"/>
              <w:ind w:firstLine="643"/>
              <w:jc w:val="both"/>
              <w:rPr>
                <w:rFonts w:hint="eastAsia" w:ascii="宋体" w:hAnsi="宋体" w:eastAsia="宋体" w:cs="宋体"/>
                <w:b/>
                <w:bCs/>
                <w:color w:val="auto"/>
                <w:kern w:val="40"/>
                <w:sz w:val="24"/>
                <w:szCs w:val="24"/>
                <w:lang w:val="en-US" w:eastAsia="zh-CN" w:bidi="ar-SA"/>
              </w:rPr>
            </w:pPr>
            <w:bookmarkStart w:id="2" w:name="_Toc451875488"/>
            <w:r>
              <w:rPr>
                <w:rFonts w:hint="eastAsia" w:ascii="宋体" w:hAnsi="宋体" w:eastAsia="宋体" w:cs="宋体"/>
                <w:b/>
                <w:bCs/>
                <w:color w:val="auto"/>
                <w:kern w:val="40"/>
                <w:sz w:val="24"/>
                <w:szCs w:val="24"/>
                <w:lang w:val="en-US" w:eastAsia="zh-CN" w:bidi="ar-SA"/>
              </w:rPr>
              <w:t>四、评估技术说明</w:t>
            </w:r>
            <w:bookmarkEnd w:id="2"/>
          </w:p>
          <w:p>
            <w:pPr>
              <w:autoSpaceDE w:val="0"/>
              <w:autoSpaceDN w:val="0"/>
              <w:adjustRightInd w:val="0"/>
              <w:spacing w:beforeLines="25" w:afterLines="25" w:line="300" w:lineRule="auto"/>
              <w:ind w:firstLine="482"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1.评估方法的选择与确定</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无形资产评估与企业价值评估密切相关，对企业资产评估通常有三种方法，即资产基础法、市场法和收益法。</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（1） 收益法是指通过将被评估企业预期收益资本化或折现以确定评估对象价值的评估方法。收益法评估必须具备以下三个前提条件：一是能够对企业的生产经营期限作出合理的预测；二是能够对企业未来收益进行合理预测；三是能够对企业未来收益的风险能够可靠计量。</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（2） 资产基础法是指以被评估企业评估基准日的资产负债表为基础，合理评估企业表内及表外各项资产、负债价值，以此表确定评估对象价值的评估方法。</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（3）市场法是指将评估对象与可比上市公司或者可比交易案例进行比较，确定评估对象价值的方法。它具有评估角度和评估途径直接、评估过程直观、评估数据直接取值于市场、评估结果说服力强的特点。</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依据收集的资料分析，目前国内在该领域获取的专利仅有几例，且尚未发现类似专利的交易案例，由于缺少与评估对象相似的三个以上的参考企业，且可比企业资料收集较难，故本次评估不采纳市场法，又由于专利形成的直接成本往往与专利的实际市场价值之间没有直接的对应关系，即专利投入产出的弱对应性，因此成本法一般不宜用于对专利评估；本次评估目的是企业将专利权质押，实质上是对企业无形资产的盈利能力的价值评估，即根据企业未来的预期收益折现，然后根据专利对企业未来收益的贡献确定分成率，进而确定委估专利权的市场价值，即采用收益法的技术路线进行评估。</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（4）收益法简介</w:t>
            </w:r>
          </w:p>
          <w:p>
            <w:pPr>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收益法的计算公式：</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 xml:space="preserve"> P = 未来收益期内各期收益的现值之和</w:t>
            </w:r>
          </w:p>
          <w:p>
            <w:pPr>
              <w:widowControl/>
              <w:spacing w:beforeLines="25" w:afterLines="25" w:line="300" w:lineRule="auto"/>
              <w:ind w:firstLine="420" w:firstLineChars="200"/>
              <w:rPr>
                <w:rFonts w:ascii="宋体" w:hAnsi="宋体"/>
                <w:szCs w:val="21"/>
              </w:rPr>
            </w:pPr>
            <w:r>
              <w:rPr>
                <w:rFonts w:ascii="宋体" w:hAnsi="宋体"/>
                <w:szCs w:val="21"/>
              </w:rPr>
              <w:t>=</w:t>
            </w:r>
            <w:r>
              <w:rPr>
                <w:rFonts w:ascii="宋体" w:hAnsi="宋体"/>
                <w:position w:val="-28"/>
                <w:szCs w:val="21"/>
              </w:rPr>
              <w:object>
                <v:shape id="_x0000_i1025" o:spt="75" type="#_x0000_t75" style="height:34.65pt;width:52.3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p>
            <w:pPr>
              <w:widowControl/>
              <w:spacing w:beforeLines="25" w:afterLines="25" w:line="300" w:lineRule="auto"/>
              <w:ind w:firstLine="480" w:firstLineChars="200"/>
              <w:rPr>
                <w:rFonts w:ascii="宋体" w:hAnsi="宋体"/>
                <w:szCs w:val="21"/>
              </w:rPr>
            </w:pPr>
            <w:r>
              <w:rPr>
                <w:rFonts w:hint="eastAsia" w:ascii="宋体" w:hAnsi="宋体" w:eastAsia="宋体" w:cs="宋体"/>
                <w:b w:val="0"/>
                <w:color w:val="auto"/>
                <w:kern w:val="40"/>
                <w:sz w:val="24"/>
                <w:szCs w:val="24"/>
                <w:lang w:val="en-US" w:eastAsia="zh-CN" w:bidi="ar-SA"/>
              </w:rPr>
              <w:t>其中，P为评估值；r为折现率；n为收益年期；F</w:t>
            </w:r>
            <w:r>
              <w:rPr>
                <w:rFonts w:hint="eastAsia" w:ascii="宋体" w:hAnsi="宋体" w:eastAsia="宋体" w:cs="宋体"/>
                <w:b w:val="0"/>
                <w:color w:val="auto"/>
                <w:kern w:val="40"/>
                <w:sz w:val="24"/>
                <w:szCs w:val="24"/>
                <w:vertAlign w:val="subscript"/>
                <w:lang w:val="en-US" w:eastAsia="zh-CN" w:bidi="ar-SA"/>
              </w:rPr>
              <w:t>i</w:t>
            </w:r>
            <w:r>
              <w:rPr>
                <w:rFonts w:hint="eastAsia" w:ascii="宋体" w:hAnsi="宋体" w:eastAsia="宋体" w:cs="宋体"/>
                <w:b w:val="0"/>
                <w:color w:val="auto"/>
                <w:kern w:val="40"/>
                <w:sz w:val="24"/>
                <w:szCs w:val="24"/>
                <w:lang w:val="en-US" w:eastAsia="zh-CN" w:bidi="ar-SA"/>
              </w:rPr>
              <w:t>为未来第i个收益期的预期收益。从公式中可见，影响收益现值的三大参数为：收益期限n、逐年预期收益的分成额F</w:t>
            </w:r>
            <w:r>
              <w:rPr>
                <w:rFonts w:hint="eastAsia" w:ascii="宋体" w:hAnsi="宋体" w:eastAsia="宋体" w:cs="宋体"/>
                <w:b w:val="0"/>
                <w:color w:val="auto"/>
                <w:kern w:val="40"/>
                <w:sz w:val="24"/>
                <w:szCs w:val="24"/>
                <w:vertAlign w:val="subscript"/>
                <w:lang w:val="en-US" w:eastAsia="zh-CN" w:bidi="ar-SA"/>
              </w:rPr>
              <w:t>i</w:t>
            </w:r>
            <w:r>
              <w:rPr>
                <w:rFonts w:hint="eastAsia" w:ascii="宋体" w:hAnsi="宋体" w:eastAsia="宋体" w:cs="宋体"/>
                <w:b w:val="0"/>
                <w:color w:val="auto"/>
                <w:kern w:val="40"/>
                <w:sz w:val="24"/>
                <w:szCs w:val="24"/>
                <w:lang w:val="en-US" w:eastAsia="zh-CN" w:bidi="ar-SA"/>
              </w:rPr>
              <w:t>和折现率r。本次无形资产评估选用销售收入分成收益模型：</w:t>
            </w:r>
          </w:p>
          <w:p>
            <w:pPr>
              <w:spacing w:beforeLines="25" w:afterLines="25" w:line="300" w:lineRule="auto"/>
              <w:ind w:firstLine="720" w:firstLineChars="300"/>
              <w:rPr>
                <w:rFonts w:hint="eastAsia" w:ascii="宋体" w:hAnsi="宋体" w:eastAsia="宋体" w:cs="宋体"/>
                <w:bCs/>
                <w:sz w:val="24"/>
                <w:szCs w:val="24"/>
              </w:rPr>
            </w:pPr>
            <w:r>
              <w:rPr>
                <w:rFonts w:hint="eastAsia" w:ascii="宋体" w:hAnsi="宋体" w:eastAsia="宋体" w:cs="宋体"/>
                <w:bCs/>
                <w:position w:val="-12"/>
                <w:sz w:val="24"/>
                <w:szCs w:val="24"/>
              </w:rPr>
              <w:object>
                <v:shape id="_x0000_i1026" o:spt="75" type="#_x0000_t75" style="height:17.65pt;width:23.7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ascii="宋体" w:hAnsi="宋体" w:eastAsia="宋体" w:cs="宋体"/>
                <w:bCs/>
                <w:sz w:val="24"/>
                <w:szCs w:val="24"/>
              </w:rPr>
              <w:t>各年预期销售收入×销售收入净分成率</w:t>
            </w:r>
          </w:p>
          <w:p>
            <w:pPr>
              <w:autoSpaceDE w:val="0"/>
              <w:autoSpaceDN w:val="0"/>
              <w:adjustRightInd w:val="0"/>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2.主要参数的选取</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（1）预期净收益的预测</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委估无形资产预期净收益公式如下：</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委估无形资产预期净收益=委估无形资产产品销售收入×销售收入净分成率</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其中：委估无形资产产品销售收入为以后年度应用专利的各类产品销售后产生的收入。</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（2）无形资产分成率</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本次无形资产评估采用的是销售收入分成收益模型，无形资产分成率为销售收入净分成率。</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（3）收益年期的确定</w:t>
            </w:r>
          </w:p>
          <w:p>
            <w:pPr>
              <w:autoSpaceDE w:val="0"/>
              <w:autoSpaceDN w:val="0"/>
              <w:adjustRightInd w:val="0"/>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科技成果的经济寿命取决于行业技术的发展更新速度、技术的领先程度、法律或者行政保护强度。由于科学技术是不断发展的，并且，科技发展的速度越来越快，一种新的、更为先进、适用程度或效益更高的技术的出现，使原有技术资产贬值。通常影响技术资产寿命的因素是多种多样的，主要有法规（合同）年限、保密状况、产品更新周期、可替代性、市场竞争情况等。按照法律保护寿命和技术经济寿命孰短原则确定收益年限。</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（4）折现率的确定</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确定无形资产折现率时一般应遵循以下几条原则：</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①不低于行业平均净资产收益率；</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②折现率与收益额相匹配；</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③适当考虑投资者的期望回报率及交易双方的利益均衡性。</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折现率与公司的资产结构相关，这里有两种不同的角度区分公司的资产结构，一是资产可以从来源角度进行归类，企业资产可以分为股权资产和债权资产，股权资产是从投资角度确认资产，而债权资产是从融资角度确认资产，两者要求的收益率会存在差异；二是资产可以从存续的形态进行分类，本案例中将资产分为无形资产、经营资金和有形非流动资产，他们之和构成了企业资产，相应的不同资产所要求的投资回报率会存在差异。通过两种分类可以构建不同的平均资本成本模型，从而利用WACC模型倒算无形资产的折现率。</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无形资产折现率R</w:t>
            </w:r>
            <w:r>
              <w:rPr>
                <w:rFonts w:hint="eastAsia" w:ascii="宋体" w:hAnsi="宋体" w:eastAsia="宋体" w:cs="宋体"/>
                <w:b w:val="0"/>
                <w:color w:val="auto"/>
                <w:kern w:val="40"/>
                <w:sz w:val="24"/>
                <w:szCs w:val="24"/>
                <w:vertAlign w:val="subscript"/>
                <w:lang w:val="en-US" w:eastAsia="zh-CN" w:bidi="ar-SA"/>
              </w:rPr>
              <w:t>i</w:t>
            </w:r>
            <w:r>
              <w:rPr>
                <w:rFonts w:hint="eastAsia" w:ascii="宋体" w:hAnsi="宋体" w:eastAsia="宋体" w:cs="宋体"/>
                <w:b w:val="0"/>
                <w:color w:val="auto"/>
                <w:kern w:val="40"/>
                <w:sz w:val="24"/>
                <w:szCs w:val="24"/>
                <w:lang w:val="en-US" w:eastAsia="zh-CN" w:bidi="ar-SA"/>
              </w:rPr>
              <w:t xml:space="preserve"> 计算公式如下：</w:t>
            </w:r>
          </w:p>
          <w:p>
            <w:pPr>
              <w:spacing w:beforeLines="25" w:afterLines="25" w:line="300" w:lineRule="auto"/>
              <w:ind w:left="480" w:right="-17"/>
              <w:rPr>
                <w:rFonts w:ascii="宋体" w:hAnsi="宋体"/>
                <w:kern w:val="0"/>
                <w:szCs w:val="21"/>
              </w:rPr>
            </w:pPr>
            <w:r>
              <w:rPr>
                <w:rFonts w:ascii="宋体" w:hAnsi="宋体"/>
                <w:szCs w:val="21"/>
                <w:lang w:val="zh-CN"/>
              </w:rPr>
              <w:pict>
                <v:shape id="Picture 6" o:spid="_x0000_s1026" o:spt="75" type="#_x0000_t75" style="position:absolute;left:0pt;margin-left:32.55pt;margin-top:7.85pt;height:28.4pt;width:277.85pt;z-index:251659264;mso-width-relative:page;mso-height-relative:page;" o:ole="t" filled="f" o:preferrelative="t" stroked="f" coordsize="21600,21600">
                  <v:path/>
                  <v:fill on="f" focussize="0,0"/>
                  <v:stroke on="f" joinstyle="miter"/>
                  <v:imagedata r:id="rId9" o:title=""/>
                  <o:lock v:ext="edit" aspectratio="t"/>
                </v:shape>
                <o:OLEObject Type="Embed" ProgID="Equation.3" ShapeID="Picture 6" DrawAspect="Content" ObjectID="_1468075727" r:id="rId8">
                  <o:LockedField>false</o:LockedField>
                </o:OLEObject>
              </w:pict>
            </w:r>
          </w:p>
          <w:p>
            <w:pPr>
              <w:spacing w:beforeLines="25" w:afterLines="25" w:line="300" w:lineRule="auto"/>
              <w:ind w:left="480" w:right="-17"/>
              <w:rPr>
                <w:rFonts w:ascii="宋体" w:hAnsi="宋体"/>
                <w:kern w:val="0"/>
                <w:szCs w:val="21"/>
              </w:rPr>
            </w:pP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其中，全部资产=无形资产+营运资金+有形非流动资产；营运资金=流动资产-非付息负债；有形非流动资产=有形非流动资产账面价值；无形资产=全部资产-营运资金-有形非流动资产；R</w:t>
            </w:r>
            <w:r>
              <w:rPr>
                <w:rFonts w:hint="eastAsia" w:ascii="宋体" w:hAnsi="宋体" w:eastAsia="宋体" w:cs="宋体"/>
                <w:b w:val="0"/>
                <w:color w:val="auto"/>
                <w:kern w:val="40"/>
                <w:sz w:val="24"/>
                <w:szCs w:val="24"/>
                <w:vertAlign w:val="subscript"/>
                <w:lang w:val="en-US" w:eastAsia="zh-CN" w:bidi="ar-SA"/>
              </w:rPr>
              <w:t>c</w:t>
            </w:r>
            <w:r>
              <w:rPr>
                <w:rFonts w:hint="eastAsia" w:ascii="宋体" w:hAnsi="宋体" w:eastAsia="宋体" w:cs="宋体"/>
                <w:b w:val="0"/>
                <w:color w:val="auto"/>
                <w:kern w:val="40"/>
                <w:sz w:val="24"/>
                <w:szCs w:val="24"/>
                <w:lang w:val="en-US" w:eastAsia="zh-CN" w:bidi="ar-SA"/>
              </w:rPr>
              <w:t>为营运资金回报率；R</w:t>
            </w:r>
            <w:r>
              <w:rPr>
                <w:rFonts w:hint="eastAsia" w:ascii="宋体" w:hAnsi="宋体" w:eastAsia="宋体" w:cs="宋体"/>
                <w:b w:val="0"/>
                <w:color w:val="auto"/>
                <w:kern w:val="40"/>
                <w:sz w:val="24"/>
                <w:szCs w:val="24"/>
                <w:vertAlign w:val="subscript"/>
                <w:lang w:val="en-US" w:eastAsia="zh-CN" w:bidi="ar-SA"/>
              </w:rPr>
              <w:t>f</w:t>
            </w:r>
            <w:r>
              <w:rPr>
                <w:rFonts w:hint="eastAsia" w:ascii="宋体" w:hAnsi="宋体" w:eastAsia="宋体" w:cs="宋体"/>
                <w:b w:val="0"/>
                <w:color w:val="auto"/>
                <w:kern w:val="40"/>
                <w:sz w:val="24"/>
                <w:szCs w:val="24"/>
                <w:lang w:val="en-US" w:eastAsia="zh-CN" w:bidi="ar-SA"/>
              </w:rPr>
              <w:t>为有形非流动资产回报率。</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在求取WACC时，需要测算股东权益资本成本和债务资本成本，其计算公式为：</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WACC=K</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×W</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+K</w:t>
            </w:r>
            <w:r>
              <w:rPr>
                <w:rFonts w:hint="eastAsia" w:ascii="宋体" w:hAnsi="宋体" w:eastAsia="宋体" w:cs="宋体"/>
                <w:b w:val="0"/>
                <w:color w:val="auto"/>
                <w:kern w:val="40"/>
                <w:sz w:val="24"/>
                <w:szCs w:val="24"/>
                <w:vertAlign w:val="subscript"/>
                <w:lang w:val="en-US" w:eastAsia="zh-CN" w:bidi="ar-SA"/>
              </w:rPr>
              <w:t>d</w:t>
            </w:r>
            <w:r>
              <w:rPr>
                <w:rFonts w:hint="eastAsia" w:ascii="宋体" w:hAnsi="宋体" w:eastAsia="宋体" w:cs="宋体"/>
                <w:b w:val="0"/>
                <w:color w:val="auto"/>
                <w:kern w:val="40"/>
                <w:sz w:val="24"/>
                <w:szCs w:val="24"/>
                <w:lang w:val="en-US" w:eastAsia="zh-CN" w:bidi="ar-SA"/>
              </w:rPr>
              <w:t>×(1-t)×W</w:t>
            </w:r>
            <w:r>
              <w:rPr>
                <w:rFonts w:hint="eastAsia" w:ascii="宋体" w:hAnsi="宋体" w:eastAsia="宋体" w:cs="宋体"/>
                <w:b w:val="0"/>
                <w:color w:val="auto"/>
                <w:kern w:val="40"/>
                <w:sz w:val="24"/>
                <w:szCs w:val="24"/>
                <w:vertAlign w:val="subscript"/>
                <w:lang w:val="en-US" w:eastAsia="zh-CN" w:bidi="ar-SA"/>
              </w:rPr>
              <w:t>d</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其中，WACC为加权平均资本成本；K</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为公司股东权益资本成本；K</w:t>
            </w:r>
            <w:r>
              <w:rPr>
                <w:rFonts w:hint="eastAsia" w:ascii="宋体" w:hAnsi="宋体" w:eastAsia="宋体" w:cs="宋体"/>
                <w:b w:val="0"/>
                <w:color w:val="auto"/>
                <w:kern w:val="40"/>
                <w:sz w:val="24"/>
                <w:szCs w:val="24"/>
                <w:vertAlign w:val="subscript"/>
                <w:lang w:val="en-US" w:eastAsia="zh-CN" w:bidi="ar-SA"/>
              </w:rPr>
              <w:t>d</w:t>
            </w:r>
            <w:r>
              <w:rPr>
                <w:rFonts w:hint="eastAsia" w:ascii="宋体" w:hAnsi="宋体" w:eastAsia="宋体" w:cs="宋体"/>
                <w:b w:val="0"/>
                <w:color w:val="auto"/>
                <w:kern w:val="40"/>
                <w:sz w:val="24"/>
                <w:szCs w:val="24"/>
                <w:lang w:val="en-US" w:eastAsia="zh-CN" w:bidi="ar-SA"/>
              </w:rPr>
              <w:t>为公司债务资本成本；W</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为股东权益资本在资本结构中的百分比；W</w:t>
            </w:r>
            <w:r>
              <w:rPr>
                <w:rFonts w:hint="eastAsia" w:ascii="宋体" w:hAnsi="宋体" w:eastAsia="宋体" w:cs="宋体"/>
                <w:b w:val="0"/>
                <w:color w:val="auto"/>
                <w:kern w:val="40"/>
                <w:sz w:val="24"/>
                <w:szCs w:val="24"/>
                <w:vertAlign w:val="subscript"/>
                <w:lang w:val="en-US" w:eastAsia="zh-CN" w:bidi="ar-SA"/>
              </w:rPr>
              <w:t>d</w:t>
            </w:r>
            <w:r>
              <w:rPr>
                <w:rFonts w:hint="eastAsia" w:ascii="宋体" w:hAnsi="宋体" w:eastAsia="宋体" w:cs="宋体"/>
                <w:b w:val="0"/>
                <w:color w:val="auto"/>
                <w:kern w:val="40"/>
                <w:sz w:val="24"/>
                <w:szCs w:val="24"/>
                <w:lang w:val="en-US" w:eastAsia="zh-CN" w:bidi="ar-SA"/>
              </w:rPr>
              <w:t>为债务资本在资本结构中的百分比；t为公司所得税税率。</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3.评估假设</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bookmarkStart w:id="3" w:name="_Toc162865466"/>
            <w:bookmarkStart w:id="4" w:name="_Toc170111362"/>
            <w:r>
              <w:rPr>
                <w:rFonts w:hint="eastAsia" w:ascii="宋体" w:hAnsi="宋体" w:eastAsia="宋体" w:cs="宋体"/>
                <w:b w:val="0"/>
                <w:color w:val="auto"/>
                <w:kern w:val="40"/>
                <w:sz w:val="24"/>
                <w:szCs w:val="24"/>
                <w:lang w:val="en-US" w:eastAsia="zh-CN" w:bidi="ar-SA"/>
              </w:rPr>
              <w:t>评估假设是评估结论成立的前提和基础，一般分为基本假设、一般假设和具体假设。</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基本假设：一是公开市场假设，公开市场假设是对资产拟进入的市场条件以及资产在这样的市场条件下接受何种影响的一种假定说明或限定。二是持续使用假设，该假设设定被评估资产正处于使用状态，并推断这些处于使用状态的资产还将继续使用下去。</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一般假设：包括国家对被评估单位所处行业的有关法律法规和政策在预测期无重大变化；社会经济环境及经济发展除社会公众已知变化外，在预测期无其他重大变化；国家现行银行信贷利率、外汇汇率的变动能保持在合理范围内；国家目前的税收制度除社会公众已知变化外，无其他重大变化；本次评估算算各项参数取值均未考虑通货膨胀因素；被评估企业的经营模式、盈利模式没有发生重大变化。</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具体假设：</w:t>
            </w:r>
            <w:bookmarkEnd w:id="3"/>
            <w:bookmarkEnd w:id="4"/>
            <w:r>
              <w:rPr>
                <w:rFonts w:hint="eastAsia" w:ascii="宋体" w:hAnsi="宋体" w:eastAsia="宋体" w:cs="宋体"/>
                <w:b w:val="0"/>
                <w:color w:val="auto"/>
                <w:kern w:val="40"/>
                <w:sz w:val="24"/>
                <w:szCs w:val="24"/>
                <w:lang w:val="en-US" w:eastAsia="zh-CN" w:bidi="ar-SA"/>
              </w:rPr>
              <w:t>是指由被评估单位提供的与评估相关的财务报表、会计凭证、资产清单及其他有关资料真实、完整；被评估单位会计政策与核算方法在评估基准日后无重大变化等内容。</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4.评估程序实施过程及情况</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按照资产评估业务约定书，评估人员已实施了对被评估单位提供的法律性文件、会计记录以及相关资料的核对，对资产进行实地查看，并取得了相关的产权证明文件复印件。资产评估的过程如下：</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（1）接受委托阶段，了解被评估单位组织架构、机构分布和经营业务特点，明确评估目的、评估对象及范围和评估基准日。</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2）清查核实阶段，首先根据项目评估要求指导被评估单位清查资产，填报资产评估申报表，准备评估资料。然后在企业如实申报资产并对委估资产进行全面自查的基础上，对纳入评估范围内的资产和负债进行了抽查核实，包括评估对象真实性和合法性的查证、账面价值构成的调查、评估资料的收集以及了解并分析企业的生产、管理和经营情况等。</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3）评定估算阶段，依据评估准则及国家相关的法律法规，结合委估资产情况及评估资料收集情况确定采用的评估方法，根据各类资产的作价方案，明确评估参数和价格标准，收集相关作价资料，进行评定估算工作。</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4）汇总与审核阶段，项目组完成初稿，最终汇总确定评估结果，并对项目组提供的评估明细表、评估说明、评估报告及相关的工作底稿进行了全面审核并提出具体的审核修改意见和建议，完善后将评估报告征求意见稿提供给委托方交换意见。</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（5）出具报告阶段，在将评估结果与委托方沟通后正式出具评估报告。</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bookmarkStart w:id="5" w:name="_Toc451875489"/>
            <w:r>
              <w:rPr>
                <w:rFonts w:hint="eastAsia" w:ascii="宋体" w:hAnsi="宋体" w:eastAsia="宋体" w:cs="宋体"/>
                <w:b/>
                <w:bCs/>
                <w:color w:val="auto"/>
                <w:kern w:val="40"/>
                <w:sz w:val="24"/>
                <w:szCs w:val="24"/>
                <w:lang w:val="en-US" w:eastAsia="zh-CN" w:bidi="ar-SA"/>
              </w:rPr>
              <w:t>五、评估值测算过程</w:t>
            </w:r>
            <w:bookmarkEnd w:id="5"/>
          </w:p>
          <w:p>
            <w:pPr>
              <w:widowControl/>
              <w:spacing w:beforeLines="25" w:afterLines="25" w:line="300" w:lineRule="auto"/>
              <w:ind w:firstLine="482"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1.江西国药有限责任公司历史经营概况</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江西国药有限责任公司创建于一九八五年，现为国家二级企业，下设三个全资子公司、二个中外合资控股公司、六个生产车间、二个辅助车间，设有药物研究所、质监、技术、生产、设备、技改等处室。国药公司现有品种140余个，主要产品有发酵虫草菌粉(CS-4)、盐酸林可霉素、盐酸土霉素、十三碳二元酸等原料药以及中成药（片剂、胶囊剂、针剂、丸剂、糖浆剂、颗粒剂等）、西药制剂等。公司产品严格按“GMP”要求、国家和国际标准（bp98版、usp24版）组织生产，产品质量好、信誉高，在国内外市场具有很强的竞争能力。公司现有两个国家银质产品，三个部优产品，八个省优产品，特别是盐酸林可霉素、盐酸土霉素通过美国FDA认证，发酵虫草菌粉（CS-4）为中国第一个一类新中药，完全能在国际市场上“以质取胜”，公司小容量注射剂、盐酸林可霉素、盐酸土霉素通过国家GMP认证。公司主营新药开发、化学原料药、生物原料药、中药及成品制剂生产、销售等，年产乙酰螺旋霉素居全国首位，共生产11个类型366个品种和规格的产品，产品销售网络覆盖全国各地以及西欧、东南亚等国家和地区。评估基准日江西国药有限责任公司的资产负债情况如表1所示。</w:t>
            </w:r>
          </w:p>
          <w:p>
            <w:pPr>
              <w:widowControl/>
              <w:spacing w:beforeLines="25" w:afterLines="25" w:line="300" w:lineRule="auto"/>
              <w:jc w:val="center"/>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表1  评估基准日江西国药有限责任公司资产负债表情况</w:t>
            </w:r>
          </w:p>
          <w:p>
            <w:pPr>
              <w:widowControl/>
              <w:spacing w:beforeLines="25" w:afterLines="25" w:line="300" w:lineRule="auto"/>
              <w:ind w:firstLine="480" w:firstLineChars="200"/>
              <w:jc w:val="right"/>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单位：元</w:t>
            </w:r>
          </w:p>
          <w:tbl>
            <w:tblPr>
              <w:tblStyle w:val="7"/>
              <w:tblW w:w="7900"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095"/>
              <w:gridCol w:w="2001"/>
              <w:gridCol w:w="2804"/>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3095" w:type="dxa"/>
                  <w:tcBorders>
                    <w:top w:val="single" w:color="auto" w:sz="4" w:space="0"/>
                    <w:left w:val="single" w:color="auto" w:sz="4" w:space="0"/>
                  </w:tcBorders>
                </w:tcPr>
                <w:p>
                  <w:pPr>
                    <w:jc w:val="center"/>
                    <w:rPr>
                      <w:rFonts w:hint="eastAsia" w:ascii="宋体" w:hAnsi="宋体" w:eastAsia="宋体" w:cs="宋体"/>
                      <w:bCs/>
                      <w:sz w:val="24"/>
                      <w:szCs w:val="24"/>
                    </w:rPr>
                  </w:pPr>
                  <w:r>
                    <w:rPr>
                      <w:rFonts w:hint="eastAsia" w:ascii="宋体" w:hAnsi="宋体" w:eastAsia="宋体" w:cs="宋体"/>
                      <w:bCs/>
                      <w:sz w:val="24"/>
                      <w:szCs w:val="24"/>
                    </w:rPr>
                    <w:t>项    目</w:t>
                  </w:r>
                </w:p>
              </w:tc>
              <w:tc>
                <w:tcPr>
                  <w:tcW w:w="2001" w:type="dxa"/>
                  <w:tcBorders>
                    <w:top w:val="single" w:color="auto" w:sz="4" w:space="0"/>
                  </w:tcBorders>
                </w:tcPr>
                <w:p>
                  <w:pPr>
                    <w:jc w:val="center"/>
                    <w:rPr>
                      <w:rFonts w:hint="eastAsia" w:ascii="宋体" w:hAnsi="宋体" w:eastAsia="宋体" w:cs="宋体"/>
                      <w:bCs/>
                      <w:sz w:val="24"/>
                      <w:szCs w:val="24"/>
                    </w:rPr>
                  </w:pPr>
                  <w:r>
                    <w:rPr>
                      <w:rFonts w:hint="eastAsia" w:ascii="宋体" w:hAnsi="宋体" w:eastAsia="宋体" w:cs="宋体"/>
                      <w:bCs/>
                      <w:sz w:val="24"/>
                      <w:szCs w:val="24"/>
                    </w:rPr>
                    <w:t>账面值</w:t>
                  </w:r>
                </w:p>
              </w:tc>
              <w:tc>
                <w:tcPr>
                  <w:tcW w:w="2804" w:type="dxa"/>
                  <w:tcBorders>
                    <w:top w:val="single" w:color="auto" w:sz="4" w:space="0"/>
                    <w:right w:val="single" w:color="auto" w:sz="4" w:space="0"/>
                  </w:tcBorders>
                </w:tcPr>
                <w:p>
                  <w:pPr>
                    <w:jc w:val="center"/>
                    <w:rPr>
                      <w:rFonts w:hint="eastAsia" w:ascii="宋体" w:hAnsi="宋体" w:eastAsia="宋体" w:cs="宋体"/>
                      <w:bCs/>
                      <w:sz w:val="24"/>
                      <w:szCs w:val="24"/>
                    </w:rPr>
                  </w:pPr>
                  <w:r>
                    <w:rPr>
                      <w:rFonts w:hint="eastAsia" w:ascii="宋体" w:hAnsi="宋体" w:eastAsia="宋体" w:cs="宋体"/>
                      <w:bCs/>
                      <w:sz w:val="24"/>
                      <w:szCs w:val="24"/>
                    </w:rPr>
                    <w:t>备    注</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一、流动资产合计</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155,228,958.95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货币资金</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606,508.95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交易性金融资产</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110,000.00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应收账款</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8,779,238.44 </w:t>
                  </w:r>
                </w:p>
              </w:tc>
              <w:tc>
                <w:tcPr>
                  <w:tcW w:w="2804" w:type="dxa"/>
                  <w:tcBorders>
                    <w:right w:val="single" w:color="auto" w:sz="4" w:space="0"/>
                  </w:tcBorders>
                </w:tcPr>
                <w:p>
                  <w:pPr>
                    <w:jc w:val="center"/>
                    <w:rPr>
                      <w:rFonts w:hint="eastAsia" w:ascii="宋体" w:hAnsi="宋体" w:eastAsia="宋体" w:cs="宋体"/>
                      <w:sz w:val="24"/>
                      <w:szCs w:val="24"/>
                    </w:rPr>
                  </w:pPr>
                  <w:r>
                    <w:rPr>
                      <w:rFonts w:hint="eastAsia" w:ascii="宋体" w:hAnsi="宋体" w:eastAsia="宋体" w:cs="宋体"/>
                      <w:sz w:val="24"/>
                      <w:szCs w:val="24"/>
                    </w:rPr>
                    <w:t>一年内应收账款</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预付账款</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4,237,141.60 </w:t>
                  </w:r>
                </w:p>
              </w:tc>
              <w:tc>
                <w:tcPr>
                  <w:tcW w:w="2804" w:type="dxa"/>
                  <w:tcBorders>
                    <w:right w:val="single" w:color="auto" w:sz="4" w:space="0"/>
                  </w:tcBorders>
                </w:tcPr>
                <w:p>
                  <w:pPr>
                    <w:jc w:val="center"/>
                    <w:rPr>
                      <w:rFonts w:hint="eastAsia" w:ascii="宋体" w:hAnsi="宋体" w:eastAsia="宋体" w:cs="宋体"/>
                      <w:sz w:val="24"/>
                      <w:szCs w:val="24"/>
                    </w:rPr>
                  </w:pPr>
                  <w:r>
                    <w:rPr>
                      <w:rFonts w:hint="eastAsia" w:ascii="宋体" w:hAnsi="宋体" w:eastAsia="宋体" w:cs="宋体"/>
                      <w:sz w:val="24"/>
                      <w:szCs w:val="24"/>
                    </w:rPr>
                    <w:t>一年内预付账款</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其他应收款</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10,441,227.81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存货</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21,464,842.15 </w:t>
                  </w:r>
                </w:p>
              </w:tc>
              <w:tc>
                <w:tcPr>
                  <w:tcW w:w="2804" w:type="dxa"/>
                  <w:tcBorders>
                    <w:right w:val="single" w:color="auto" w:sz="4" w:space="0"/>
                  </w:tcBorders>
                </w:tcPr>
                <w:p>
                  <w:pPr>
                    <w:jc w:val="center"/>
                    <w:rPr>
                      <w:rFonts w:hint="eastAsia" w:ascii="宋体" w:hAnsi="宋体" w:eastAsia="宋体" w:cs="宋体"/>
                      <w:sz w:val="24"/>
                      <w:szCs w:val="24"/>
                    </w:rPr>
                  </w:pPr>
                  <w:r>
                    <w:rPr>
                      <w:rFonts w:hint="eastAsia" w:ascii="宋体" w:hAnsi="宋体" w:eastAsia="宋体" w:cs="宋体"/>
                      <w:sz w:val="24"/>
                      <w:szCs w:val="24"/>
                    </w:rPr>
                    <w:t>原材料、在产品、产成品</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二、非流动资产</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12,336,476.98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长期股权投资</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375,000.00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固定资产</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4,587,426.21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无形资产</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7,374,050.77 </w:t>
                  </w:r>
                </w:p>
              </w:tc>
              <w:tc>
                <w:tcPr>
                  <w:tcW w:w="2804" w:type="dxa"/>
                  <w:tcBorders>
                    <w:right w:val="single" w:color="auto" w:sz="4" w:space="0"/>
                  </w:tcBorders>
                </w:tcPr>
                <w:p>
                  <w:pPr>
                    <w:jc w:val="center"/>
                    <w:rPr>
                      <w:rFonts w:hint="eastAsia" w:ascii="宋体" w:hAnsi="宋体" w:eastAsia="宋体" w:cs="宋体"/>
                      <w:sz w:val="24"/>
                      <w:szCs w:val="24"/>
                    </w:rPr>
                  </w:pPr>
                  <w:r>
                    <w:rPr>
                      <w:rFonts w:hint="eastAsia" w:ascii="宋体" w:hAnsi="宋体" w:eastAsia="宋体" w:cs="宋体"/>
                      <w:sz w:val="24"/>
                      <w:szCs w:val="24"/>
                    </w:rPr>
                    <w:t>专利</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三、资产总计</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158,775,435.93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四、流动负债合计</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28,465,804.14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短期借款</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15,000,000.00 </w:t>
                  </w:r>
                </w:p>
              </w:tc>
              <w:tc>
                <w:tcPr>
                  <w:tcW w:w="2804" w:type="dxa"/>
                  <w:tcBorders>
                    <w:right w:val="single" w:color="auto" w:sz="4" w:space="0"/>
                  </w:tcBorders>
                </w:tcPr>
                <w:p>
                  <w:pPr>
                    <w:jc w:val="center"/>
                    <w:rPr>
                      <w:rFonts w:hint="eastAsia" w:ascii="宋体" w:hAnsi="宋体" w:eastAsia="宋体" w:cs="宋体"/>
                      <w:sz w:val="24"/>
                      <w:szCs w:val="24"/>
                    </w:rPr>
                  </w:pPr>
                  <w:r>
                    <w:rPr>
                      <w:rFonts w:hint="eastAsia" w:ascii="宋体" w:hAnsi="宋体" w:eastAsia="宋体" w:cs="宋体"/>
                      <w:sz w:val="24"/>
                      <w:szCs w:val="24"/>
                    </w:rPr>
                    <w:t>农业银行借款</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应付帐款</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2,217,515.46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应付职工薪酬</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716,496.96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应交税费</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294,597.18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应付利息</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590,492.59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 xml:space="preserve">    其他应付款</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9,646,701.95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五、非流动负债</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0.00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六、负债总计</w:t>
                  </w:r>
                </w:p>
              </w:tc>
              <w:tc>
                <w:tcPr>
                  <w:tcW w:w="2001" w:type="dxa"/>
                </w:tcPr>
                <w:p>
                  <w:pPr>
                    <w:jc w:val="right"/>
                    <w:rPr>
                      <w:rFonts w:hint="eastAsia" w:ascii="宋体" w:hAnsi="宋体" w:eastAsia="宋体" w:cs="宋体"/>
                      <w:sz w:val="24"/>
                      <w:szCs w:val="24"/>
                    </w:rPr>
                  </w:pPr>
                  <w:r>
                    <w:rPr>
                      <w:rFonts w:hint="eastAsia" w:ascii="宋体" w:hAnsi="宋体" w:eastAsia="宋体" w:cs="宋体"/>
                      <w:sz w:val="24"/>
                      <w:szCs w:val="24"/>
                    </w:rPr>
                    <w:t xml:space="preserve">28,465,804.14 </w:t>
                  </w:r>
                </w:p>
              </w:tc>
              <w:tc>
                <w:tcPr>
                  <w:tcW w:w="2804" w:type="dxa"/>
                  <w:tcBorders>
                    <w:right w:val="single" w:color="auto" w:sz="4" w:space="0"/>
                  </w:tcBorders>
                </w:tcPr>
                <w:p>
                  <w:pPr>
                    <w:jc w:val="center"/>
                    <w:rPr>
                      <w:rFonts w:hint="eastAsia" w:ascii="宋体" w:hAnsi="宋体" w:eastAsia="宋体" w:cs="宋体"/>
                      <w:sz w:val="24"/>
                      <w:szCs w:val="24"/>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Borders>
                    <w:left w:val="single" w:color="auto" w:sz="4" w:space="0"/>
                    <w:bottom w:val="single" w:color="auto" w:sz="4" w:space="0"/>
                  </w:tcBorders>
                </w:tcPr>
                <w:p>
                  <w:pPr>
                    <w:rPr>
                      <w:rFonts w:hint="eastAsia" w:ascii="宋体" w:hAnsi="宋体" w:eastAsia="宋体" w:cs="宋体"/>
                      <w:sz w:val="24"/>
                      <w:szCs w:val="24"/>
                    </w:rPr>
                  </w:pPr>
                  <w:r>
                    <w:rPr>
                      <w:rFonts w:hint="eastAsia" w:ascii="宋体" w:hAnsi="宋体" w:eastAsia="宋体" w:cs="宋体"/>
                      <w:sz w:val="24"/>
                      <w:szCs w:val="24"/>
                    </w:rPr>
                    <w:t>七、净资产（所有者权益）</w:t>
                  </w:r>
                </w:p>
              </w:tc>
              <w:tc>
                <w:tcPr>
                  <w:tcW w:w="2001" w:type="dxa"/>
                  <w:tcBorders>
                    <w:bottom w:val="single" w:color="auto" w:sz="4" w:space="0"/>
                  </w:tcBorders>
                </w:tcPr>
                <w:p>
                  <w:pPr>
                    <w:jc w:val="right"/>
                    <w:rPr>
                      <w:rFonts w:hint="eastAsia" w:ascii="宋体" w:hAnsi="宋体" w:eastAsia="宋体" w:cs="宋体"/>
                      <w:sz w:val="24"/>
                      <w:szCs w:val="24"/>
                    </w:rPr>
                  </w:pPr>
                  <w:r>
                    <w:rPr>
                      <w:rFonts w:hint="eastAsia" w:ascii="宋体" w:hAnsi="宋体" w:eastAsia="宋体" w:cs="宋体"/>
                      <w:sz w:val="24"/>
                      <w:szCs w:val="24"/>
                    </w:rPr>
                    <w:t xml:space="preserve">130,309,631.79 </w:t>
                  </w:r>
                </w:p>
              </w:tc>
              <w:tc>
                <w:tcPr>
                  <w:tcW w:w="2804" w:type="dxa"/>
                  <w:tcBorders>
                    <w:bottom w:val="single" w:color="auto" w:sz="4" w:space="0"/>
                    <w:right w:val="single" w:color="auto" w:sz="4" w:space="0"/>
                  </w:tcBorders>
                </w:tcPr>
                <w:p>
                  <w:pPr>
                    <w:jc w:val="center"/>
                    <w:rPr>
                      <w:rFonts w:hint="eastAsia" w:ascii="宋体" w:hAnsi="宋体" w:eastAsia="宋体" w:cs="宋体"/>
                      <w:sz w:val="24"/>
                      <w:szCs w:val="24"/>
                    </w:rPr>
                  </w:pPr>
                </w:p>
              </w:tc>
            </w:tr>
          </w:tbl>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评估基准日前三年的经营状况如表2所示。</w:t>
            </w:r>
          </w:p>
          <w:p>
            <w:pPr>
              <w:widowControl/>
              <w:spacing w:beforeLines="25" w:afterLines="25" w:line="300" w:lineRule="auto"/>
              <w:jc w:val="center"/>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表2   江西国药有限责任公司前3年的经营情况</w:t>
            </w:r>
          </w:p>
          <w:p>
            <w:pPr>
              <w:widowControl/>
              <w:spacing w:beforeLines="25" w:afterLines="25" w:line="300" w:lineRule="auto"/>
              <w:jc w:val="right"/>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 xml:space="preserve">                   单位：十万元</w:t>
            </w:r>
          </w:p>
          <w:tbl>
            <w:tblPr>
              <w:tblStyle w:val="7"/>
              <w:tblW w:w="7908"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95"/>
              <w:gridCol w:w="1671"/>
              <w:gridCol w:w="1671"/>
              <w:gridCol w:w="1671"/>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top w:val="single" w:color="auto" w:sz="4" w:space="0"/>
                    <w:left w:val="single" w:color="auto" w:sz="4" w:space="0"/>
                  </w:tcBorders>
                </w:tcPr>
                <w:p>
                  <w:pPr>
                    <w:jc w:val="center"/>
                    <w:rPr>
                      <w:rFonts w:hint="eastAsia" w:ascii="宋体" w:hAnsi="宋体" w:eastAsia="宋体" w:cs="宋体"/>
                      <w:bCs/>
                      <w:sz w:val="24"/>
                      <w:szCs w:val="24"/>
                    </w:rPr>
                  </w:pPr>
                  <w:r>
                    <w:rPr>
                      <w:rFonts w:hint="eastAsia" w:ascii="宋体" w:hAnsi="宋体" w:eastAsia="宋体" w:cs="宋体"/>
                      <w:bCs/>
                      <w:sz w:val="24"/>
                      <w:szCs w:val="24"/>
                    </w:rPr>
                    <w:t>项目</w:t>
                  </w:r>
                </w:p>
              </w:tc>
              <w:tc>
                <w:tcPr>
                  <w:tcW w:w="1671" w:type="dxa"/>
                  <w:tcBorders>
                    <w:top w:val="single" w:color="auto" w:sz="4" w:space="0"/>
                  </w:tcBorders>
                </w:tcPr>
                <w:p>
                  <w:pPr>
                    <w:jc w:val="center"/>
                    <w:rPr>
                      <w:rFonts w:hint="eastAsia" w:ascii="宋体" w:hAnsi="宋体" w:eastAsia="宋体" w:cs="宋体"/>
                      <w:bCs/>
                      <w:sz w:val="24"/>
                      <w:szCs w:val="24"/>
                    </w:rPr>
                  </w:pPr>
                  <w:r>
                    <w:rPr>
                      <w:rFonts w:hint="eastAsia" w:ascii="宋体" w:hAnsi="宋体" w:eastAsia="宋体" w:cs="宋体"/>
                      <w:bCs/>
                      <w:sz w:val="24"/>
                      <w:szCs w:val="24"/>
                    </w:rPr>
                    <w:t>201</w:t>
                  </w:r>
                  <w:r>
                    <w:rPr>
                      <w:rFonts w:hint="eastAsia" w:ascii="宋体" w:hAnsi="宋体" w:eastAsia="宋体" w:cs="宋体"/>
                      <w:bCs/>
                      <w:sz w:val="24"/>
                      <w:szCs w:val="24"/>
                      <w:lang w:val="en-US" w:eastAsia="zh-CN"/>
                    </w:rPr>
                    <w:t>5</w:t>
                  </w:r>
                  <w:r>
                    <w:rPr>
                      <w:rFonts w:hint="eastAsia" w:ascii="宋体" w:hAnsi="宋体" w:eastAsia="宋体" w:cs="宋体"/>
                      <w:bCs/>
                      <w:sz w:val="24"/>
                      <w:szCs w:val="24"/>
                    </w:rPr>
                    <w:t>年</w:t>
                  </w:r>
                </w:p>
              </w:tc>
              <w:tc>
                <w:tcPr>
                  <w:tcW w:w="1671" w:type="dxa"/>
                  <w:tcBorders>
                    <w:top w:val="single" w:color="auto" w:sz="4" w:space="0"/>
                  </w:tcBorders>
                </w:tcPr>
                <w:p>
                  <w:pPr>
                    <w:jc w:val="center"/>
                    <w:rPr>
                      <w:rFonts w:hint="eastAsia" w:ascii="宋体" w:hAnsi="宋体" w:eastAsia="宋体" w:cs="宋体"/>
                      <w:bCs/>
                      <w:sz w:val="24"/>
                      <w:szCs w:val="24"/>
                    </w:rPr>
                  </w:pPr>
                  <w:r>
                    <w:rPr>
                      <w:rFonts w:hint="eastAsia" w:ascii="宋体" w:hAnsi="宋体" w:eastAsia="宋体" w:cs="宋体"/>
                      <w:bCs/>
                      <w:sz w:val="24"/>
                      <w:szCs w:val="24"/>
                    </w:rPr>
                    <w:t>201</w:t>
                  </w:r>
                  <w:r>
                    <w:rPr>
                      <w:rFonts w:hint="eastAsia" w:ascii="宋体" w:hAnsi="宋体" w:eastAsia="宋体" w:cs="宋体"/>
                      <w:bCs/>
                      <w:sz w:val="24"/>
                      <w:szCs w:val="24"/>
                      <w:lang w:val="en-US" w:eastAsia="zh-CN"/>
                    </w:rPr>
                    <w:t>6</w:t>
                  </w:r>
                  <w:r>
                    <w:rPr>
                      <w:rFonts w:hint="eastAsia" w:ascii="宋体" w:hAnsi="宋体" w:eastAsia="宋体" w:cs="宋体"/>
                      <w:bCs/>
                      <w:sz w:val="24"/>
                      <w:szCs w:val="24"/>
                    </w:rPr>
                    <w:t>年</w:t>
                  </w:r>
                </w:p>
              </w:tc>
              <w:tc>
                <w:tcPr>
                  <w:tcW w:w="1671" w:type="dxa"/>
                  <w:tcBorders>
                    <w:top w:val="single" w:color="auto" w:sz="4" w:space="0"/>
                    <w:right w:val="single" w:color="auto" w:sz="4" w:space="0"/>
                  </w:tcBorders>
                </w:tcPr>
                <w:p>
                  <w:pPr>
                    <w:jc w:val="center"/>
                    <w:rPr>
                      <w:rFonts w:hint="eastAsia" w:ascii="宋体" w:hAnsi="宋体" w:eastAsia="宋体" w:cs="宋体"/>
                      <w:bCs/>
                      <w:sz w:val="24"/>
                      <w:szCs w:val="24"/>
                    </w:rPr>
                  </w:pPr>
                  <w:r>
                    <w:rPr>
                      <w:rFonts w:hint="eastAsia" w:ascii="宋体" w:hAnsi="宋体" w:eastAsia="宋体" w:cs="宋体"/>
                      <w:bCs/>
                      <w:sz w:val="24"/>
                      <w:szCs w:val="24"/>
                    </w:rPr>
                    <w:t>201</w:t>
                  </w:r>
                  <w:r>
                    <w:rPr>
                      <w:rFonts w:hint="eastAsia" w:ascii="宋体" w:hAnsi="宋体" w:eastAsia="宋体" w:cs="宋体"/>
                      <w:bCs/>
                      <w:sz w:val="24"/>
                      <w:szCs w:val="24"/>
                      <w:lang w:val="en-US" w:eastAsia="zh-CN"/>
                    </w:rPr>
                    <w:t>7</w:t>
                  </w:r>
                  <w:r>
                    <w:rPr>
                      <w:rFonts w:hint="eastAsia" w:ascii="宋体" w:hAnsi="宋体" w:eastAsia="宋体" w:cs="宋体"/>
                      <w:bCs/>
                      <w:sz w:val="24"/>
                      <w:szCs w:val="24"/>
                    </w:rPr>
                    <w:t>年</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一、主营业务收入</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3632.28</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4452.81</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4720.80</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 xml:space="preserve">  减:主营业务成本</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2657.73</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2362.77</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2108.11</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 xml:space="preserve">     主营业务税金及附</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0.00</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0.00</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0.00</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 xml:space="preserve">     营业费用</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354.72</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286.58</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530.59</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二、主营业务利润</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619.83</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1803.46</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2082.1</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 xml:space="preserve">  减:管理费用</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723.97</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795.27</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1062.06</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 xml:space="preserve">     财务费用</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139.33</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208.10</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91.68</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三、营业利润</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-243.48</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800.09</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928.36</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 xml:space="preserve">  加:营业外收入</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1232.82</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38.31</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0.35</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 xml:space="preserve">  减:营业外支出</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3.90</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15.37</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0.00</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四、利润总额</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985.44</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823.03</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928.71</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895" w:type="dxa"/>
                  <w:tcBorders>
                    <w:left w:val="single" w:color="auto" w:sz="4" w:space="0"/>
                  </w:tcBorders>
                </w:tcPr>
                <w:p>
                  <w:pPr>
                    <w:ind w:firstLine="240" w:firstLineChars="100"/>
                    <w:rPr>
                      <w:rFonts w:hint="eastAsia" w:ascii="宋体" w:hAnsi="宋体" w:eastAsia="宋体" w:cs="宋体"/>
                      <w:bCs/>
                      <w:sz w:val="24"/>
                      <w:szCs w:val="24"/>
                    </w:rPr>
                  </w:pPr>
                  <w:r>
                    <w:rPr>
                      <w:rFonts w:hint="eastAsia" w:ascii="宋体" w:hAnsi="宋体" w:eastAsia="宋体" w:cs="宋体"/>
                      <w:bCs/>
                      <w:sz w:val="24"/>
                      <w:szCs w:val="24"/>
                    </w:rPr>
                    <w:t>减:所得税</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10.00</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0.00</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0.00</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五、净利润</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975.44</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823.03</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928.71</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 xml:space="preserve">  销售利润率（%）</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7.9</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8.1</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8.0</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六、资产总额（期末）</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4994.34</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5221.19</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5877.55</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七、负债总额（期末）</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3449.35</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3193.99</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2846.58</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tcBorders>
                </w:tcPr>
                <w:p>
                  <w:pPr>
                    <w:ind w:firstLine="480" w:firstLineChars="200"/>
                    <w:rPr>
                      <w:rFonts w:hint="eastAsia" w:ascii="宋体" w:hAnsi="宋体" w:eastAsia="宋体" w:cs="宋体"/>
                      <w:bCs/>
                      <w:sz w:val="24"/>
                      <w:szCs w:val="24"/>
                    </w:rPr>
                  </w:pPr>
                  <w:r>
                    <w:rPr>
                      <w:rFonts w:hint="eastAsia" w:ascii="宋体" w:hAnsi="宋体" w:eastAsia="宋体" w:cs="宋体"/>
                      <w:bCs/>
                      <w:sz w:val="24"/>
                      <w:szCs w:val="24"/>
                    </w:rPr>
                    <w:t>其中：付息债务</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575.78</w:t>
                  </w:r>
                </w:p>
              </w:tc>
              <w:tc>
                <w:tcPr>
                  <w:tcW w:w="1671" w:type="dxa"/>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571.63</w:t>
                  </w:r>
                </w:p>
              </w:tc>
              <w:tc>
                <w:tcPr>
                  <w:tcW w:w="1671" w:type="dxa"/>
                  <w:tcBorders>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1500.00</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Borders>
                    <w:left w:val="single" w:color="auto" w:sz="4" w:space="0"/>
                    <w:bottom w:val="single" w:color="auto" w:sz="4" w:space="0"/>
                  </w:tcBorders>
                </w:tcPr>
                <w:p>
                  <w:pPr>
                    <w:rPr>
                      <w:rFonts w:hint="eastAsia" w:ascii="宋体" w:hAnsi="宋体" w:eastAsia="宋体" w:cs="宋体"/>
                      <w:bCs/>
                      <w:sz w:val="24"/>
                      <w:szCs w:val="24"/>
                    </w:rPr>
                  </w:pPr>
                  <w:r>
                    <w:rPr>
                      <w:rFonts w:hint="eastAsia" w:ascii="宋体" w:hAnsi="宋体" w:eastAsia="宋体" w:cs="宋体"/>
                      <w:bCs/>
                      <w:sz w:val="24"/>
                      <w:szCs w:val="24"/>
                    </w:rPr>
                    <w:t>十、净资产（期末）</w:t>
                  </w:r>
                </w:p>
              </w:tc>
              <w:tc>
                <w:tcPr>
                  <w:tcW w:w="1671" w:type="dxa"/>
                  <w:tcBorders>
                    <w:bottom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1544.99</w:t>
                  </w:r>
                </w:p>
              </w:tc>
              <w:tc>
                <w:tcPr>
                  <w:tcW w:w="1671" w:type="dxa"/>
                  <w:tcBorders>
                    <w:bottom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2027.20</w:t>
                  </w:r>
                </w:p>
              </w:tc>
              <w:tc>
                <w:tcPr>
                  <w:tcW w:w="1671" w:type="dxa"/>
                  <w:tcBorders>
                    <w:bottom w:val="single" w:color="auto" w:sz="4" w:space="0"/>
                    <w:right w:val="single" w:color="auto" w:sz="4" w:space="0"/>
                  </w:tcBorders>
                </w:tcPr>
                <w:p>
                  <w:pPr>
                    <w:ind w:right="162" w:rightChars="77"/>
                    <w:jc w:val="center"/>
                    <w:rPr>
                      <w:rFonts w:hint="eastAsia" w:ascii="宋体" w:hAnsi="宋体" w:eastAsia="宋体" w:cs="宋体"/>
                      <w:bCs/>
                      <w:sz w:val="24"/>
                      <w:szCs w:val="24"/>
                    </w:rPr>
                  </w:pPr>
                  <w:r>
                    <w:rPr>
                      <w:rFonts w:hint="eastAsia" w:ascii="宋体" w:hAnsi="宋体" w:eastAsia="宋体" w:cs="宋体"/>
                      <w:bCs/>
                      <w:sz w:val="24"/>
                      <w:szCs w:val="24"/>
                    </w:rPr>
                    <w:t>3030.97</w:t>
                  </w:r>
                </w:p>
              </w:tc>
            </w:tr>
          </w:tbl>
          <w:p>
            <w:pPr>
              <w:widowControl/>
              <w:spacing w:beforeLines="25" w:afterLines="25" w:line="300" w:lineRule="auto"/>
              <w:ind w:firstLine="482"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2.预测盐酸林可霉素产品的销售收入</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（1）收益预测分析</w:t>
            </w:r>
          </w:p>
          <w:p>
            <w:pPr>
              <w:keepNext w:val="0"/>
              <w:keepLines w:val="0"/>
              <w:pageBreakBefore w:val="0"/>
              <w:widowControl/>
              <w:kinsoku/>
              <w:wordWrap/>
              <w:overflowPunct/>
              <w:topLinePunct w:val="0"/>
              <w:autoSpaceDE/>
              <w:autoSpaceDN/>
              <w:bidi w:val="0"/>
              <w:adjustRightInd/>
              <w:snapToGrid/>
              <w:spacing w:beforeLines="25" w:afterLines="25" w:line="300" w:lineRule="auto"/>
              <w:ind w:firstLine="480" w:firstLineChars="200"/>
              <w:textAlignment w:val="auto"/>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委估无形资产收入是指盐酸林可霉素销售收入中所包含的由专利带来的收入，具体是指盐酸林可霉素的液体、片剂、胶囊等各项收入的合计收入。</w:t>
            </w:r>
          </w:p>
          <w:p>
            <w:pPr>
              <w:keepNext w:val="0"/>
              <w:keepLines w:val="0"/>
              <w:pageBreakBefore w:val="0"/>
              <w:widowControl/>
              <w:kinsoku/>
              <w:wordWrap/>
              <w:overflowPunct/>
              <w:topLinePunct w:val="0"/>
              <w:autoSpaceDE/>
              <w:autoSpaceDN/>
              <w:bidi w:val="0"/>
              <w:adjustRightInd/>
              <w:snapToGrid/>
              <w:spacing w:beforeLines="25" w:afterLines="25" w:line="300" w:lineRule="auto"/>
              <w:ind w:firstLine="480" w:firstLineChars="200"/>
              <w:textAlignment w:val="auto"/>
              <w:rPr>
                <w:rFonts w:hint="eastAsia" w:ascii="宋体" w:hAnsi="宋体" w:eastAsia="宋体" w:cs="宋体"/>
                <w:b w:val="0"/>
                <w:color w:val="auto"/>
                <w:kern w:val="40"/>
                <w:sz w:val="24"/>
                <w:szCs w:val="24"/>
                <w:lang w:val="en-US" w:eastAsia="zh-CN" w:bidi="ar-SA"/>
              </w:rPr>
            </w:pPr>
            <w:bookmarkStart w:id="6" w:name="_Toc339525542"/>
            <w:r>
              <w:rPr>
                <w:rFonts w:hint="eastAsia" w:ascii="宋体" w:hAnsi="宋体" w:eastAsia="宋体" w:cs="宋体"/>
                <w:b w:val="0"/>
                <w:color w:val="auto"/>
                <w:kern w:val="40"/>
                <w:sz w:val="24"/>
                <w:szCs w:val="24"/>
                <w:lang w:val="en-US" w:eastAsia="zh-CN" w:bidi="ar-SA"/>
              </w:rPr>
              <w:t>2018年我国抗生素产量达12.12万吨，出口3.43万吨，出口价值21.91亿美元，占整体原料药出口比重的9.53%，是我国原料药出口规模最大的品种，在国际市场中占有70%份额。当前，我国抗生素的主要竞争对手是印度，印度是目前最大的7-ACA（头孢菌素主要原料）加工基地与出口国之一，而我国则在青霉素、四环素、土霉素、庆大霉素、盐酸林可霉素（洁霉素）、链霉素、螺旋霉素等大宗发酵抗生素产品上占有优势。在未来几年内，由于国内抗生素产量巨大，全球市场几近饱和，主要抗生素类产品的价格除个别品种会有小幅调整外，绝大部分抗生素原料药难有价格回升空间。但是，一些小品种如培南类的高端抗生素产品仍将有一定的增长空间和较高的利润。</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近年来盐酸林可霉素发展迅速，年均增长约10%，价格持续上涨。在出口方面，2014年至2017年的三年快速增长，出口量从958吨跃升至1963吨，2018年盐酸林可霉素出口增速出现下降，出口总量达2078吨，出口价格依然坚挺，达到76.7美元/公斤。目前盐酸林可霉素市场行业前两家生产企业占有大部分市场份额，其中河南南阳普康是全球龙头，年产量2400吨，约占出口量的一半，其次为天方药业，年产能1300吨，约占出口量的四分之一。苏州第四制药厂主要是为自产克林霉素供货，现已被海翔药业收购。预测国际市场的销售不会出现大幅度波动，出口销售量基本稳定在2000吨左右。</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①国外市场销售情况</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根据国家食品药品监督管理局披露的资料，未来几年我国盐酸林可霉素的出口将在2000吨左右。按照目前G企业出口量在国内所占的份额，将有5%的市场份额，即有100吨的产品出口。具体情况见表3。</w:t>
            </w:r>
          </w:p>
          <w:p>
            <w:pPr>
              <w:widowControl/>
              <w:spacing w:beforeLines="25" w:afterLines="25" w:line="300" w:lineRule="auto"/>
              <w:ind w:firstLine="480" w:firstLineChars="200"/>
              <w:jc w:val="center"/>
              <w:rPr>
                <w:rFonts w:ascii="黑体" w:hAnsi="黑体" w:eastAsia="黑体" w:cs="黑体"/>
                <w:b/>
                <w:bCs/>
                <w:sz w:val="18"/>
                <w:szCs w:val="18"/>
              </w:rPr>
            </w:pPr>
            <w:r>
              <w:rPr>
                <w:rFonts w:hint="eastAsia" w:ascii="宋体" w:hAnsi="宋体" w:eastAsia="宋体" w:cs="宋体"/>
                <w:b w:val="0"/>
                <w:color w:val="auto"/>
                <w:kern w:val="40"/>
                <w:sz w:val="24"/>
                <w:szCs w:val="24"/>
                <w:lang w:val="en-US" w:eastAsia="zh-CN" w:bidi="ar-SA"/>
              </w:rPr>
              <w:t>表3  盐酸林可霉素出口及市场占有率情况</w:t>
            </w:r>
          </w:p>
          <w:tbl>
            <w:tblPr>
              <w:tblStyle w:val="7"/>
              <w:tblW w:w="8242"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60"/>
              <w:gridCol w:w="3130"/>
              <w:gridCol w:w="2335"/>
              <w:gridCol w:w="1417"/>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tcBorders>
                    <w:top w:val="single" w:color="auto" w:sz="4" w:space="0"/>
                    <w:left w:val="single" w:color="auto" w:sz="4" w:space="0"/>
                  </w:tcBorders>
                  <w:vAlign w:val="center"/>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厂家</w:t>
                  </w:r>
                </w:p>
              </w:tc>
              <w:tc>
                <w:tcPr>
                  <w:tcW w:w="3130" w:type="dxa"/>
                  <w:tcBorders>
                    <w:top w:val="single" w:color="auto" w:sz="4" w:space="0"/>
                  </w:tcBorders>
                  <w:vAlign w:val="center"/>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201</w:t>
                  </w:r>
                  <w:r>
                    <w:rPr>
                      <w:rFonts w:hint="eastAsia" w:ascii="宋体" w:hAnsi="宋体" w:eastAsia="宋体" w:cs="宋体"/>
                      <w:bCs/>
                      <w:kern w:val="0"/>
                      <w:sz w:val="24"/>
                      <w:szCs w:val="24"/>
                      <w:lang w:val="en-US" w:eastAsia="zh-CN"/>
                    </w:rPr>
                    <w:t>8</w:t>
                  </w:r>
                  <w:r>
                    <w:rPr>
                      <w:rFonts w:hint="eastAsia" w:ascii="宋体" w:hAnsi="宋体" w:eastAsia="宋体" w:cs="宋体"/>
                      <w:bCs/>
                      <w:kern w:val="0"/>
                      <w:sz w:val="24"/>
                      <w:szCs w:val="24"/>
                    </w:rPr>
                    <w:t>年出口量（美元/公斤）</w:t>
                  </w:r>
                </w:p>
              </w:tc>
              <w:tc>
                <w:tcPr>
                  <w:tcW w:w="2335" w:type="dxa"/>
                  <w:tcBorders>
                    <w:top w:val="single" w:color="auto" w:sz="4" w:space="0"/>
                  </w:tcBorders>
                  <w:vAlign w:val="center"/>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201</w:t>
                  </w:r>
                  <w:r>
                    <w:rPr>
                      <w:rFonts w:hint="eastAsia" w:ascii="宋体" w:hAnsi="宋体" w:eastAsia="宋体" w:cs="宋体"/>
                      <w:bCs/>
                      <w:kern w:val="0"/>
                      <w:sz w:val="24"/>
                      <w:szCs w:val="24"/>
                      <w:lang w:val="en-US" w:eastAsia="zh-CN"/>
                    </w:rPr>
                    <w:t>9</w:t>
                  </w:r>
                  <w:r>
                    <w:rPr>
                      <w:rFonts w:hint="eastAsia" w:ascii="宋体" w:hAnsi="宋体" w:eastAsia="宋体" w:cs="宋体"/>
                      <w:bCs/>
                      <w:kern w:val="0"/>
                      <w:sz w:val="24"/>
                      <w:szCs w:val="24"/>
                    </w:rPr>
                    <w:t>年出口量（吨）</w:t>
                  </w:r>
                </w:p>
              </w:tc>
              <w:tc>
                <w:tcPr>
                  <w:tcW w:w="1417" w:type="dxa"/>
                  <w:tcBorders>
                    <w:top w:val="single" w:color="auto" w:sz="4" w:space="0"/>
                    <w:right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市场占有率（%）</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tcBorders>
                    <w:left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河南</w:t>
                  </w:r>
                  <w:r>
                    <w:rPr>
                      <w:rFonts w:hint="eastAsia" w:ascii="宋体" w:hAnsi="宋体" w:eastAsia="宋体" w:cs="宋体"/>
                      <w:bCs/>
                      <w:color w:val="000000"/>
                      <w:kern w:val="0"/>
                      <w:sz w:val="24"/>
                      <w:szCs w:val="24"/>
                    </w:rPr>
                    <w:t>普康</w:t>
                  </w:r>
                </w:p>
              </w:tc>
              <w:tc>
                <w:tcPr>
                  <w:tcW w:w="3130"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76</w:t>
                  </w:r>
                </w:p>
              </w:tc>
              <w:tc>
                <w:tcPr>
                  <w:tcW w:w="2335"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1000</w:t>
                  </w:r>
                </w:p>
              </w:tc>
              <w:tc>
                <w:tcPr>
                  <w:tcW w:w="1417" w:type="dxa"/>
                  <w:tcBorders>
                    <w:right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50</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tcBorders>
                    <w:left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color w:val="000000"/>
                      <w:kern w:val="0"/>
                      <w:sz w:val="24"/>
                      <w:szCs w:val="24"/>
                    </w:rPr>
                    <w:t>天方药业</w:t>
                  </w:r>
                </w:p>
              </w:tc>
              <w:tc>
                <w:tcPr>
                  <w:tcW w:w="3130"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76</w:t>
                  </w:r>
                </w:p>
              </w:tc>
              <w:tc>
                <w:tcPr>
                  <w:tcW w:w="2335"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500</w:t>
                  </w:r>
                </w:p>
              </w:tc>
              <w:tc>
                <w:tcPr>
                  <w:tcW w:w="1417" w:type="dxa"/>
                  <w:tcBorders>
                    <w:right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25</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tcBorders>
                    <w:left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G企业</w:t>
                  </w:r>
                </w:p>
              </w:tc>
              <w:tc>
                <w:tcPr>
                  <w:tcW w:w="3130"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76</w:t>
                  </w:r>
                </w:p>
              </w:tc>
              <w:tc>
                <w:tcPr>
                  <w:tcW w:w="2335"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100</w:t>
                  </w:r>
                </w:p>
              </w:tc>
              <w:tc>
                <w:tcPr>
                  <w:tcW w:w="1417" w:type="dxa"/>
                  <w:tcBorders>
                    <w:right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5</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tcBorders>
                    <w:left w:val="single" w:color="auto" w:sz="4" w:space="0"/>
                    <w:bottom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其他企业</w:t>
                  </w:r>
                </w:p>
              </w:tc>
              <w:tc>
                <w:tcPr>
                  <w:tcW w:w="3130" w:type="dxa"/>
                  <w:tcBorders>
                    <w:bottom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76</w:t>
                  </w:r>
                </w:p>
              </w:tc>
              <w:tc>
                <w:tcPr>
                  <w:tcW w:w="2335" w:type="dxa"/>
                  <w:tcBorders>
                    <w:bottom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400</w:t>
                  </w:r>
                </w:p>
              </w:tc>
              <w:tc>
                <w:tcPr>
                  <w:tcW w:w="1417" w:type="dxa"/>
                  <w:tcBorders>
                    <w:bottom w:val="single" w:color="auto" w:sz="4" w:space="0"/>
                    <w:right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20</w:t>
                  </w:r>
                </w:p>
              </w:tc>
            </w:tr>
          </w:tbl>
          <w:p>
            <w:pPr>
              <w:jc w:val="center"/>
              <w:rPr>
                <w:rFonts w:ascii="宋体" w:hAnsi="宋体"/>
                <w:szCs w:val="21"/>
              </w:rPr>
            </w:pP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②内销市场发展规划</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这里假定G企业未来的公司战略没有发生重大变化，根据G企业的历史销售收入，预测未来若干年的销售收入将稳定在前三年的水平，未来年份的价格也根据前三年的平均水平确定，具体预测如表4、表5所示。</w:t>
            </w:r>
          </w:p>
          <w:p>
            <w:pPr>
              <w:spacing w:line="440" w:lineRule="exact"/>
              <w:ind w:firstLine="480" w:firstLineChars="200"/>
              <w:jc w:val="center"/>
              <w:rPr>
                <w:rFonts w:ascii="黑体" w:hAnsi="黑体" w:eastAsia="黑体" w:cs="黑体"/>
                <w:b/>
                <w:bCs/>
                <w:sz w:val="18"/>
                <w:szCs w:val="18"/>
              </w:rPr>
            </w:pPr>
            <w:r>
              <w:rPr>
                <w:rFonts w:hint="eastAsia" w:ascii="宋体" w:hAnsi="宋体" w:eastAsia="宋体" w:cs="宋体"/>
                <w:b w:val="0"/>
                <w:color w:val="auto"/>
                <w:kern w:val="40"/>
                <w:sz w:val="24"/>
                <w:szCs w:val="24"/>
                <w:lang w:val="en-US" w:eastAsia="zh-CN" w:bidi="ar-SA"/>
              </w:rPr>
              <w:t>表4    内销市场销售情况统计表</w:t>
            </w:r>
          </w:p>
          <w:tbl>
            <w:tblPr>
              <w:tblStyle w:val="7"/>
              <w:tblW w:w="7847"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1310"/>
              <w:gridCol w:w="1382"/>
              <w:gridCol w:w="1315"/>
              <w:gridCol w:w="1425"/>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415" w:type="dxa"/>
                  <w:tcBorders>
                    <w:top w:val="single" w:color="auto" w:sz="4" w:space="0"/>
                    <w:left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年    度</w:t>
                  </w:r>
                </w:p>
              </w:tc>
              <w:tc>
                <w:tcPr>
                  <w:tcW w:w="1310" w:type="dxa"/>
                  <w:tcBorders>
                    <w:top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201</w:t>
                  </w:r>
                  <w:r>
                    <w:rPr>
                      <w:rFonts w:hint="eastAsia" w:ascii="宋体" w:hAnsi="宋体" w:eastAsia="宋体" w:cs="宋体"/>
                      <w:bCs/>
                      <w:kern w:val="0"/>
                      <w:sz w:val="24"/>
                      <w:szCs w:val="24"/>
                      <w:lang w:val="en-US" w:eastAsia="zh-CN"/>
                    </w:rPr>
                    <w:t>6</w:t>
                  </w:r>
                  <w:r>
                    <w:rPr>
                      <w:rFonts w:hint="eastAsia" w:ascii="宋体" w:hAnsi="宋体" w:eastAsia="宋体" w:cs="宋体"/>
                      <w:bCs/>
                      <w:kern w:val="0"/>
                      <w:sz w:val="24"/>
                      <w:szCs w:val="24"/>
                    </w:rPr>
                    <w:t>年</w:t>
                  </w:r>
                </w:p>
              </w:tc>
              <w:tc>
                <w:tcPr>
                  <w:tcW w:w="1382" w:type="dxa"/>
                  <w:tcBorders>
                    <w:top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201</w:t>
                  </w:r>
                  <w:r>
                    <w:rPr>
                      <w:rFonts w:hint="eastAsia" w:ascii="宋体" w:hAnsi="宋体" w:eastAsia="宋体" w:cs="宋体"/>
                      <w:bCs/>
                      <w:kern w:val="0"/>
                      <w:sz w:val="24"/>
                      <w:szCs w:val="24"/>
                      <w:lang w:val="en-US" w:eastAsia="zh-CN"/>
                    </w:rPr>
                    <w:t>7</w:t>
                  </w:r>
                  <w:r>
                    <w:rPr>
                      <w:rFonts w:hint="eastAsia" w:ascii="宋体" w:hAnsi="宋体" w:eastAsia="宋体" w:cs="宋体"/>
                      <w:bCs/>
                      <w:kern w:val="0"/>
                      <w:sz w:val="24"/>
                      <w:szCs w:val="24"/>
                    </w:rPr>
                    <w:t>年</w:t>
                  </w:r>
                </w:p>
              </w:tc>
              <w:tc>
                <w:tcPr>
                  <w:tcW w:w="1315" w:type="dxa"/>
                  <w:tcBorders>
                    <w:top w:val="single" w:color="auto" w:sz="4" w:space="0"/>
                  </w:tcBorders>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201</w:t>
                  </w:r>
                  <w:r>
                    <w:rPr>
                      <w:rFonts w:hint="eastAsia" w:ascii="宋体" w:hAnsi="宋体" w:eastAsia="宋体" w:cs="宋体"/>
                      <w:bCs/>
                      <w:kern w:val="0"/>
                      <w:sz w:val="24"/>
                      <w:szCs w:val="24"/>
                      <w:lang w:val="en-US" w:eastAsia="zh-CN"/>
                    </w:rPr>
                    <w:t>8</w:t>
                  </w:r>
                  <w:r>
                    <w:rPr>
                      <w:rFonts w:hint="eastAsia" w:ascii="宋体" w:hAnsi="宋体" w:eastAsia="宋体" w:cs="宋体"/>
                      <w:bCs/>
                      <w:kern w:val="0"/>
                      <w:sz w:val="24"/>
                      <w:szCs w:val="24"/>
                    </w:rPr>
                    <w:t>年</w:t>
                  </w:r>
                </w:p>
              </w:tc>
              <w:tc>
                <w:tcPr>
                  <w:tcW w:w="1425" w:type="dxa"/>
                  <w:tcBorders>
                    <w:top w:val="single" w:color="auto" w:sz="4" w:space="0"/>
                    <w:right w:val="single" w:color="auto" w:sz="4" w:space="0"/>
                  </w:tcBorders>
                </w:tcPr>
                <w:p>
                  <w:pPr>
                    <w:jc w:val="center"/>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rPr>
                    <w:t>预测201</w:t>
                  </w:r>
                  <w:r>
                    <w:rPr>
                      <w:rFonts w:hint="eastAsia" w:ascii="宋体" w:hAnsi="宋体" w:eastAsia="宋体" w:cs="宋体"/>
                      <w:bCs/>
                      <w:color w:val="000000"/>
                      <w:sz w:val="24"/>
                      <w:szCs w:val="24"/>
                      <w:lang w:val="en-US" w:eastAsia="zh-CN"/>
                    </w:rPr>
                    <w:t>9</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415" w:type="dxa"/>
                  <w:tcBorders>
                    <w:left w:val="single" w:color="auto" w:sz="4" w:space="0"/>
                  </w:tcBorders>
                </w:tcPr>
                <w:p>
                  <w:pPr>
                    <w:rPr>
                      <w:rFonts w:hint="eastAsia" w:ascii="宋体" w:hAnsi="宋体" w:eastAsia="宋体" w:cs="宋体"/>
                      <w:bCs/>
                      <w:kern w:val="0"/>
                      <w:sz w:val="24"/>
                      <w:szCs w:val="24"/>
                    </w:rPr>
                  </w:pPr>
                  <w:r>
                    <w:rPr>
                      <w:rFonts w:hint="eastAsia" w:ascii="宋体" w:hAnsi="宋体" w:eastAsia="宋体" w:cs="宋体"/>
                      <w:bCs/>
                      <w:kern w:val="0"/>
                      <w:sz w:val="24"/>
                      <w:szCs w:val="24"/>
                    </w:rPr>
                    <w:t>国内销售量（吨）</w:t>
                  </w:r>
                </w:p>
              </w:tc>
              <w:tc>
                <w:tcPr>
                  <w:tcW w:w="1310"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120</w:t>
                  </w:r>
                </w:p>
              </w:tc>
              <w:tc>
                <w:tcPr>
                  <w:tcW w:w="1382"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117</w:t>
                  </w:r>
                </w:p>
              </w:tc>
              <w:tc>
                <w:tcPr>
                  <w:tcW w:w="1315"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122</w:t>
                  </w:r>
                </w:p>
              </w:tc>
              <w:tc>
                <w:tcPr>
                  <w:tcW w:w="1425" w:type="dxa"/>
                  <w:tcBorders>
                    <w:right w:val="single" w:color="auto" w:sz="4" w:space="0"/>
                  </w:tcBorders>
                </w:tcPr>
                <w:p>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119.67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415" w:type="dxa"/>
                  <w:tcBorders>
                    <w:left w:val="single" w:color="auto" w:sz="4" w:space="0"/>
                  </w:tcBorders>
                </w:tcPr>
                <w:p>
                  <w:pPr>
                    <w:rPr>
                      <w:rFonts w:hint="eastAsia" w:ascii="宋体" w:hAnsi="宋体" w:eastAsia="宋体" w:cs="宋体"/>
                      <w:bCs/>
                      <w:kern w:val="0"/>
                      <w:sz w:val="24"/>
                      <w:szCs w:val="24"/>
                    </w:rPr>
                  </w:pPr>
                  <w:r>
                    <w:rPr>
                      <w:rFonts w:hint="eastAsia" w:ascii="宋体" w:hAnsi="宋体" w:eastAsia="宋体" w:cs="宋体"/>
                      <w:bCs/>
                      <w:kern w:val="0"/>
                      <w:sz w:val="24"/>
                      <w:szCs w:val="24"/>
                    </w:rPr>
                    <w:t>国内销售收入（万元）</w:t>
                  </w:r>
                </w:p>
              </w:tc>
              <w:tc>
                <w:tcPr>
                  <w:tcW w:w="1310"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4100</w:t>
                  </w:r>
                </w:p>
              </w:tc>
              <w:tc>
                <w:tcPr>
                  <w:tcW w:w="1382"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4245</w:t>
                  </w:r>
                </w:p>
              </w:tc>
              <w:tc>
                <w:tcPr>
                  <w:tcW w:w="1315" w:type="dxa"/>
                </w:tcPr>
                <w:p>
                  <w:pPr>
                    <w:jc w:val="center"/>
                    <w:rPr>
                      <w:rFonts w:hint="eastAsia" w:ascii="宋体" w:hAnsi="宋体" w:eastAsia="宋体" w:cs="宋体"/>
                      <w:bCs/>
                      <w:kern w:val="0"/>
                      <w:sz w:val="24"/>
                      <w:szCs w:val="24"/>
                    </w:rPr>
                  </w:pPr>
                  <w:r>
                    <w:rPr>
                      <w:rFonts w:hint="eastAsia" w:ascii="宋体" w:hAnsi="宋体" w:eastAsia="宋体" w:cs="宋体"/>
                      <w:bCs/>
                      <w:kern w:val="0"/>
                      <w:sz w:val="24"/>
                      <w:szCs w:val="24"/>
                    </w:rPr>
                    <w:t>4300</w:t>
                  </w:r>
                </w:p>
              </w:tc>
              <w:tc>
                <w:tcPr>
                  <w:tcW w:w="1425" w:type="dxa"/>
                  <w:tcBorders>
                    <w:right w:val="single" w:color="auto" w:sz="4" w:space="0"/>
                  </w:tcBorders>
                </w:tcPr>
                <w:p>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4215</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2415" w:type="dxa"/>
                  <w:tcBorders>
                    <w:left w:val="single" w:color="auto" w:sz="4" w:space="0"/>
                    <w:bottom w:val="single" w:color="auto" w:sz="4" w:space="0"/>
                  </w:tcBorders>
                </w:tcPr>
                <w:p>
                  <w:pPr>
                    <w:rPr>
                      <w:rFonts w:hint="eastAsia" w:ascii="宋体" w:hAnsi="宋体" w:eastAsia="宋体" w:cs="宋体"/>
                      <w:bCs/>
                      <w:kern w:val="0"/>
                      <w:sz w:val="24"/>
                      <w:szCs w:val="24"/>
                    </w:rPr>
                  </w:pPr>
                  <w:r>
                    <w:rPr>
                      <w:rFonts w:hint="eastAsia" w:ascii="宋体" w:hAnsi="宋体" w:eastAsia="宋体" w:cs="宋体"/>
                      <w:bCs/>
                      <w:kern w:val="0"/>
                      <w:sz w:val="24"/>
                      <w:szCs w:val="24"/>
                    </w:rPr>
                    <w:t>平均单价（万元/吨）</w:t>
                  </w:r>
                </w:p>
              </w:tc>
              <w:tc>
                <w:tcPr>
                  <w:tcW w:w="1310" w:type="dxa"/>
                  <w:tcBorders>
                    <w:bottom w:val="single" w:color="auto" w:sz="4" w:space="0"/>
                  </w:tcBorders>
                </w:tcPr>
                <w:p>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34.17 </w:t>
                  </w:r>
                </w:p>
              </w:tc>
              <w:tc>
                <w:tcPr>
                  <w:tcW w:w="1382" w:type="dxa"/>
                  <w:tcBorders>
                    <w:bottom w:val="single" w:color="auto" w:sz="4" w:space="0"/>
                  </w:tcBorders>
                </w:tcPr>
                <w:p>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36.28 </w:t>
                  </w:r>
                </w:p>
              </w:tc>
              <w:tc>
                <w:tcPr>
                  <w:tcW w:w="1315" w:type="dxa"/>
                  <w:tcBorders>
                    <w:bottom w:val="single" w:color="auto" w:sz="4" w:space="0"/>
                  </w:tcBorders>
                </w:tcPr>
                <w:p>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35.25 </w:t>
                  </w:r>
                </w:p>
              </w:tc>
              <w:tc>
                <w:tcPr>
                  <w:tcW w:w="1425" w:type="dxa"/>
                  <w:tcBorders>
                    <w:bottom w:val="single" w:color="auto" w:sz="4" w:space="0"/>
                    <w:right w:val="single" w:color="auto" w:sz="4" w:space="0"/>
                  </w:tcBorders>
                </w:tcPr>
                <w:p>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35.23 </w:t>
                  </w:r>
                </w:p>
              </w:tc>
            </w:tr>
          </w:tbl>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则江西国药有限责任公司2019年总的销售收入为：国内销售收入+国外销售收入</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=4215+100×6.4×76×1000÷10000</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=9080.22万元。</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（2）无形资产经济寿命的确定</w:t>
            </w:r>
            <w:bookmarkEnd w:id="6"/>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专利权的经济寿命一般取决于行业技术的更新速度、技术的领先程度、法律或者行政保护强度。由于科学技术是不断发展的，一种新的、更为先进的技术出现时，通常会使原有技术资产发生贬值。同时，影响技术寿命的因素是多种多样的，主要有法规（合同）年限、保密状况、产品更新周期、可替代性以及市场竞争情况等。</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专利权的经济寿命可以根据技术的更新周期评估剩余经济年限。技术的更新周期有两个参照系：一是产品更新周期，在一些高技术和新兴产业，科学技术进步往往很快转化为新的产品的更新换代。例如微型计算机每2～3年就会开发出新的型号；二是技术更新周期，即新一代技术的出现替代现有技术的时间。具体测算时，通常根据同类技术资产的历史经验数据，运用预测手段来分析。</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bookmarkStart w:id="7" w:name="_Toc339525543"/>
            <w:bookmarkStart w:id="8" w:name="_Toc252451825"/>
            <w:bookmarkStart w:id="9" w:name="_Toc252452135"/>
            <w:bookmarkStart w:id="10" w:name="_Toc223368393"/>
            <w:r>
              <w:rPr>
                <w:rFonts w:hint="eastAsia" w:ascii="宋体" w:hAnsi="宋体" w:eastAsia="宋体" w:cs="宋体"/>
                <w:b w:val="0"/>
                <w:color w:val="auto"/>
                <w:kern w:val="40"/>
                <w:sz w:val="24"/>
                <w:szCs w:val="24"/>
                <w:lang w:val="en-US" w:eastAsia="zh-CN" w:bidi="ar-SA"/>
              </w:rPr>
              <w:t>根据我国《专利法》规定，从提交专利的申请日开始计算，发明专利保护期限是20年，截止到评估基准日，委估专利剩余保护年限为14年零10个月。如果从经济寿命的角度出发，考虑到盐酸林可霉素的市场销售情况，确定委估专利的经济寿命为评估基准日后10年。按照法律保护寿命和技术经济寿命孰短原则，本次评估的剩余收益年限为10年。</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3.销售收入净分成率的选取</w:t>
            </w:r>
            <w:bookmarkEnd w:id="7"/>
            <w:bookmarkEnd w:id="8"/>
            <w:bookmarkEnd w:id="9"/>
            <w:bookmarkEnd w:id="10"/>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在一个公司的经营中，管理、技术、人力、物力、财力以及其他资产必需共同发挥作用。知识产权作为特定的生产要素，对公司的收益产生贡献，这是其参与企业收益分配的理论依据。本次评估选取华东医药、康恩贝、奇正藏药三家上市公司作为对比公司，根据上市公司的经营数据，提取销售收入分成率。对比公司介绍如下：</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 xml:space="preserve">对比公司一：华东医药股份有限公司，股票简称：华东医药，股票代码：000963，于2000年1月27日于深交所上市，主营业务：药品的生产、经营（具体范围见许可证，涉及危险品的限下属分支机构凭证经营）；消字号及杀字号及杀字号用品、医疗器械、玻璃仪器、日用化学品、家用电器、农副产品（不含食品）、百货、土特产品、工艺美术品、针纺织品的销售；医疗器械、实验仪器、诊断仪器的维修和化妆品、化学试剂、健字号滋补品、保健品的销售；仓储服务；经营进出口业务。 </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对比公司二：浙江康恩贝制药股份有限公司，股票简称：康恩贝，股票代码：600572，于2004年3月29日于上交所上市，主营业务：化学原料药，化学药剂，中成药。药品生产范围：片剂、硬胶囊剂、颗粒剂、滴鼻剂、喷雾剂、软膏剂、乳膏剂、凝胶剂、糖浆剂、小容量注射剂、合剂（含口服液）、中药提取物（银杏叶提取物）、搽剂、口服溶液剂。中药饮片(净制、切制、炮炙）、含毒性中药材加工、直接口服中药饮片、免煎颗粒饮片)的生产、销售，地产中药材的收购和销售，初级农产品的销售。</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对比公司三：西藏奇正藏药股份有限公司，股票简称：奇正藏药，股票代码：002287，于2009年8月28日于深交所上市，主营业务：药材收购加工；进出口贸易；贴膏剂、软膏剂、颗粒剂、丸剂、散剂开发生产。</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根据上述三家对比公司2016～2018年的财务报告，得到对比公司的资本结构如表5所示。</w:t>
            </w:r>
          </w:p>
          <w:p>
            <w:pPr>
              <w:tabs>
                <w:tab w:val="left" w:pos="420"/>
                <w:tab w:val="left" w:pos="540"/>
              </w:tabs>
              <w:spacing w:line="440" w:lineRule="exact"/>
              <w:ind w:firstLine="480" w:firstLineChars="200"/>
              <w:jc w:val="center"/>
              <w:rPr>
                <w:rFonts w:ascii="黑体" w:hAnsi="黑体" w:eastAsia="黑体" w:cs="黑体"/>
                <w:b/>
                <w:bCs/>
                <w:sz w:val="18"/>
                <w:szCs w:val="18"/>
              </w:rPr>
            </w:pPr>
            <w:r>
              <w:rPr>
                <w:rFonts w:hint="eastAsia" w:ascii="宋体" w:hAnsi="宋体" w:eastAsia="宋体" w:cs="宋体"/>
                <w:b w:val="0"/>
                <w:color w:val="auto"/>
                <w:kern w:val="40"/>
                <w:sz w:val="24"/>
                <w:szCs w:val="24"/>
                <w:lang w:val="en-US" w:eastAsia="zh-CN" w:bidi="ar-SA"/>
              </w:rPr>
              <w:t>表5    对比公司2011～2013年的财务报告</w:t>
            </w:r>
          </w:p>
          <w:tbl>
            <w:tblPr>
              <w:tblStyle w:val="7"/>
              <w:tblW w:w="80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6"/>
              <w:gridCol w:w="1245"/>
              <w:gridCol w:w="1067"/>
              <w:gridCol w:w="1065"/>
              <w:gridCol w:w="1065"/>
              <w:gridCol w:w="1173"/>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366"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w:t>
                  </w:r>
                </w:p>
              </w:tc>
              <w:tc>
                <w:tcPr>
                  <w:tcW w:w="124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对比公司名称</w:t>
                  </w:r>
                </w:p>
              </w:tc>
              <w:tc>
                <w:tcPr>
                  <w:tcW w:w="106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rPr>
                    <w:t>年（%）</w:t>
                  </w:r>
                </w:p>
              </w:tc>
              <w:tc>
                <w:tcPr>
                  <w:tcW w:w="106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年（%）</w:t>
                  </w:r>
                </w:p>
              </w:tc>
              <w:tc>
                <w:tcPr>
                  <w:tcW w:w="106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rPr>
                    <w:t>年（%）</w:t>
                  </w:r>
                </w:p>
              </w:tc>
              <w:tc>
                <w:tcPr>
                  <w:tcW w:w="1173" w:type="dxa"/>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三年平均（%）</w:t>
                  </w:r>
                </w:p>
              </w:tc>
              <w:tc>
                <w:tcPr>
                  <w:tcW w:w="1066" w:type="dxa"/>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366" w:type="dxa"/>
                  <w:vMerge w:val="restart"/>
                  <w:vAlign w:val="center"/>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营运资金比例</w:t>
                  </w:r>
                </w:p>
              </w:tc>
              <w:tc>
                <w:tcPr>
                  <w:tcW w:w="124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华东医药</w:t>
                  </w:r>
                </w:p>
              </w:tc>
              <w:tc>
                <w:tcPr>
                  <w:tcW w:w="1067" w:type="dxa"/>
                  <w:vAlign w:val="center"/>
                </w:tcPr>
                <w:p>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17.3</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18.6</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21.8</w:t>
                  </w:r>
                </w:p>
              </w:tc>
              <w:tc>
                <w:tcPr>
                  <w:tcW w:w="117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19.2</w:t>
                  </w:r>
                </w:p>
              </w:tc>
              <w:tc>
                <w:tcPr>
                  <w:tcW w:w="1066" w:type="dxa"/>
                  <w:vMerge w:val="restart"/>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366" w:type="dxa"/>
                  <w:vMerge w:val="continue"/>
                  <w:vAlign w:val="center"/>
                </w:tcPr>
                <w:p>
                  <w:pPr>
                    <w:widowControl/>
                    <w:jc w:val="left"/>
                    <w:rPr>
                      <w:rFonts w:hint="eastAsia" w:ascii="宋体" w:hAnsi="宋体" w:eastAsia="宋体" w:cs="宋体"/>
                      <w:color w:val="000000"/>
                      <w:kern w:val="0"/>
                      <w:sz w:val="24"/>
                      <w:szCs w:val="24"/>
                    </w:rPr>
                  </w:pPr>
                </w:p>
              </w:tc>
              <w:tc>
                <w:tcPr>
                  <w:tcW w:w="124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康恩贝</w:t>
                  </w:r>
                </w:p>
              </w:tc>
              <w:tc>
                <w:tcPr>
                  <w:tcW w:w="106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16.7</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28.4</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28.3</w:t>
                  </w:r>
                </w:p>
              </w:tc>
              <w:tc>
                <w:tcPr>
                  <w:tcW w:w="117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24.4</w:t>
                  </w:r>
                </w:p>
              </w:tc>
              <w:tc>
                <w:tcPr>
                  <w:tcW w:w="1066" w:type="dxa"/>
                  <w:vMerge w:val="continue"/>
                  <w:vAlign w:val="center"/>
                </w:tcPr>
                <w:p>
                  <w:pPr>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366" w:type="dxa"/>
                  <w:vMerge w:val="continue"/>
                  <w:vAlign w:val="center"/>
                </w:tcPr>
                <w:p>
                  <w:pPr>
                    <w:widowControl/>
                    <w:jc w:val="left"/>
                    <w:rPr>
                      <w:rFonts w:hint="eastAsia" w:ascii="宋体" w:hAnsi="宋体" w:eastAsia="宋体" w:cs="宋体"/>
                      <w:color w:val="000000"/>
                      <w:kern w:val="0"/>
                      <w:sz w:val="24"/>
                      <w:szCs w:val="24"/>
                    </w:rPr>
                  </w:pPr>
                </w:p>
              </w:tc>
              <w:tc>
                <w:tcPr>
                  <w:tcW w:w="124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奇正藏药</w:t>
                  </w:r>
                </w:p>
              </w:tc>
              <w:tc>
                <w:tcPr>
                  <w:tcW w:w="106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15.9</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22.9</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w:t>
                  </w:r>
                </w:p>
              </w:tc>
              <w:tc>
                <w:tcPr>
                  <w:tcW w:w="117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19.3</w:t>
                  </w:r>
                </w:p>
              </w:tc>
              <w:tc>
                <w:tcPr>
                  <w:tcW w:w="1066" w:type="dxa"/>
                  <w:vMerge w:val="continue"/>
                  <w:vAlign w:val="center"/>
                </w:tcPr>
                <w:p>
                  <w:pPr>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366" w:type="dxa"/>
                  <w:vMerge w:val="restart"/>
                  <w:vAlign w:val="center"/>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有形非流动资产比例</w:t>
                  </w:r>
                </w:p>
              </w:tc>
              <w:tc>
                <w:tcPr>
                  <w:tcW w:w="124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华东医药</w:t>
                  </w:r>
                </w:p>
              </w:tc>
              <w:tc>
                <w:tcPr>
                  <w:tcW w:w="1067" w:type="dxa"/>
                  <w:vAlign w:val="center"/>
                </w:tcPr>
                <w:p>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8.4</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9.2</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9.0</w:t>
                  </w:r>
                </w:p>
              </w:tc>
              <w:tc>
                <w:tcPr>
                  <w:tcW w:w="117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8.9</w:t>
                  </w:r>
                </w:p>
              </w:tc>
              <w:tc>
                <w:tcPr>
                  <w:tcW w:w="1066" w:type="dxa"/>
                  <w:vMerge w:val="restart"/>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366" w:type="dxa"/>
                  <w:vMerge w:val="continue"/>
                  <w:vAlign w:val="center"/>
                </w:tcPr>
                <w:p>
                  <w:pPr>
                    <w:widowControl/>
                    <w:jc w:val="left"/>
                    <w:rPr>
                      <w:rFonts w:hint="eastAsia" w:ascii="宋体" w:hAnsi="宋体" w:eastAsia="宋体" w:cs="宋体"/>
                      <w:color w:val="000000"/>
                      <w:kern w:val="0"/>
                      <w:sz w:val="24"/>
                      <w:szCs w:val="24"/>
                    </w:rPr>
                  </w:pPr>
                </w:p>
              </w:tc>
              <w:tc>
                <w:tcPr>
                  <w:tcW w:w="124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康恩贝</w:t>
                  </w:r>
                </w:p>
              </w:tc>
              <w:tc>
                <w:tcPr>
                  <w:tcW w:w="106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22.0</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23.1</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29.3</w:t>
                  </w:r>
                </w:p>
              </w:tc>
              <w:tc>
                <w:tcPr>
                  <w:tcW w:w="117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24.8</w:t>
                  </w:r>
                </w:p>
              </w:tc>
              <w:tc>
                <w:tcPr>
                  <w:tcW w:w="1066" w:type="dxa"/>
                  <w:vMerge w:val="continue"/>
                  <w:vAlign w:val="center"/>
                </w:tcPr>
                <w:p>
                  <w:pPr>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366" w:type="dxa"/>
                  <w:vMerge w:val="continue"/>
                  <w:vAlign w:val="center"/>
                </w:tcPr>
                <w:p>
                  <w:pPr>
                    <w:widowControl/>
                    <w:jc w:val="left"/>
                    <w:rPr>
                      <w:rFonts w:hint="eastAsia" w:ascii="宋体" w:hAnsi="宋体" w:eastAsia="宋体" w:cs="宋体"/>
                      <w:color w:val="000000"/>
                      <w:kern w:val="0"/>
                      <w:sz w:val="24"/>
                      <w:szCs w:val="24"/>
                    </w:rPr>
                  </w:pPr>
                </w:p>
              </w:tc>
              <w:tc>
                <w:tcPr>
                  <w:tcW w:w="124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奇正藏药</w:t>
                  </w:r>
                </w:p>
              </w:tc>
              <w:tc>
                <w:tcPr>
                  <w:tcW w:w="106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5.3</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6.3</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5.1</w:t>
                  </w:r>
                </w:p>
              </w:tc>
              <w:tc>
                <w:tcPr>
                  <w:tcW w:w="117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w:t>
                  </w:r>
                </w:p>
              </w:tc>
              <w:tc>
                <w:tcPr>
                  <w:tcW w:w="1066" w:type="dxa"/>
                  <w:vMerge w:val="continue"/>
                  <w:vAlign w:val="center"/>
                </w:tcPr>
                <w:p>
                  <w:pPr>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366" w:type="dxa"/>
                  <w:vMerge w:val="restart"/>
                  <w:vAlign w:val="center"/>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无形资产比例</w:t>
                  </w:r>
                </w:p>
              </w:tc>
              <w:tc>
                <w:tcPr>
                  <w:tcW w:w="124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华东医药</w:t>
                  </w:r>
                </w:p>
              </w:tc>
              <w:tc>
                <w:tcPr>
                  <w:tcW w:w="1067" w:type="dxa"/>
                  <w:vAlign w:val="center"/>
                </w:tcPr>
                <w:p>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74.3</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72.2</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69.1</w:t>
                  </w:r>
                </w:p>
              </w:tc>
              <w:tc>
                <w:tcPr>
                  <w:tcW w:w="117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71.9</w:t>
                  </w:r>
                </w:p>
              </w:tc>
              <w:tc>
                <w:tcPr>
                  <w:tcW w:w="1066" w:type="dxa"/>
                  <w:vMerge w:val="restart"/>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366" w:type="dxa"/>
                  <w:vMerge w:val="continue"/>
                  <w:vAlign w:val="center"/>
                </w:tcPr>
                <w:p>
                  <w:pPr>
                    <w:widowControl/>
                    <w:jc w:val="left"/>
                    <w:rPr>
                      <w:rFonts w:hint="eastAsia" w:ascii="宋体" w:hAnsi="宋体" w:eastAsia="宋体" w:cs="宋体"/>
                      <w:color w:val="000000"/>
                      <w:kern w:val="0"/>
                      <w:sz w:val="24"/>
                      <w:szCs w:val="24"/>
                    </w:rPr>
                  </w:pPr>
                </w:p>
              </w:tc>
              <w:tc>
                <w:tcPr>
                  <w:tcW w:w="124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康恩贝</w:t>
                  </w:r>
                </w:p>
              </w:tc>
              <w:tc>
                <w:tcPr>
                  <w:tcW w:w="106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61.3</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48.5</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42.5</w:t>
                  </w:r>
                </w:p>
              </w:tc>
              <w:tc>
                <w:tcPr>
                  <w:tcW w:w="117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50.8</w:t>
                  </w:r>
                </w:p>
              </w:tc>
              <w:tc>
                <w:tcPr>
                  <w:tcW w:w="1066" w:type="dxa"/>
                  <w:vMerge w:val="continue"/>
                </w:tcPr>
                <w:p>
                  <w:pPr>
                    <w:jc w:val="right"/>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366" w:type="dxa"/>
                  <w:vMerge w:val="continue"/>
                  <w:vAlign w:val="center"/>
                </w:tcPr>
                <w:p>
                  <w:pPr>
                    <w:widowControl/>
                    <w:jc w:val="left"/>
                    <w:rPr>
                      <w:rFonts w:hint="eastAsia" w:ascii="宋体" w:hAnsi="宋体" w:eastAsia="宋体" w:cs="宋体"/>
                      <w:color w:val="000000"/>
                      <w:kern w:val="0"/>
                      <w:sz w:val="24"/>
                      <w:szCs w:val="24"/>
                    </w:rPr>
                  </w:pPr>
                </w:p>
              </w:tc>
              <w:tc>
                <w:tcPr>
                  <w:tcW w:w="124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奇正藏药</w:t>
                  </w:r>
                </w:p>
              </w:tc>
              <w:tc>
                <w:tcPr>
                  <w:tcW w:w="106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78.8</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70.7</w:t>
                  </w:r>
                </w:p>
              </w:tc>
              <w:tc>
                <w:tcPr>
                  <w:tcW w:w="106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75.9</w:t>
                  </w:r>
                </w:p>
              </w:tc>
              <w:tc>
                <w:tcPr>
                  <w:tcW w:w="117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75.1</w:t>
                  </w:r>
                </w:p>
              </w:tc>
              <w:tc>
                <w:tcPr>
                  <w:tcW w:w="1066" w:type="dxa"/>
                  <w:vMerge w:val="continue"/>
                </w:tcPr>
                <w:p>
                  <w:pPr>
                    <w:jc w:val="right"/>
                    <w:rPr>
                      <w:rFonts w:hint="eastAsia" w:ascii="宋体" w:hAnsi="宋体" w:eastAsia="宋体" w:cs="宋体"/>
                      <w:color w:val="000000"/>
                      <w:sz w:val="24"/>
                      <w:szCs w:val="24"/>
                    </w:rPr>
                  </w:pPr>
                </w:p>
              </w:tc>
            </w:tr>
          </w:tbl>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对比公司无形资产应为企业全部的无形资产，不仅是专利，而且包括其他无形资产(如销售渠道、管理经验、商誉等)，对于本次的盐酸林可霉素专利来说，由于三家公司同属于制药企业，专利在企业生产经营中发挥重要作用，根据对三家上市公司的调查分析，这里采用平均数来测算专利在制药企业中的比例关系，经过测算，专利在无形资产中的平均比例为30%，这里以30%作为无形资产中专利的比例。但我们的分成率并不能直接用无形资产在资本结构的比例乘以专利在无形资产中的比例，这是因为在计算现金流时，无形资产现金流还存在利利息、所得税以及分摊和折旧等因素的影响，因此需要利用税息折旧及摊销前利润进行调整，专利提成率的计算如表6所示。</w:t>
            </w:r>
          </w:p>
          <w:p>
            <w:pPr>
              <w:tabs>
                <w:tab w:val="left" w:pos="420"/>
                <w:tab w:val="left" w:pos="540"/>
              </w:tabs>
              <w:spacing w:afterLines="50" w:line="400" w:lineRule="exact"/>
              <w:ind w:firstLine="480" w:firstLineChars="200"/>
              <w:jc w:val="center"/>
              <w:rPr>
                <w:rFonts w:ascii="黑体" w:hAnsi="黑体" w:eastAsia="黑体" w:cs="黑体"/>
                <w:b/>
                <w:bCs/>
                <w:sz w:val="18"/>
                <w:szCs w:val="18"/>
              </w:rPr>
            </w:pPr>
            <w:r>
              <w:rPr>
                <w:rFonts w:hint="eastAsia" w:ascii="宋体" w:hAnsi="宋体" w:eastAsia="宋体" w:cs="宋体"/>
                <w:b w:val="0"/>
                <w:color w:val="auto"/>
                <w:kern w:val="40"/>
                <w:sz w:val="24"/>
                <w:szCs w:val="24"/>
                <w:lang w:val="en-US" w:eastAsia="zh-CN" w:bidi="ar-SA"/>
              </w:rPr>
              <w:t>表6    对比公司专利提成率的测算</w:t>
            </w:r>
          </w:p>
          <w:tbl>
            <w:tblPr>
              <w:tblStyle w:val="7"/>
              <w:tblW w:w="81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
              <w:gridCol w:w="707"/>
              <w:gridCol w:w="718"/>
              <w:gridCol w:w="729"/>
              <w:gridCol w:w="750"/>
              <w:gridCol w:w="1305"/>
              <w:gridCol w:w="1234"/>
              <w:gridCol w:w="157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1" w:hRule="atLeast"/>
              </w:trPr>
              <w:tc>
                <w:tcPr>
                  <w:tcW w:w="434"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对比</w:t>
                  </w:r>
                </w:p>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公司</w:t>
                  </w:r>
                </w:p>
              </w:tc>
              <w:tc>
                <w:tcPr>
                  <w:tcW w:w="70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年份（年）</w:t>
                  </w:r>
                </w:p>
              </w:tc>
              <w:tc>
                <w:tcPr>
                  <w:tcW w:w="718"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无形资产在资本结构中比例（%）</w:t>
                  </w:r>
                </w:p>
              </w:tc>
              <w:tc>
                <w:tcPr>
                  <w:tcW w:w="72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无形资产中专利的比例（%）</w:t>
                  </w:r>
                </w:p>
              </w:tc>
              <w:tc>
                <w:tcPr>
                  <w:tcW w:w="750"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专利在资本结构中比例（%）</w:t>
                  </w:r>
                </w:p>
              </w:tc>
              <w:tc>
                <w:tcPr>
                  <w:tcW w:w="1305" w:type="dxa"/>
                  <w:vAlign w:val="center"/>
                </w:tcPr>
                <w:p>
                  <w:pPr>
                    <w:widowControl/>
                    <w:spacing w:line="0" w:lineRule="atLeas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税息折旧/摊销前利润总额</w:t>
                  </w:r>
                </w:p>
                <w:p>
                  <w:pPr>
                    <w:widowControl/>
                    <w:spacing w:line="0" w:lineRule="atLeas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EBITDA</w:t>
                  </w:r>
                </w:p>
              </w:tc>
              <w:tc>
                <w:tcPr>
                  <w:tcW w:w="1234"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专利对现金流的贡献</w:t>
                  </w:r>
                </w:p>
              </w:tc>
              <w:tc>
                <w:tcPr>
                  <w:tcW w:w="1575"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营业收入</w:t>
                  </w:r>
                </w:p>
              </w:tc>
              <w:tc>
                <w:tcPr>
                  <w:tcW w:w="683"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专利提成率（%）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4" w:type="dxa"/>
                  <w:vMerge w:val="restart"/>
                  <w:vAlign w:val="center"/>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华东</w:t>
                  </w:r>
                </w:p>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医药</w:t>
                  </w:r>
                </w:p>
              </w:tc>
              <w:tc>
                <w:tcPr>
                  <w:tcW w:w="70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2011</w:t>
                  </w:r>
                </w:p>
              </w:tc>
              <w:tc>
                <w:tcPr>
                  <w:tcW w:w="718" w:type="dxa"/>
                  <w:vAlign w:val="center"/>
                </w:tcPr>
                <w:p>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69.1</w:t>
                  </w:r>
                </w:p>
              </w:tc>
              <w:tc>
                <w:tcPr>
                  <w:tcW w:w="729"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w:t>
                  </w:r>
                </w:p>
              </w:tc>
              <w:tc>
                <w:tcPr>
                  <w:tcW w:w="750"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20.7</w:t>
                  </w:r>
                </w:p>
              </w:tc>
              <w:tc>
                <w:tcPr>
                  <w:tcW w:w="130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79,201.6</w:t>
                  </w:r>
                </w:p>
              </w:tc>
              <w:tc>
                <w:tcPr>
                  <w:tcW w:w="1234"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16,427.9</w:t>
                  </w:r>
                </w:p>
              </w:tc>
              <w:tc>
                <w:tcPr>
                  <w:tcW w:w="157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1,113,137.2</w:t>
                  </w:r>
                </w:p>
              </w:tc>
              <w:tc>
                <w:tcPr>
                  <w:tcW w:w="68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34" w:type="dxa"/>
                  <w:vMerge w:val="continue"/>
                  <w:vAlign w:val="center"/>
                </w:tcPr>
                <w:p>
                  <w:pPr>
                    <w:widowControl/>
                    <w:jc w:val="left"/>
                    <w:rPr>
                      <w:rFonts w:hint="eastAsia" w:ascii="宋体" w:hAnsi="宋体" w:eastAsia="宋体" w:cs="宋体"/>
                      <w:color w:val="000000"/>
                      <w:kern w:val="0"/>
                      <w:sz w:val="24"/>
                      <w:szCs w:val="24"/>
                    </w:rPr>
                  </w:pPr>
                </w:p>
              </w:tc>
              <w:tc>
                <w:tcPr>
                  <w:tcW w:w="70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2012</w:t>
                  </w:r>
                </w:p>
              </w:tc>
              <w:tc>
                <w:tcPr>
                  <w:tcW w:w="718"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72.2</w:t>
                  </w:r>
                </w:p>
              </w:tc>
              <w:tc>
                <w:tcPr>
                  <w:tcW w:w="729"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w:t>
                  </w:r>
                </w:p>
              </w:tc>
              <w:tc>
                <w:tcPr>
                  <w:tcW w:w="750"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21.7</w:t>
                  </w:r>
                </w:p>
              </w:tc>
              <w:tc>
                <w:tcPr>
                  <w:tcW w:w="130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101,077.2</w:t>
                  </w:r>
                </w:p>
              </w:tc>
              <w:tc>
                <w:tcPr>
                  <w:tcW w:w="1234"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21,900.0</w:t>
                  </w:r>
                </w:p>
              </w:tc>
              <w:tc>
                <w:tcPr>
                  <w:tcW w:w="157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1,457,923.0</w:t>
                  </w:r>
                </w:p>
              </w:tc>
              <w:tc>
                <w:tcPr>
                  <w:tcW w:w="68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434" w:type="dxa"/>
                  <w:vMerge w:val="continue"/>
                  <w:vAlign w:val="center"/>
                </w:tcPr>
                <w:p>
                  <w:pPr>
                    <w:widowControl/>
                    <w:jc w:val="left"/>
                    <w:rPr>
                      <w:rFonts w:hint="eastAsia" w:ascii="宋体" w:hAnsi="宋体" w:eastAsia="宋体" w:cs="宋体"/>
                      <w:color w:val="000000"/>
                      <w:kern w:val="0"/>
                      <w:sz w:val="24"/>
                      <w:szCs w:val="24"/>
                    </w:rPr>
                  </w:pPr>
                </w:p>
              </w:tc>
              <w:tc>
                <w:tcPr>
                  <w:tcW w:w="70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2013</w:t>
                  </w:r>
                </w:p>
              </w:tc>
              <w:tc>
                <w:tcPr>
                  <w:tcW w:w="718"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74.3</w:t>
                  </w:r>
                </w:p>
              </w:tc>
              <w:tc>
                <w:tcPr>
                  <w:tcW w:w="729"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w:t>
                  </w:r>
                </w:p>
              </w:tc>
              <w:tc>
                <w:tcPr>
                  <w:tcW w:w="750"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22.3</w:t>
                  </w:r>
                </w:p>
              </w:tc>
              <w:tc>
                <w:tcPr>
                  <w:tcW w:w="130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115,969.0</w:t>
                  </w:r>
                </w:p>
              </w:tc>
              <w:tc>
                <w:tcPr>
                  <w:tcW w:w="1234"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25,844.1</w:t>
                  </w:r>
                </w:p>
              </w:tc>
              <w:tc>
                <w:tcPr>
                  <w:tcW w:w="157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1,671,798.6</w:t>
                  </w:r>
                </w:p>
              </w:tc>
              <w:tc>
                <w:tcPr>
                  <w:tcW w:w="68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4" w:type="dxa"/>
                  <w:vMerge w:val="restart"/>
                  <w:vAlign w:val="center"/>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康恩</w:t>
                  </w:r>
                </w:p>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贝</w:t>
                  </w:r>
                </w:p>
              </w:tc>
              <w:tc>
                <w:tcPr>
                  <w:tcW w:w="70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2011</w:t>
                  </w:r>
                </w:p>
              </w:tc>
              <w:tc>
                <w:tcPr>
                  <w:tcW w:w="718"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42.5</w:t>
                  </w:r>
                </w:p>
              </w:tc>
              <w:tc>
                <w:tcPr>
                  <w:tcW w:w="729"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w:t>
                  </w:r>
                </w:p>
              </w:tc>
              <w:tc>
                <w:tcPr>
                  <w:tcW w:w="750"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12.7</w:t>
                  </w:r>
                </w:p>
              </w:tc>
              <w:tc>
                <w:tcPr>
                  <w:tcW w:w="130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33,621.4</w:t>
                  </w:r>
                </w:p>
              </w:tc>
              <w:tc>
                <w:tcPr>
                  <w:tcW w:w="1234"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4,283.6</w:t>
                  </w:r>
                </w:p>
              </w:tc>
              <w:tc>
                <w:tcPr>
                  <w:tcW w:w="157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212,281.6</w:t>
                  </w:r>
                </w:p>
              </w:tc>
              <w:tc>
                <w:tcPr>
                  <w:tcW w:w="68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4" w:type="dxa"/>
                  <w:vMerge w:val="continue"/>
                  <w:vAlign w:val="center"/>
                </w:tcPr>
                <w:p>
                  <w:pPr>
                    <w:widowControl/>
                    <w:jc w:val="left"/>
                    <w:rPr>
                      <w:rFonts w:hint="eastAsia" w:ascii="宋体" w:hAnsi="宋体" w:eastAsia="宋体" w:cs="宋体"/>
                      <w:color w:val="000000"/>
                      <w:kern w:val="0"/>
                      <w:sz w:val="24"/>
                      <w:szCs w:val="24"/>
                    </w:rPr>
                  </w:pPr>
                </w:p>
              </w:tc>
              <w:tc>
                <w:tcPr>
                  <w:tcW w:w="70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2012</w:t>
                  </w:r>
                </w:p>
              </w:tc>
              <w:tc>
                <w:tcPr>
                  <w:tcW w:w="718"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48.5</w:t>
                  </w:r>
                </w:p>
              </w:tc>
              <w:tc>
                <w:tcPr>
                  <w:tcW w:w="729"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w:t>
                  </w:r>
                </w:p>
              </w:tc>
              <w:tc>
                <w:tcPr>
                  <w:tcW w:w="750"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14.5</w:t>
                  </w:r>
                </w:p>
              </w:tc>
              <w:tc>
                <w:tcPr>
                  <w:tcW w:w="130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43,705.2</w:t>
                  </w:r>
                </w:p>
              </w:tc>
              <w:tc>
                <w:tcPr>
                  <w:tcW w:w="1234"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6,358.2</w:t>
                  </w:r>
                </w:p>
              </w:tc>
              <w:tc>
                <w:tcPr>
                  <w:tcW w:w="157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273,369.1</w:t>
                  </w:r>
                </w:p>
              </w:tc>
              <w:tc>
                <w:tcPr>
                  <w:tcW w:w="68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4" w:type="dxa"/>
                  <w:vMerge w:val="continue"/>
                  <w:vAlign w:val="center"/>
                </w:tcPr>
                <w:p>
                  <w:pPr>
                    <w:widowControl/>
                    <w:jc w:val="left"/>
                    <w:rPr>
                      <w:rFonts w:hint="eastAsia" w:ascii="宋体" w:hAnsi="宋体" w:eastAsia="宋体" w:cs="宋体"/>
                      <w:color w:val="000000"/>
                      <w:kern w:val="0"/>
                      <w:sz w:val="24"/>
                      <w:szCs w:val="24"/>
                    </w:rPr>
                  </w:pPr>
                </w:p>
              </w:tc>
              <w:tc>
                <w:tcPr>
                  <w:tcW w:w="70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2013</w:t>
                  </w:r>
                </w:p>
              </w:tc>
              <w:tc>
                <w:tcPr>
                  <w:tcW w:w="718"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61.3</w:t>
                  </w:r>
                </w:p>
              </w:tc>
              <w:tc>
                <w:tcPr>
                  <w:tcW w:w="729"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w:t>
                  </w:r>
                </w:p>
              </w:tc>
              <w:tc>
                <w:tcPr>
                  <w:tcW w:w="750"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18.4</w:t>
                  </w:r>
                </w:p>
              </w:tc>
              <w:tc>
                <w:tcPr>
                  <w:tcW w:w="130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52,033.9</w:t>
                  </w:r>
                </w:p>
              </w:tc>
              <w:tc>
                <w:tcPr>
                  <w:tcW w:w="1234"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9,570.6</w:t>
                  </w:r>
                </w:p>
              </w:tc>
              <w:tc>
                <w:tcPr>
                  <w:tcW w:w="157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292,415.9</w:t>
                  </w:r>
                </w:p>
              </w:tc>
              <w:tc>
                <w:tcPr>
                  <w:tcW w:w="68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4" w:type="dxa"/>
                  <w:vMerge w:val="restart"/>
                  <w:vAlign w:val="center"/>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奇正</w:t>
                  </w:r>
                </w:p>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藏药</w:t>
                  </w:r>
                </w:p>
              </w:tc>
              <w:tc>
                <w:tcPr>
                  <w:tcW w:w="70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2011</w:t>
                  </w:r>
                </w:p>
              </w:tc>
              <w:tc>
                <w:tcPr>
                  <w:tcW w:w="718"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75.9</w:t>
                  </w:r>
                </w:p>
              </w:tc>
              <w:tc>
                <w:tcPr>
                  <w:tcW w:w="729"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w:t>
                  </w:r>
                </w:p>
              </w:tc>
              <w:tc>
                <w:tcPr>
                  <w:tcW w:w="750"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22.8</w:t>
                  </w:r>
                </w:p>
              </w:tc>
              <w:tc>
                <w:tcPr>
                  <w:tcW w:w="130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19,650.7</w:t>
                  </w:r>
                </w:p>
              </w:tc>
              <w:tc>
                <w:tcPr>
                  <w:tcW w:w="1234"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4,472.2</w:t>
                  </w:r>
                </w:p>
              </w:tc>
              <w:tc>
                <w:tcPr>
                  <w:tcW w:w="157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78,922.5</w:t>
                  </w:r>
                </w:p>
              </w:tc>
              <w:tc>
                <w:tcPr>
                  <w:tcW w:w="68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4" w:type="dxa"/>
                  <w:vMerge w:val="continue"/>
                  <w:vAlign w:val="center"/>
                </w:tcPr>
                <w:p>
                  <w:pPr>
                    <w:widowControl/>
                    <w:jc w:val="left"/>
                    <w:rPr>
                      <w:rFonts w:hint="eastAsia" w:ascii="宋体" w:hAnsi="宋体" w:eastAsia="宋体" w:cs="宋体"/>
                      <w:color w:val="000000"/>
                      <w:kern w:val="0"/>
                      <w:sz w:val="24"/>
                      <w:szCs w:val="24"/>
                    </w:rPr>
                  </w:pPr>
                </w:p>
              </w:tc>
              <w:tc>
                <w:tcPr>
                  <w:tcW w:w="70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2012</w:t>
                  </w:r>
                </w:p>
              </w:tc>
              <w:tc>
                <w:tcPr>
                  <w:tcW w:w="718"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70.7</w:t>
                  </w:r>
                </w:p>
              </w:tc>
              <w:tc>
                <w:tcPr>
                  <w:tcW w:w="729"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w:t>
                  </w:r>
                </w:p>
              </w:tc>
              <w:tc>
                <w:tcPr>
                  <w:tcW w:w="750"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21.2</w:t>
                  </w:r>
                </w:p>
              </w:tc>
              <w:tc>
                <w:tcPr>
                  <w:tcW w:w="130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21,218.4</w:t>
                  </w:r>
                </w:p>
              </w:tc>
              <w:tc>
                <w:tcPr>
                  <w:tcW w:w="1234"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4,503.6</w:t>
                  </w:r>
                </w:p>
              </w:tc>
              <w:tc>
                <w:tcPr>
                  <w:tcW w:w="157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93,427.5</w:t>
                  </w:r>
                </w:p>
              </w:tc>
              <w:tc>
                <w:tcPr>
                  <w:tcW w:w="68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434" w:type="dxa"/>
                  <w:vMerge w:val="continue"/>
                  <w:vAlign w:val="center"/>
                </w:tcPr>
                <w:p>
                  <w:pPr>
                    <w:widowControl/>
                    <w:jc w:val="left"/>
                    <w:rPr>
                      <w:rFonts w:hint="eastAsia" w:ascii="宋体" w:hAnsi="宋体" w:eastAsia="宋体" w:cs="宋体"/>
                      <w:color w:val="000000"/>
                      <w:kern w:val="0"/>
                      <w:sz w:val="24"/>
                      <w:szCs w:val="24"/>
                    </w:rPr>
                  </w:pPr>
                </w:p>
              </w:tc>
              <w:tc>
                <w:tcPr>
                  <w:tcW w:w="70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2013</w:t>
                  </w:r>
                </w:p>
              </w:tc>
              <w:tc>
                <w:tcPr>
                  <w:tcW w:w="718"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78.8</w:t>
                  </w:r>
                </w:p>
              </w:tc>
              <w:tc>
                <w:tcPr>
                  <w:tcW w:w="729"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w:t>
                  </w:r>
                </w:p>
              </w:tc>
              <w:tc>
                <w:tcPr>
                  <w:tcW w:w="750"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23.6</w:t>
                  </w:r>
                </w:p>
              </w:tc>
              <w:tc>
                <w:tcPr>
                  <w:tcW w:w="130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23,312.2</w:t>
                  </w:r>
                </w:p>
              </w:tc>
              <w:tc>
                <w:tcPr>
                  <w:tcW w:w="1234"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5,512.8</w:t>
                  </w:r>
                </w:p>
              </w:tc>
              <w:tc>
                <w:tcPr>
                  <w:tcW w:w="1575"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96,946.7</w:t>
                  </w:r>
                </w:p>
              </w:tc>
              <w:tc>
                <w:tcPr>
                  <w:tcW w:w="68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452" w:type="dxa"/>
                  <w:gridSpan w:val="8"/>
                  <w:vAlign w:val="center"/>
                </w:tcPr>
                <w:p>
                  <w:pPr>
                    <w:widowControl/>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平均数</w:t>
                  </w:r>
                </w:p>
              </w:tc>
              <w:tc>
                <w:tcPr>
                  <w:tcW w:w="683"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3.1</w:t>
                  </w:r>
                </w:p>
              </w:tc>
            </w:tr>
          </w:tbl>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本次评估将上表中专利技术提成率的平均值3.1%作为对比提成率。</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为了测算江西国药有限责任公司盐酸林可霉素的提成率，还需要比较对比公司与江西国药有限责任公司盐酸林可霉素产品的销售毛利率，根据对比公司销售收入的情况，可以测算出其销售毛利率，具体见表7所示。</w:t>
            </w:r>
          </w:p>
          <w:p>
            <w:pPr>
              <w:widowControl/>
              <w:spacing w:beforeLines="25" w:afterLines="25" w:line="300" w:lineRule="auto"/>
              <w:jc w:val="center"/>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表7    对比公司的销售毛利率（%）</w:t>
            </w:r>
          </w:p>
          <w:tbl>
            <w:tblPr>
              <w:tblStyle w:val="7"/>
              <w:tblW w:w="7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1498"/>
              <w:gridCol w:w="1497"/>
              <w:gridCol w:w="1497"/>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854"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对比公司名称</w:t>
                  </w:r>
                </w:p>
              </w:tc>
              <w:tc>
                <w:tcPr>
                  <w:tcW w:w="1498"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2013年</w:t>
                  </w:r>
                </w:p>
              </w:tc>
              <w:tc>
                <w:tcPr>
                  <w:tcW w:w="149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2012年</w:t>
                  </w:r>
                </w:p>
              </w:tc>
              <w:tc>
                <w:tcPr>
                  <w:tcW w:w="1497"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2011年</w:t>
                  </w:r>
                </w:p>
              </w:tc>
              <w:tc>
                <w:tcPr>
                  <w:tcW w:w="1492" w:type="dxa"/>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三年平均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854"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华东医药</w:t>
                  </w:r>
                </w:p>
              </w:tc>
              <w:tc>
                <w:tcPr>
                  <w:tcW w:w="1498" w:type="dxa"/>
                  <w:vAlign w:val="center"/>
                </w:tcPr>
                <w:p>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20.2</w:t>
                  </w:r>
                </w:p>
              </w:tc>
              <w:tc>
                <w:tcPr>
                  <w:tcW w:w="149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19.5</w:t>
                  </w:r>
                </w:p>
              </w:tc>
              <w:tc>
                <w:tcPr>
                  <w:tcW w:w="149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19.6</w:t>
                  </w:r>
                </w:p>
              </w:tc>
              <w:tc>
                <w:tcPr>
                  <w:tcW w:w="1492"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854"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康恩贝</w:t>
                  </w:r>
                </w:p>
              </w:tc>
              <w:tc>
                <w:tcPr>
                  <w:tcW w:w="1498"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67.8</w:t>
                  </w:r>
                </w:p>
              </w:tc>
              <w:tc>
                <w:tcPr>
                  <w:tcW w:w="149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66.7</w:t>
                  </w:r>
                </w:p>
              </w:tc>
              <w:tc>
                <w:tcPr>
                  <w:tcW w:w="149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65.9</w:t>
                  </w:r>
                </w:p>
              </w:tc>
              <w:tc>
                <w:tcPr>
                  <w:tcW w:w="1492"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854"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奇正藏药</w:t>
                  </w:r>
                </w:p>
              </w:tc>
              <w:tc>
                <w:tcPr>
                  <w:tcW w:w="1498"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63.2</w:t>
                  </w:r>
                </w:p>
              </w:tc>
              <w:tc>
                <w:tcPr>
                  <w:tcW w:w="149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53.3</w:t>
                  </w:r>
                </w:p>
              </w:tc>
              <w:tc>
                <w:tcPr>
                  <w:tcW w:w="149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54.5</w:t>
                  </w:r>
                </w:p>
              </w:tc>
              <w:tc>
                <w:tcPr>
                  <w:tcW w:w="1492"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854"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平均值</w:t>
                  </w:r>
                </w:p>
              </w:tc>
              <w:tc>
                <w:tcPr>
                  <w:tcW w:w="1498"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50.4</w:t>
                  </w:r>
                </w:p>
              </w:tc>
              <w:tc>
                <w:tcPr>
                  <w:tcW w:w="149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46.5</w:t>
                  </w:r>
                </w:p>
              </w:tc>
              <w:tc>
                <w:tcPr>
                  <w:tcW w:w="1497"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46.7</w:t>
                  </w:r>
                </w:p>
              </w:tc>
              <w:tc>
                <w:tcPr>
                  <w:tcW w:w="1492" w:type="dxa"/>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47.9</w:t>
                  </w:r>
                </w:p>
              </w:tc>
            </w:tr>
          </w:tbl>
          <w:p>
            <w:pPr>
              <w:tabs>
                <w:tab w:val="left" w:pos="420"/>
                <w:tab w:val="left" w:pos="540"/>
              </w:tabs>
              <w:spacing w:line="400" w:lineRule="exact"/>
              <w:ind w:firstLine="480" w:firstLineChars="200"/>
              <w:rPr>
                <w:rFonts w:ascii="宋体" w:hAnsi="宋体"/>
                <w:szCs w:val="21"/>
              </w:rPr>
            </w:pPr>
            <w:r>
              <w:rPr>
                <w:rFonts w:hint="eastAsia" w:ascii="宋体" w:hAnsi="宋体" w:eastAsia="宋体" w:cs="宋体"/>
                <w:b w:val="0"/>
                <w:color w:val="auto"/>
                <w:kern w:val="40"/>
                <w:sz w:val="24"/>
                <w:szCs w:val="24"/>
                <w:lang w:val="en-US" w:eastAsia="zh-CN" w:bidi="ar-SA"/>
              </w:rPr>
              <w:t>一般认为，销售毛利率水平越高，则相应的技术贡献水平越高。所以在最终确定分成率时还应考虑销售利润率，而我们认为销售率和销售分成率是呈线性关系。根据测算，江西国药有限责任公司盐酸林可霉素的历史销售毛利率约为8%。通过对比公司与目标公司销售利润率的差异测算委估专利的提成率如表8所示。</w:t>
            </w:r>
          </w:p>
          <w:p>
            <w:pPr>
              <w:tabs>
                <w:tab w:val="left" w:pos="420"/>
                <w:tab w:val="left" w:pos="540"/>
              </w:tabs>
              <w:spacing w:line="440" w:lineRule="exact"/>
              <w:ind w:firstLine="480" w:firstLineChars="200"/>
              <w:jc w:val="center"/>
              <w:rPr>
                <w:rFonts w:ascii="黑体" w:hAnsi="黑体" w:eastAsia="黑体" w:cs="黑体"/>
                <w:b/>
                <w:bCs/>
                <w:sz w:val="18"/>
                <w:szCs w:val="18"/>
              </w:rPr>
            </w:pPr>
            <w:r>
              <w:rPr>
                <w:rFonts w:hint="eastAsia" w:ascii="宋体" w:hAnsi="宋体" w:eastAsia="宋体" w:cs="宋体"/>
                <w:b w:val="0"/>
                <w:color w:val="auto"/>
                <w:kern w:val="40"/>
                <w:sz w:val="24"/>
                <w:szCs w:val="24"/>
                <w:lang w:val="en-US" w:eastAsia="zh-CN" w:bidi="ar-SA"/>
              </w:rPr>
              <w:t>表8    委估专利销售收入分成率</w:t>
            </w:r>
          </w:p>
          <w:tbl>
            <w:tblPr>
              <w:tblStyle w:val="7"/>
              <w:tblW w:w="785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289"/>
              <w:gridCol w:w="1289"/>
              <w:gridCol w:w="1289"/>
              <w:gridCol w:w="1289"/>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1413" w:type="dxa"/>
                  <w:vMerge w:val="restart"/>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对比公司平均销售利润率（%）</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目标公司销售利润率（%）</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差异率</w:t>
                  </w:r>
                </w:p>
              </w:tc>
              <w:tc>
                <w:tcPr>
                  <w:tcW w:w="1289" w:type="dxa"/>
                  <w:vAlign w:val="center"/>
                </w:tcPr>
                <w:p>
                  <w:pPr>
                    <w:widowControl/>
                    <w:jc w:val="center"/>
                    <w:rPr>
                      <w:rFonts w:hint="eastAsia" w:ascii="宋体" w:hAnsi="宋体" w:eastAsia="宋体" w:cs="宋体"/>
                      <w:color w:val="000000"/>
                      <w:spacing w:val="-10"/>
                      <w:kern w:val="0"/>
                      <w:sz w:val="24"/>
                      <w:szCs w:val="24"/>
                    </w:rPr>
                  </w:pPr>
                  <w:r>
                    <w:rPr>
                      <w:rFonts w:hint="eastAsia" w:ascii="宋体" w:hAnsi="宋体" w:eastAsia="宋体" w:cs="宋体"/>
                      <w:color w:val="000000"/>
                      <w:spacing w:val="-10"/>
                      <w:kern w:val="0"/>
                      <w:sz w:val="24"/>
                      <w:szCs w:val="24"/>
                    </w:rPr>
                    <w:t>对比公司专利提成率平均值（%）</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目标公司专利提成率（%）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13" w:type="dxa"/>
                  <w:vMerge w:val="continue"/>
                  <w:vAlign w:val="center"/>
                </w:tcPr>
                <w:p>
                  <w:pPr>
                    <w:widowControl/>
                    <w:jc w:val="left"/>
                    <w:rPr>
                      <w:rFonts w:hint="eastAsia" w:ascii="宋体" w:hAnsi="宋体" w:eastAsia="宋体" w:cs="宋体"/>
                      <w:color w:val="000000"/>
                      <w:kern w:val="0"/>
                      <w:sz w:val="24"/>
                      <w:szCs w:val="24"/>
                    </w:rPr>
                  </w:pP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B</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C=B/A</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D</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E=C*D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13"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委估专利</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47.90</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8.00</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0.17</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3.10</w:t>
                  </w:r>
                </w:p>
              </w:tc>
              <w:tc>
                <w:tcPr>
                  <w:tcW w:w="1289" w:type="dxa"/>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0.50</w:t>
                  </w:r>
                </w:p>
              </w:tc>
            </w:tr>
          </w:tbl>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因此，委估专利销售收入分成率取0.5%（税前），所得税按照边际税率20%计算，销售收入净分成率为0.5%×（1-20%）=0.4%（税后）。</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bookmarkStart w:id="11" w:name="_Toc223368394"/>
            <w:bookmarkStart w:id="12" w:name="_Toc252452136"/>
            <w:bookmarkStart w:id="13" w:name="_Toc252451826"/>
            <w:bookmarkStart w:id="14" w:name="_Toc339525544"/>
            <w:r>
              <w:rPr>
                <w:rFonts w:hint="eastAsia" w:ascii="宋体" w:hAnsi="宋体" w:eastAsia="宋体" w:cs="宋体"/>
                <w:b/>
                <w:bCs/>
                <w:color w:val="auto"/>
                <w:kern w:val="40"/>
                <w:sz w:val="24"/>
                <w:szCs w:val="24"/>
                <w:lang w:val="en-US" w:eastAsia="zh-CN" w:bidi="ar-SA"/>
              </w:rPr>
              <w:t>4.折现率的选取</w:t>
            </w:r>
            <w:bookmarkEnd w:id="11"/>
            <w:bookmarkEnd w:id="12"/>
            <w:bookmarkEnd w:id="13"/>
            <w:bookmarkEnd w:id="14"/>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折现是指通过将未来收入的货币量按一定的比率折算成现时货币量的折算过程。折现时所采用的比率称为折现率。折现率与资本化率在本质上是没有区别，它们都属于投资报酬率或资产收益率。确定无形资产折现率时一般应遵循以下几条原则：</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（1）不低于行业平均净资产收益率。无形资产由于存在较大的风险，其对应的收益率一般高于有形资产的收益率，一般也高于所在行业平均净资产收益率。</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2）折现率与收益额相匹配。折现率与收益额存在计算口径的匹配问题，即如果采用的是税前的收益额，则需要采用税前的折现率，反之如果采用的是税后的收益额，则需要采用税后的折现率：同时，如果收益额采用的是利润口径的，则折现率需要采用利润口径的折现率，如果收益额采用的是现金流口径的，则折现率需要采用现金流口径的折现率。</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3）综合考虑投资者的期望回报率及交易双方的利益均衡性。无形资产通常通过产品销售或者服务实现其价值，这时就需要考虑作为无形资产拥有方的投资回报率，也需要考虑除无形资产以外其他资产的回报率，本案例中，无形资产回报率需要考虑全部资产在产品销售收入中的贡献，根据不同类型资产所要求的回报率来确定。</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这里将江西国药有限责任公司的全部资产分为无形资产、营运资金和有形非流动资产，其对应的资产回报率分别为无形资产折现率、股东权益资本成本和有形非流动资产回报率，全部资产的回报率则是加权平均资本成本。那么无形资产折现率Ri 计算公式可采用如下的公式表示。</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zh-CN" w:eastAsia="zh-CN" w:bidi="ar-SA"/>
              </w:rPr>
              <w:pict>
                <v:shape id="Object 4" o:spid="_x0000_s1027" o:spt="75" type="#_x0000_t75" style="position:absolute;left:0pt;margin-left:33.15pt;margin-top:7.85pt;height:28.4pt;width:279.65pt;z-index:251660288;mso-width-relative:page;mso-height-relative:page;" o:ole="t" filled="f" o:preferrelative="t" stroked="f" coordsize="21600,21600">
                  <v:path/>
                  <v:fill on="f" focussize="0,0"/>
                  <v:stroke on="f" joinstyle="miter"/>
                  <v:imagedata r:id="rId11" o:title=""/>
                  <o:lock v:ext="edit" aspectratio="t"/>
                </v:shape>
                <o:OLEObject Type="Embed" ProgID="Equation.3" ShapeID="Object 4" DrawAspect="Content" ObjectID="_1468075728" r:id="rId10">
                  <o:LockedField>false</o:LockedField>
                </o:OLEObject>
              </w:pic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式中，全部资产=股权价值+付息债务价值</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营运资金=流动资产-非付息负债</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有形非流动资产 =有形非流动资产账面价值</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无形资产=全部资产-营运资金-有形非流动资产</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R</w:t>
            </w:r>
            <w:r>
              <w:rPr>
                <w:rFonts w:hint="eastAsia" w:ascii="宋体" w:hAnsi="宋体" w:eastAsia="宋体" w:cs="宋体"/>
                <w:b w:val="0"/>
                <w:color w:val="auto"/>
                <w:kern w:val="40"/>
                <w:sz w:val="24"/>
                <w:szCs w:val="24"/>
                <w:vertAlign w:val="subscript"/>
                <w:lang w:val="en-US" w:eastAsia="zh-CN" w:bidi="ar-SA"/>
              </w:rPr>
              <w:t>c</w:t>
            </w:r>
            <w:r>
              <w:rPr>
                <w:rFonts w:hint="eastAsia" w:ascii="宋体" w:hAnsi="宋体" w:eastAsia="宋体" w:cs="宋体"/>
                <w:b w:val="0"/>
                <w:color w:val="auto"/>
                <w:kern w:val="40"/>
                <w:sz w:val="24"/>
                <w:szCs w:val="24"/>
                <w:lang w:val="en-US" w:eastAsia="zh-CN" w:bidi="ar-SA"/>
              </w:rPr>
              <w:t>:营运资金回报率；R</w:t>
            </w:r>
            <w:r>
              <w:rPr>
                <w:rFonts w:hint="eastAsia" w:ascii="宋体" w:hAnsi="宋体" w:eastAsia="宋体" w:cs="宋体"/>
                <w:b w:val="0"/>
                <w:color w:val="auto"/>
                <w:kern w:val="40"/>
                <w:sz w:val="24"/>
                <w:szCs w:val="24"/>
                <w:vertAlign w:val="subscript"/>
                <w:lang w:val="en-US" w:eastAsia="zh-CN" w:bidi="ar-SA"/>
              </w:rPr>
              <w:t>f</w:t>
            </w:r>
            <w:r>
              <w:rPr>
                <w:rFonts w:hint="eastAsia" w:ascii="宋体" w:hAnsi="宋体" w:eastAsia="宋体" w:cs="宋体"/>
                <w:b w:val="0"/>
                <w:color w:val="auto"/>
                <w:kern w:val="40"/>
                <w:sz w:val="24"/>
                <w:szCs w:val="24"/>
                <w:lang w:val="en-US" w:eastAsia="zh-CN" w:bidi="ar-SA"/>
              </w:rPr>
              <w:t>:=有形非流动资产回报率。</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WACC=K</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×W</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+K</w:t>
            </w:r>
            <w:r>
              <w:rPr>
                <w:rFonts w:hint="eastAsia" w:ascii="宋体" w:hAnsi="宋体" w:eastAsia="宋体" w:cs="宋体"/>
                <w:b w:val="0"/>
                <w:color w:val="auto"/>
                <w:kern w:val="40"/>
                <w:sz w:val="24"/>
                <w:szCs w:val="24"/>
                <w:vertAlign w:val="subscript"/>
                <w:lang w:val="en-US" w:eastAsia="zh-CN" w:bidi="ar-SA"/>
              </w:rPr>
              <w:t>d</w:t>
            </w:r>
            <w:r>
              <w:rPr>
                <w:rFonts w:hint="eastAsia" w:ascii="宋体" w:hAnsi="宋体" w:eastAsia="宋体" w:cs="宋体"/>
                <w:b w:val="0"/>
                <w:color w:val="auto"/>
                <w:kern w:val="40"/>
                <w:sz w:val="24"/>
                <w:szCs w:val="24"/>
                <w:lang w:val="en-US" w:eastAsia="zh-CN" w:bidi="ar-SA"/>
              </w:rPr>
              <w:t>×(1-t)×W</w:t>
            </w:r>
            <w:r>
              <w:rPr>
                <w:rFonts w:hint="eastAsia" w:ascii="宋体" w:hAnsi="宋体" w:eastAsia="宋体" w:cs="宋体"/>
                <w:b w:val="0"/>
                <w:color w:val="auto"/>
                <w:kern w:val="40"/>
                <w:sz w:val="24"/>
                <w:szCs w:val="24"/>
                <w:vertAlign w:val="subscript"/>
                <w:lang w:val="en-US" w:eastAsia="zh-CN" w:bidi="ar-SA"/>
              </w:rPr>
              <w:t>d</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式中，WACC：加权平均资本成本；K</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：公司权益资本成本；K</w:t>
            </w:r>
            <w:r>
              <w:rPr>
                <w:rFonts w:hint="eastAsia" w:ascii="宋体" w:hAnsi="宋体" w:eastAsia="宋体" w:cs="宋体"/>
                <w:b w:val="0"/>
                <w:color w:val="auto"/>
                <w:kern w:val="40"/>
                <w:sz w:val="24"/>
                <w:szCs w:val="24"/>
                <w:vertAlign w:val="subscript"/>
                <w:lang w:val="en-US" w:eastAsia="zh-CN" w:bidi="ar-SA"/>
              </w:rPr>
              <w:t>d</w:t>
            </w:r>
            <w:r>
              <w:rPr>
                <w:rFonts w:hint="eastAsia" w:ascii="宋体" w:hAnsi="宋体" w:eastAsia="宋体" w:cs="宋体"/>
                <w:b w:val="0"/>
                <w:color w:val="auto"/>
                <w:kern w:val="40"/>
                <w:sz w:val="24"/>
                <w:szCs w:val="24"/>
                <w:lang w:val="en-US" w:eastAsia="zh-CN" w:bidi="ar-SA"/>
              </w:rPr>
              <w:t>：公司债务资本成本；W</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：权益资本在资本结构中的百分比；W</w:t>
            </w:r>
            <w:r>
              <w:rPr>
                <w:rFonts w:hint="eastAsia" w:ascii="宋体" w:hAnsi="宋体" w:eastAsia="宋体" w:cs="宋体"/>
                <w:b w:val="0"/>
                <w:color w:val="auto"/>
                <w:kern w:val="40"/>
                <w:sz w:val="24"/>
                <w:szCs w:val="24"/>
                <w:vertAlign w:val="subscript"/>
                <w:lang w:val="en-US" w:eastAsia="zh-CN" w:bidi="ar-SA"/>
              </w:rPr>
              <w:t>d</w:t>
            </w:r>
            <w:r>
              <w:rPr>
                <w:rFonts w:hint="eastAsia" w:ascii="宋体" w:hAnsi="宋体" w:eastAsia="宋体" w:cs="宋体"/>
                <w:b w:val="0"/>
                <w:color w:val="auto"/>
                <w:kern w:val="40"/>
                <w:sz w:val="24"/>
                <w:szCs w:val="24"/>
                <w:lang w:val="en-US" w:eastAsia="zh-CN" w:bidi="ar-SA"/>
              </w:rPr>
              <w:t>：债务资本在资本结构中的百分比；t：公司所得税税率。</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股东权益资本成本K</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的确定：</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de-DE" w:eastAsia="zh-CN" w:bidi="ar-SA"/>
              </w:rPr>
            </w:pPr>
            <w:r>
              <w:rPr>
                <w:rFonts w:hint="eastAsia" w:ascii="宋体" w:hAnsi="宋体" w:eastAsia="宋体" w:cs="宋体"/>
                <w:b w:val="0"/>
                <w:color w:val="auto"/>
                <w:kern w:val="40"/>
                <w:sz w:val="24"/>
                <w:szCs w:val="24"/>
                <w:lang w:val="en-US" w:eastAsia="zh-CN" w:bidi="ar-SA"/>
              </w:rPr>
              <w:t xml:space="preserve"> K</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de-DE" w:eastAsia="zh-CN" w:bidi="ar-SA"/>
              </w:rPr>
              <w:t xml:space="preserve">= </w:t>
            </w:r>
            <w:r>
              <w:rPr>
                <w:rFonts w:hint="eastAsia" w:ascii="宋体" w:hAnsi="宋体" w:eastAsia="宋体" w:cs="宋体"/>
                <w:b w:val="0"/>
                <w:color w:val="auto"/>
                <w:kern w:val="40"/>
                <w:sz w:val="24"/>
                <w:szCs w:val="24"/>
                <w:lang w:val="en-US" w:eastAsia="zh-CN" w:bidi="ar-SA"/>
              </w:rPr>
              <w:t>R</w:t>
            </w:r>
            <w:r>
              <w:rPr>
                <w:rFonts w:hint="eastAsia" w:ascii="宋体" w:hAnsi="宋体" w:eastAsia="宋体" w:cs="宋体"/>
                <w:b w:val="0"/>
                <w:color w:val="auto"/>
                <w:kern w:val="40"/>
                <w:sz w:val="24"/>
                <w:szCs w:val="24"/>
                <w:vertAlign w:val="subscript"/>
                <w:lang w:val="en-US" w:eastAsia="zh-CN" w:bidi="ar-SA"/>
              </w:rPr>
              <w:t>f</w:t>
            </w:r>
            <w:r>
              <w:rPr>
                <w:rFonts w:hint="eastAsia" w:ascii="宋体" w:hAnsi="宋体" w:eastAsia="宋体" w:cs="宋体"/>
                <w:b w:val="0"/>
                <w:color w:val="auto"/>
                <w:kern w:val="40"/>
                <w:sz w:val="24"/>
                <w:szCs w:val="24"/>
                <w:lang w:val="de-DE" w:eastAsia="zh-CN" w:bidi="ar-SA"/>
              </w:rPr>
              <w:t xml:space="preserve"> +</w:t>
            </w:r>
            <w:r>
              <w:rPr>
                <w:rFonts w:hint="eastAsia" w:ascii="宋体" w:hAnsi="宋体" w:eastAsia="宋体" w:cs="宋体"/>
                <w:b w:val="0"/>
                <w:color w:val="auto"/>
                <w:kern w:val="40"/>
                <w:sz w:val="24"/>
                <w:szCs w:val="24"/>
                <w:lang w:val="en-US" w:eastAsia="zh-CN" w:bidi="ar-SA"/>
              </w:rPr>
              <w:t xml:space="preserve"> ERP</w:t>
            </w:r>
            <w:r>
              <w:rPr>
                <w:rFonts w:hint="eastAsia" w:ascii="宋体" w:hAnsi="宋体" w:eastAsia="宋体" w:cs="宋体"/>
                <w:b w:val="0"/>
                <w:color w:val="auto"/>
                <w:kern w:val="40"/>
                <w:sz w:val="24"/>
                <w:szCs w:val="24"/>
                <w:lang w:val="de-DE" w:eastAsia="zh-CN" w:bidi="ar-SA"/>
              </w:rPr>
              <w:t>×</w:t>
            </w:r>
            <w:r>
              <w:rPr>
                <w:rFonts w:hint="eastAsia" w:ascii="宋体" w:hAnsi="宋体" w:eastAsia="宋体" w:cs="宋体"/>
                <w:b w:val="0"/>
                <w:color w:val="auto"/>
                <w:kern w:val="40"/>
                <w:sz w:val="24"/>
                <w:szCs w:val="24"/>
                <w:lang w:val="en-US" w:eastAsia="zh-CN" w:bidi="ar-SA"/>
              </w:rPr>
              <w:t>β</w:t>
            </w:r>
            <w:r>
              <w:rPr>
                <w:rFonts w:hint="eastAsia" w:ascii="宋体" w:hAnsi="宋体" w:eastAsia="宋体" w:cs="宋体"/>
                <w:b w:val="0"/>
                <w:color w:val="auto"/>
                <w:kern w:val="40"/>
                <w:sz w:val="24"/>
                <w:szCs w:val="24"/>
                <w:lang w:val="de-DE" w:eastAsia="zh-CN" w:bidi="ar-SA"/>
              </w:rPr>
              <w:t>+</w:t>
            </w:r>
            <w:r>
              <w:rPr>
                <w:rFonts w:hint="eastAsia" w:ascii="宋体" w:hAnsi="宋体" w:eastAsia="宋体" w:cs="宋体"/>
                <w:b w:val="0"/>
                <w:color w:val="auto"/>
                <w:kern w:val="40"/>
                <w:sz w:val="24"/>
                <w:szCs w:val="24"/>
                <w:lang w:val="en-US" w:eastAsia="zh-CN" w:bidi="ar-SA"/>
              </w:rPr>
              <w:t xml:space="preserve"> R</w:t>
            </w:r>
            <w:r>
              <w:rPr>
                <w:rFonts w:hint="eastAsia" w:ascii="宋体" w:hAnsi="宋体" w:eastAsia="宋体" w:cs="宋体"/>
                <w:b w:val="0"/>
                <w:color w:val="auto"/>
                <w:kern w:val="40"/>
                <w:sz w:val="24"/>
                <w:szCs w:val="24"/>
                <w:vertAlign w:val="subscript"/>
                <w:lang w:val="en-US" w:eastAsia="zh-CN" w:bidi="ar-SA"/>
              </w:rPr>
              <w:t>c</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其中，R</w:t>
            </w:r>
            <w:r>
              <w:rPr>
                <w:rFonts w:hint="eastAsia" w:ascii="宋体" w:hAnsi="宋体" w:eastAsia="宋体" w:cs="宋体"/>
                <w:b w:val="0"/>
                <w:color w:val="auto"/>
                <w:kern w:val="40"/>
                <w:sz w:val="24"/>
                <w:szCs w:val="24"/>
                <w:vertAlign w:val="subscript"/>
                <w:lang w:val="en-US" w:eastAsia="zh-CN" w:bidi="ar-SA"/>
              </w:rPr>
              <w:t>f</w:t>
            </w:r>
            <w:r>
              <w:rPr>
                <w:rFonts w:hint="eastAsia" w:ascii="宋体" w:hAnsi="宋体" w:eastAsia="宋体" w:cs="宋体"/>
                <w:b w:val="0"/>
                <w:color w:val="auto"/>
                <w:kern w:val="40"/>
                <w:sz w:val="24"/>
                <w:szCs w:val="24"/>
                <w:lang w:val="en-US" w:eastAsia="zh-CN" w:bidi="ar-SA"/>
              </w:rPr>
              <w:t>：无风险报酬率；ERP：市场风险溢价；β：权益预期市场风险系数；R</w:t>
            </w:r>
            <w:r>
              <w:rPr>
                <w:rFonts w:hint="eastAsia" w:ascii="宋体" w:hAnsi="宋体" w:eastAsia="宋体" w:cs="宋体"/>
                <w:b w:val="0"/>
                <w:color w:val="auto"/>
                <w:kern w:val="40"/>
                <w:sz w:val="24"/>
                <w:szCs w:val="24"/>
                <w:vertAlign w:val="subscript"/>
                <w:lang w:val="en-US" w:eastAsia="zh-CN" w:bidi="ar-SA"/>
              </w:rPr>
              <w:t>c</w:t>
            </w:r>
            <w:r>
              <w:rPr>
                <w:rFonts w:hint="eastAsia" w:ascii="宋体" w:hAnsi="宋体" w:eastAsia="宋体" w:cs="宋体"/>
                <w:b w:val="0"/>
                <w:color w:val="auto"/>
                <w:kern w:val="40"/>
                <w:sz w:val="24"/>
                <w:szCs w:val="24"/>
                <w:lang w:val="en-US" w:eastAsia="zh-CN" w:bidi="ar-SA"/>
              </w:rPr>
              <w:t>：企业个别风险调整系数；无风险报酬率R</w:t>
            </w:r>
            <w:r>
              <w:rPr>
                <w:rFonts w:hint="eastAsia" w:ascii="宋体" w:hAnsi="宋体" w:eastAsia="宋体" w:cs="宋体"/>
                <w:b w:val="0"/>
                <w:color w:val="auto"/>
                <w:kern w:val="40"/>
                <w:sz w:val="24"/>
                <w:szCs w:val="24"/>
                <w:vertAlign w:val="subscript"/>
                <w:lang w:val="en-US" w:eastAsia="zh-CN" w:bidi="ar-SA"/>
              </w:rPr>
              <w:t>f</w:t>
            </w:r>
            <w:r>
              <w:rPr>
                <w:rFonts w:hint="eastAsia" w:ascii="宋体" w:hAnsi="宋体" w:eastAsia="宋体" w:cs="宋体"/>
                <w:b w:val="0"/>
                <w:color w:val="auto"/>
                <w:kern w:val="40"/>
                <w:sz w:val="24"/>
                <w:szCs w:val="24"/>
                <w:lang w:val="en-US" w:eastAsia="zh-CN" w:bidi="ar-SA"/>
              </w:rPr>
              <w:t>。</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R</w:t>
            </w:r>
            <w:r>
              <w:rPr>
                <w:rFonts w:hint="eastAsia" w:ascii="宋体" w:hAnsi="宋体" w:eastAsia="宋体" w:cs="宋体"/>
                <w:b w:val="0"/>
                <w:color w:val="auto"/>
                <w:kern w:val="40"/>
                <w:sz w:val="24"/>
                <w:szCs w:val="24"/>
                <w:vertAlign w:val="subscript"/>
                <w:lang w:val="en-US" w:eastAsia="zh-CN" w:bidi="ar-SA"/>
              </w:rPr>
              <w:t>f</w:t>
            </w:r>
            <w:r>
              <w:rPr>
                <w:rFonts w:hint="eastAsia" w:ascii="宋体" w:hAnsi="宋体" w:eastAsia="宋体" w:cs="宋体"/>
                <w:b w:val="0"/>
                <w:color w:val="auto"/>
                <w:kern w:val="40"/>
                <w:sz w:val="24"/>
                <w:szCs w:val="24"/>
                <w:lang w:val="en-US" w:eastAsia="zh-CN" w:bidi="ar-SA"/>
              </w:rPr>
              <w:t>为无风险报酬率，无风险报酬率是对资金时间价值的补偿，这种补偿可以分为两个方面考虑，一方面是在无通货膨胀、无风险情况下的平均利润率，是转让资金使用权的报酬；另一方面是通货膨胀附加率，是对因通货膨胀造成购买力下降的补偿。由于现实中无法将这两种补偿分开，它们共同构成无风险利率。本次估值选取Wind金融终端上市交易的长期国债到期收益率平均值4.37%作为无风险报酬率。</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②市场风险溢价ERP的确定</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zh-CN" w:eastAsia="zh-CN" w:bidi="ar-SA"/>
              </w:rPr>
            </w:pPr>
            <w:r>
              <w:rPr>
                <w:rFonts w:hint="eastAsia" w:ascii="宋体" w:hAnsi="宋体" w:eastAsia="宋体" w:cs="宋体"/>
                <w:b w:val="0"/>
                <w:color w:val="auto"/>
                <w:kern w:val="40"/>
                <w:sz w:val="24"/>
                <w:szCs w:val="24"/>
                <w:lang w:val="en-US" w:eastAsia="zh-CN" w:bidi="ar-SA"/>
              </w:rPr>
              <w:t>市场风险溢价ERP是指投资者对于一个充分风险分散的市场投资组合所要求的高于无风险利率的回报率，市场风险溢价是利用CAPM模型估计权益成本时需要的一个重要参数，在估值项目中起着重要的作用。</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zh-CN" w:eastAsia="zh-CN" w:bidi="ar-SA"/>
              </w:rPr>
            </w:pPr>
            <w:r>
              <w:rPr>
                <w:rFonts w:hint="eastAsia" w:ascii="宋体" w:hAnsi="宋体" w:eastAsia="宋体" w:cs="宋体"/>
                <w:b w:val="0"/>
                <w:color w:val="auto"/>
                <w:kern w:val="40"/>
                <w:sz w:val="24"/>
                <w:szCs w:val="24"/>
                <w:lang w:val="zh-CN" w:eastAsia="zh-CN" w:bidi="ar-SA"/>
              </w:rPr>
              <w:t>结合中国股票市场相关数据进行研究，我们按如下方式计算中国的市场风险溢价。</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zh-CN" w:eastAsia="zh-CN" w:bidi="ar-SA"/>
              </w:rPr>
            </w:pPr>
            <w:r>
              <w:rPr>
                <w:rFonts w:hint="eastAsia" w:ascii="宋体" w:hAnsi="宋体" w:eastAsia="宋体" w:cs="宋体"/>
                <w:b w:val="0"/>
                <w:color w:val="auto"/>
                <w:kern w:val="40"/>
                <w:sz w:val="24"/>
                <w:szCs w:val="24"/>
                <w:lang w:val="en-US" w:eastAsia="zh-CN" w:bidi="ar-SA"/>
              </w:rPr>
              <w:t>第一步</w:t>
            </w:r>
            <w:r>
              <w:rPr>
                <w:rFonts w:hint="eastAsia" w:ascii="宋体" w:hAnsi="宋体" w:eastAsia="宋体" w:cs="宋体"/>
                <w:b w:val="0"/>
                <w:color w:val="auto"/>
                <w:kern w:val="40"/>
                <w:sz w:val="24"/>
                <w:szCs w:val="24"/>
                <w:lang w:val="zh-CN" w:eastAsia="zh-CN" w:bidi="ar-SA"/>
              </w:rPr>
              <w:t>确定衡量股市整体变化的指数。目前国内沪、深两市有许多指数，选用的指数应该是能最好反映市场主流股票变化的指数，在估算中国ERP时选用了沪深300指数</w:t>
            </w:r>
            <w:r>
              <w:rPr>
                <w:rFonts w:hint="eastAsia" w:ascii="宋体" w:hAnsi="宋体" w:eastAsia="宋体" w:cs="宋体"/>
                <w:b w:val="0"/>
                <w:color w:val="auto"/>
                <w:kern w:val="40"/>
                <w:sz w:val="24"/>
                <w:szCs w:val="24"/>
                <w:lang w:val="en-US" w:eastAsia="zh-CN" w:bidi="ar-SA"/>
              </w:rPr>
              <w:t>作为测算指数</w:t>
            </w:r>
            <w:r>
              <w:rPr>
                <w:rFonts w:hint="eastAsia" w:ascii="宋体" w:hAnsi="宋体" w:eastAsia="宋体" w:cs="宋体"/>
                <w:b w:val="0"/>
                <w:color w:val="auto"/>
                <w:kern w:val="40"/>
                <w:sz w:val="24"/>
                <w:szCs w:val="24"/>
                <w:lang w:val="zh-CN" w:eastAsia="zh-CN" w:bidi="ar-SA"/>
              </w:rPr>
              <w:t>。该指数由沪深A股中规模大、流动性好、最具代表性的300只股票组成，以综合反映沪深A股市场整体表现。</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zh-CN" w:eastAsia="zh-CN" w:bidi="ar-SA"/>
              </w:rPr>
            </w:pPr>
            <w:r>
              <w:rPr>
                <w:rFonts w:hint="eastAsia" w:ascii="宋体" w:hAnsi="宋体" w:eastAsia="宋体" w:cs="宋体"/>
                <w:b w:val="0"/>
                <w:color w:val="auto"/>
                <w:kern w:val="40"/>
                <w:sz w:val="24"/>
                <w:szCs w:val="24"/>
                <w:lang w:val="en-US" w:eastAsia="zh-CN" w:bidi="ar-SA"/>
              </w:rPr>
              <w:t>第二步是</w:t>
            </w:r>
            <w:r>
              <w:rPr>
                <w:rFonts w:hint="eastAsia" w:ascii="宋体" w:hAnsi="宋体" w:eastAsia="宋体" w:cs="宋体"/>
                <w:b w:val="0"/>
                <w:color w:val="auto"/>
                <w:kern w:val="40"/>
                <w:sz w:val="24"/>
                <w:szCs w:val="24"/>
                <w:lang w:val="zh-CN" w:eastAsia="zh-CN" w:bidi="ar-SA"/>
              </w:rPr>
              <w:t>收益率计算年期的选择。考虑到中国股市股票波动的特性，本次对具体指数的时间区间选择为200</w:t>
            </w:r>
            <w:r>
              <w:rPr>
                <w:rFonts w:hint="eastAsia" w:ascii="宋体" w:hAnsi="宋体" w:eastAsia="宋体" w:cs="宋体"/>
                <w:b w:val="0"/>
                <w:color w:val="auto"/>
                <w:kern w:val="40"/>
                <w:sz w:val="24"/>
                <w:szCs w:val="24"/>
                <w:lang w:val="en-US" w:eastAsia="zh-CN" w:bidi="ar-SA"/>
              </w:rPr>
              <w:t>6</w:t>
            </w:r>
            <w:r>
              <w:rPr>
                <w:rFonts w:hint="eastAsia" w:ascii="宋体" w:hAnsi="宋体" w:eastAsia="宋体" w:cs="宋体"/>
                <w:b w:val="0"/>
                <w:color w:val="auto"/>
                <w:kern w:val="40"/>
                <w:sz w:val="24"/>
                <w:szCs w:val="24"/>
                <w:lang w:val="zh-CN" w:eastAsia="zh-CN" w:bidi="ar-SA"/>
              </w:rPr>
              <w:t>年到201</w:t>
            </w:r>
            <w:r>
              <w:rPr>
                <w:rFonts w:hint="eastAsia" w:ascii="宋体" w:hAnsi="宋体" w:eastAsia="宋体" w:cs="宋体"/>
                <w:b w:val="0"/>
                <w:color w:val="auto"/>
                <w:kern w:val="40"/>
                <w:sz w:val="24"/>
                <w:szCs w:val="24"/>
                <w:lang w:val="en-US" w:eastAsia="zh-CN" w:bidi="ar-SA"/>
              </w:rPr>
              <w:t>8</w:t>
            </w:r>
            <w:r>
              <w:rPr>
                <w:rFonts w:hint="eastAsia" w:ascii="宋体" w:hAnsi="宋体" w:eastAsia="宋体" w:cs="宋体"/>
                <w:b w:val="0"/>
                <w:color w:val="auto"/>
                <w:kern w:val="40"/>
                <w:sz w:val="24"/>
                <w:szCs w:val="24"/>
                <w:lang w:val="zh-CN" w:eastAsia="zh-CN" w:bidi="ar-SA"/>
              </w:rPr>
              <w:t>年。</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zh-CN" w:eastAsia="zh-CN" w:bidi="ar-SA"/>
              </w:rPr>
            </w:pPr>
            <w:r>
              <w:rPr>
                <w:rFonts w:hint="eastAsia" w:ascii="宋体" w:hAnsi="宋体" w:eastAsia="宋体" w:cs="宋体"/>
                <w:b w:val="0"/>
                <w:color w:val="auto"/>
                <w:kern w:val="40"/>
                <w:sz w:val="24"/>
                <w:szCs w:val="24"/>
                <w:lang w:val="en-US" w:eastAsia="zh-CN" w:bidi="ar-SA"/>
              </w:rPr>
              <w:t>第三步是</w:t>
            </w:r>
            <w:r>
              <w:rPr>
                <w:rFonts w:hint="eastAsia" w:ascii="宋体" w:hAnsi="宋体" w:eastAsia="宋体" w:cs="宋体"/>
                <w:b w:val="0"/>
                <w:color w:val="auto"/>
                <w:kern w:val="40"/>
                <w:sz w:val="24"/>
                <w:szCs w:val="24"/>
                <w:lang w:val="zh-CN" w:eastAsia="zh-CN" w:bidi="ar-SA"/>
              </w:rPr>
              <w:t>指数成分股的确定。沪深300指数的成分股每年是发生变化的，因此我们在估算时采用每年年底时沪深300指数的成分股。</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第四步是</w:t>
            </w:r>
            <w:r>
              <w:rPr>
                <w:rFonts w:hint="eastAsia" w:ascii="宋体" w:hAnsi="宋体" w:eastAsia="宋体" w:cs="宋体"/>
                <w:b w:val="0"/>
                <w:color w:val="auto"/>
                <w:kern w:val="40"/>
                <w:sz w:val="24"/>
                <w:szCs w:val="24"/>
                <w:lang w:val="zh-CN" w:eastAsia="zh-CN" w:bidi="ar-SA"/>
              </w:rPr>
              <w:t>数据的采集。借助</w:t>
            </w:r>
            <w:r>
              <w:rPr>
                <w:rFonts w:hint="eastAsia" w:ascii="宋体" w:hAnsi="宋体" w:eastAsia="宋体" w:cs="宋体"/>
                <w:b w:val="0"/>
                <w:color w:val="auto"/>
                <w:kern w:val="40"/>
                <w:sz w:val="24"/>
                <w:szCs w:val="24"/>
                <w:lang w:val="en-US" w:eastAsia="zh-CN" w:bidi="ar-SA"/>
              </w:rPr>
              <w:t>Wind金融经济</w:t>
            </w:r>
            <w:r>
              <w:rPr>
                <w:rFonts w:hint="eastAsia" w:ascii="宋体" w:hAnsi="宋体" w:eastAsia="宋体" w:cs="宋体"/>
                <w:b w:val="0"/>
                <w:color w:val="auto"/>
                <w:kern w:val="40"/>
                <w:sz w:val="24"/>
                <w:szCs w:val="24"/>
                <w:lang w:val="zh-CN" w:eastAsia="zh-CN" w:bidi="ar-SA"/>
              </w:rPr>
              <w:t>的数据系统提供所选择的各成分股每年年末的交易收盘价。由于成分股收益中应该包括每年分红、派息等产生的收益，需要考虑所谓分红、派息等产生的收益，为此我们选用的年末收盘价是</w:t>
            </w:r>
            <w:r>
              <w:rPr>
                <w:rFonts w:hint="eastAsia" w:ascii="宋体" w:hAnsi="宋体" w:eastAsia="宋体" w:cs="宋体"/>
                <w:b w:val="0"/>
                <w:color w:val="auto"/>
                <w:kern w:val="40"/>
                <w:sz w:val="24"/>
                <w:szCs w:val="24"/>
                <w:lang w:val="en-US" w:eastAsia="zh-CN" w:bidi="ar-SA"/>
              </w:rPr>
              <w:t>Wind金融经济</w:t>
            </w:r>
            <w:r>
              <w:rPr>
                <w:rFonts w:hint="eastAsia" w:ascii="宋体" w:hAnsi="宋体" w:eastAsia="宋体" w:cs="宋体"/>
                <w:b w:val="0"/>
                <w:color w:val="auto"/>
                <w:kern w:val="40"/>
                <w:sz w:val="24"/>
                <w:szCs w:val="24"/>
                <w:lang w:val="zh-CN" w:eastAsia="zh-CN" w:bidi="ar-SA"/>
              </w:rPr>
              <w:t>数据中的年末“复权”价，已经有效的将每年由于分红、派息等产生的收益反映在价格中。</w:t>
            </w:r>
            <w:r>
              <w:rPr>
                <w:rFonts w:hint="eastAsia" w:ascii="宋体" w:hAnsi="宋体" w:eastAsia="宋体" w:cs="宋体"/>
                <w:b w:val="0"/>
                <w:color w:val="auto"/>
                <w:kern w:val="40"/>
                <w:sz w:val="24"/>
                <w:szCs w:val="24"/>
                <w:lang w:val="en-US" w:eastAsia="zh-CN" w:bidi="ar-SA"/>
              </w:rPr>
              <w:t>对于沪深300指数没有推出之前的2006～2008年，评估人员采用外推的方式推算其相关数据，即采用2009年年末沪深300指数的成分股外推到上述年份，亦即假定2006～20083年的成分股与2009年年末相同。</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为简化本次测算过程，评估人员选择将各年年末成分股的交易收盘价作为基础数据进行测算。由于成分股收益中应该包括每年分红、派息和送股等产生的收益，因此评估人员选用的成分股年末收盘价是包含了每年分红、派息和送股等产生的收益的复权年末收盘价格，以全面反映各成分股各年的收益状况。</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zh-CN" w:eastAsia="zh-CN" w:bidi="ar-SA"/>
              </w:rPr>
            </w:pPr>
            <w:r>
              <w:rPr>
                <w:rFonts w:hint="eastAsia" w:ascii="宋体" w:hAnsi="宋体" w:eastAsia="宋体" w:cs="宋体"/>
                <w:b w:val="0"/>
                <w:color w:val="auto"/>
                <w:kern w:val="40"/>
                <w:sz w:val="24"/>
                <w:szCs w:val="24"/>
                <w:lang w:val="en-US" w:eastAsia="zh-CN" w:bidi="ar-SA"/>
              </w:rPr>
              <w:t>第五步是</w:t>
            </w:r>
            <w:r>
              <w:rPr>
                <w:rFonts w:hint="eastAsia" w:ascii="宋体" w:hAnsi="宋体" w:eastAsia="宋体" w:cs="宋体"/>
                <w:b w:val="0"/>
                <w:color w:val="auto"/>
                <w:kern w:val="40"/>
                <w:sz w:val="24"/>
                <w:szCs w:val="24"/>
                <w:lang w:val="zh-CN" w:eastAsia="zh-CN" w:bidi="ar-SA"/>
              </w:rPr>
              <w:t>无风险收益率的估算。选择每年年末距到期日剩余年限超过10年的国债收益率。</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zh-CN" w:eastAsia="zh-CN" w:bidi="ar-SA"/>
              </w:rPr>
              <w:t>经过计算，当前我国的市场风险溢价约为7.6%。</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β系数是衡量委估企业相对于资本市场整体回报的风险溢价程度，也用来衡量个别股票受包括股市价格变动在内的整个经济环境影响程度的指标。对比公司的选择，通常来说选择与被评估公司所在同一行业或受同一经济因素影响的上市公司作为参考公司，且尽量选择与被评估公司所在同一国家或地区的企业作为参考公司。江西国药有限责任公司属于医药制造行业，我们选取了该行业的3家上市公司，通过Wind金融终端查询了其调整后β值，将参考公司有财务杠杆β系数换算为无财务杠杆β系数，其计算公式为</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剔除财务杠杆调整β=调整后β/[1+(1-t)×d/e]</w:t>
            </w:r>
          </w:p>
          <w:p>
            <w:pPr>
              <w:widowControl/>
              <w:spacing w:beforeLines="25" w:afterLines="25" w:line="300" w:lineRule="auto"/>
              <w:ind w:firstLine="480" w:firstLineChars="200"/>
              <w:rPr>
                <w:rFonts w:ascii="黑体" w:hAnsi="黑体" w:eastAsia="黑体" w:cs="黑体"/>
                <w:b/>
                <w:bCs/>
                <w:sz w:val="18"/>
                <w:szCs w:val="18"/>
              </w:rPr>
            </w:pPr>
            <w:r>
              <w:rPr>
                <w:rFonts w:hint="eastAsia" w:ascii="宋体" w:hAnsi="宋体" w:eastAsia="宋体" w:cs="宋体"/>
                <w:b w:val="0"/>
                <w:color w:val="auto"/>
                <w:kern w:val="40"/>
                <w:sz w:val="24"/>
                <w:szCs w:val="24"/>
                <w:lang w:val="en-US" w:eastAsia="zh-CN" w:bidi="ar-SA"/>
              </w:rPr>
              <w:t>具体计算如表9所示。</w:t>
            </w:r>
          </w:p>
          <w:p>
            <w:pPr>
              <w:widowControl/>
              <w:spacing w:beforeLines="25" w:afterLines="25" w:line="300" w:lineRule="auto"/>
              <w:ind w:firstLine="480" w:firstLineChars="200"/>
              <w:jc w:val="center"/>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表9    无财务杠杆β系数</w:t>
            </w:r>
          </w:p>
          <w:tbl>
            <w:tblPr>
              <w:tblStyle w:val="7"/>
              <w:tblW w:w="7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289"/>
              <w:gridCol w:w="992"/>
              <w:gridCol w:w="992"/>
              <w:gridCol w:w="173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5" w:type="dxa"/>
                  <w:vAlign w:val="center"/>
                </w:tcPr>
                <w:p>
                  <w:pPr>
                    <w:widowControl/>
                    <w:spacing w:line="240" w:lineRule="exact"/>
                    <w:jc w:val="center"/>
                    <w:rPr>
                      <w:rFonts w:hint="eastAsia" w:ascii="宋体" w:hAnsi="宋体" w:eastAsia="宋体" w:cs="宋体"/>
                      <w:sz w:val="24"/>
                      <w:szCs w:val="24"/>
                    </w:rPr>
                  </w:pPr>
                  <w:r>
                    <w:rPr>
                      <w:rFonts w:hint="eastAsia" w:ascii="宋体" w:hAnsi="宋体" w:eastAsia="宋体" w:cs="宋体"/>
                      <w:sz w:val="24"/>
                      <w:szCs w:val="24"/>
                    </w:rPr>
                    <w:t>企业</w:t>
                  </w:r>
                </w:p>
              </w:tc>
              <w:tc>
                <w:tcPr>
                  <w:tcW w:w="1289" w:type="dxa"/>
                  <w:vAlign w:val="center"/>
                </w:tcPr>
                <w:p>
                  <w:pPr>
                    <w:widowControl/>
                    <w:spacing w:line="240" w:lineRule="exact"/>
                    <w:jc w:val="center"/>
                    <w:rPr>
                      <w:rFonts w:hint="eastAsia" w:ascii="宋体" w:hAnsi="宋体" w:eastAsia="宋体" w:cs="宋体"/>
                      <w:sz w:val="24"/>
                      <w:szCs w:val="24"/>
                    </w:rPr>
                  </w:pPr>
                  <w:r>
                    <w:rPr>
                      <w:rFonts w:hint="eastAsia" w:ascii="宋体" w:hAnsi="宋体" w:eastAsia="宋体" w:cs="宋体"/>
                      <w:sz w:val="24"/>
                      <w:szCs w:val="24"/>
                    </w:rPr>
                    <w:t>有息负债d/所有者权益e</w:t>
                  </w:r>
                </w:p>
              </w:tc>
              <w:tc>
                <w:tcPr>
                  <w:tcW w:w="992" w:type="dxa"/>
                  <w:vAlign w:val="center"/>
                </w:tcPr>
                <w:p>
                  <w:pPr>
                    <w:widowControl/>
                    <w:spacing w:line="240" w:lineRule="exact"/>
                    <w:jc w:val="center"/>
                    <w:rPr>
                      <w:rFonts w:hint="eastAsia" w:ascii="宋体" w:hAnsi="宋体" w:eastAsia="宋体" w:cs="宋体"/>
                      <w:sz w:val="24"/>
                      <w:szCs w:val="24"/>
                    </w:rPr>
                  </w:pPr>
                  <w:r>
                    <w:rPr>
                      <w:rFonts w:hint="eastAsia" w:ascii="宋体" w:hAnsi="宋体" w:eastAsia="宋体" w:cs="宋体"/>
                      <w:sz w:val="24"/>
                      <w:szCs w:val="24"/>
                    </w:rPr>
                    <w:t>所得税率t（%）</w:t>
                  </w:r>
                </w:p>
              </w:tc>
              <w:tc>
                <w:tcPr>
                  <w:tcW w:w="992" w:type="dxa"/>
                  <w:vAlign w:val="center"/>
                </w:tcPr>
                <w:p>
                  <w:pPr>
                    <w:widowControl/>
                    <w:spacing w:line="240" w:lineRule="exact"/>
                    <w:jc w:val="center"/>
                    <w:rPr>
                      <w:rFonts w:hint="eastAsia" w:ascii="宋体" w:hAnsi="宋体" w:eastAsia="宋体" w:cs="宋体"/>
                      <w:sz w:val="24"/>
                      <w:szCs w:val="24"/>
                    </w:rPr>
                  </w:pPr>
                  <w:r>
                    <w:rPr>
                      <w:rFonts w:hint="eastAsia" w:ascii="宋体" w:hAnsi="宋体" w:eastAsia="宋体" w:cs="宋体"/>
                      <w:sz w:val="24"/>
                      <w:szCs w:val="24"/>
                    </w:rPr>
                    <w:t>调整后β</w:t>
                  </w:r>
                </w:p>
              </w:tc>
              <w:tc>
                <w:tcPr>
                  <w:tcW w:w="1730" w:type="dxa"/>
                  <w:vAlign w:val="center"/>
                </w:tcPr>
                <w:p>
                  <w:pPr>
                    <w:widowControl/>
                    <w:spacing w:line="240" w:lineRule="exact"/>
                    <w:jc w:val="center"/>
                    <w:rPr>
                      <w:rFonts w:hint="eastAsia" w:ascii="宋体" w:hAnsi="宋体" w:eastAsia="宋体" w:cs="宋体"/>
                      <w:sz w:val="24"/>
                      <w:szCs w:val="24"/>
                    </w:rPr>
                  </w:pPr>
                  <w:r>
                    <w:rPr>
                      <w:rFonts w:hint="eastAsia" w:ascii="宋体" w:hAnsi="宋体" w:eastAsia="宋体" w:cs="宋体"/>
                      <w:sz w:val="24"/>
                      <w:szCs w:val="24"/>
                    </w:rPr>
                    <w:t>剔除杠杆调整系数</w:t>
                  </w:r>
                  <w:r>
                    <w:rPr>
                      <w:rFonts w:hint="eastAsia" w:ascii="宋体" w:hAnsi="宋体" w:eastAsia="宋体" w:cs="宋体"/>
                      <w:bCs/>
                      <w:kern w:val="0"/>
                      <w:sz w:val="24"/>
                      <w:szCs w:val="24"/>
                    </w:rPr>
                    <w:t>[1+(1-t)×d/e]</w:t>
                  </w:r>
                </w:p>
              </w:tc>
              <w:tc>
                <w:tcPr>
                  <w:tcW w:w="1276" w:type="dxa"/>
                  <w:vAlign w:val="center"/>
                </w:tcPr>
                <w:p>
                  <w:pPr>
                    <w:widowControl/>
                    <w:spacing w:line="240" w:lineRule="exact"/>
                    <w:jc w:val="center"/>
                    <w:rPr>
                      <w:rFonts w:hint="eastAsia" w:ascii="宋体" w:hAnsi="宋体" w:eastAsia="宋体" w:cs="宋体"/>
                      <w:sz w:val="24"/>
                      <w:szCs w:val="24"/>
                    </w:rPr>
                  </w:pPr>
                  <w:r>
                    <w:rPr>
                      <w:rFonts w:hint="eastAsia" w:ascii="宋体" w:hAnsi="宋体" w:eastAsia="宋体" w:cs="宋体"/>
                      <w:sz w:val="24"/>
                      <w:szCs w:val="24"/>
                    </w:rPr>
                    <w:t>剔除财务杠杆的β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5" w:type="dxa"/>
                  <w:vAlign w:val="center"/>
                </w:tcPr>
                <w:p>
                  <w:pPr>
                    <w:widowControl/>
                    <w:spacing w:line="240" w:lineRule="exact"/>
                    <w:jc w:val="center"/>
                    <w:rPr>
                      <w:rFonts w:hint="eastAsia" w:ascii="宋体" w:hAnsi="宋体" w:eastAsia="宋体" w:cs="宋体"/>
                      <w:kern w:val="0"/>
                      <w:sz w:val="24"/>
                      <w:szCs w:val="24"/>
                    </w:rPr>
                  </w:pPr>
                  <w:r>
                    <w:rPr>
                      <w:rFonts w:hint="eastAsia" w:ascii="宋体" w:hAnsi="宋体" w:eastAsia="宋体" w:cs="宋体"/>
                      <w:sz w:val="24"/>
                      <w:szCs w:val="24"/>
                    </w:rPr>
                    <w:t>华东医药</w:t>
                  </w:r>
                </w:p>
              </w:tc>
              <w:tc>
                <w:tcPr>
                  <w:tcW w:w="1289" w:type="dxa"/>
                  <w:vAlign w:val="bottom"/>
                </w:tcPr>
                <w:p>
                  <w:pPr>
                    <w:widowControl/>
                    <w:spacing w:line="240" w:lineRule="exact"/>
                    <w:jc w:val="center"/>
                    <w:rPr>
                      <w:rFonts w:hint="eastAsia" w:ascii="宋体" w:hAnsi="宋体" w:eastAsia="宋体" w:cs="宋体"/>
                      <w:kern w:val="0"/>
                      <w:sz w:val="24"/>
                      <w:szCs w:val="24"/>
                    </w:rPr>
                  </w:pPr>
                  <w:r>
                    <w:rPr>
                      <w:rFonts w:hint="eastAsia" w:ascii="宋体" w:hAnsi="宋体" w:eastAsia="宋体" w:cs="宋体"/>
                      <w:sz w:val="24"/>
                      <w:szCs w:val="24"/>
                    </w:rPr>
                    <w:t>0.1029</w:t>
                  </w:r>
                </w:p>
              </w:tc>
              <w:tc>
                <w:tcPr>
                  <w:tcW w:w="992" w:type="dxa"/>
                  <w:vAlign w:val="bottom"/>
                </w:tcPr>
                <w:p>
                  <w:pPr>
                    <w:widowControl/>
                    <w:spacing w:line="240" w:lineRule="exact"/>
                    <w:jc w:val="center"/>
                    <w:rPr>
                      <w:rFonts w:hint="eastAsia" w:ascii="宋体" w:hAnsi="宋体" w:eastAsia="宋体" w:cs="宋体"/>
                      <w:kern w:val="0"/>
                      <w:sz w:val="24"/>
                      <w:szCs w:val="24"/>
                    </w:rPr>
                  </w:pPr>
                  <w:r>
                    <w:rPr>
                      <w:rFonts w:hint="eastAsia" w:ascii="宋体" w:hAnsi="宋体" w:eastAsia="宋体" w:cs="宋体"/>
                      <w:sz w:val="24"/>
                      <w:szCs w:val="24"/>
                    </w:rPr>
                    <w:t>15</w:t>
                  </w:r>
                </w:p>
              </w:tc>
              <w:tc>
                <w:tcPr>
                  <w:tcW w:w="992" w:type="dxa"/>
                  <w:vAlign w:val="bottom"/>
                </w:tcPr>
                <w:p>
                  <w:pPr>
                    <w:widowControl/>
                    <w:spacing w:line="240" w:lineRule="exact"/>
                    <w:jc w:val="center"/>
                    <w:rPr>
                      <w:rFonts w:hint="eastAsia" w:ascii="宋体" w:hAnsi="宋体" w:eastAsia="宋体" w:cs="宋体"/>
                      <w:kern w:val="0"/>
                      <w:sz w:val="24"/>
                      <w:szCs w:val="24"/>
                    </w:rPr>
                  </w:pPr>
                  <w:r>
                    <w:rPr>
                      <w:rFonts w:hint="eastAsia" w:ascii="宋体" w:hAnsi="宋体" w:eastAsia="宋体" w:cs="宋体"/>
                      <w:sz w:val="24"/>
                      <w:szCs w:val="24"/>
                    </w:rPr>
                    <w:t>0.3227</w:t>
                  </w:r>
                </w:p>
              </w:tc>
              <w:tc>
                <w:tcPr>
                  <w:tcW w:w="1730"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1.0875</w:t>
                  </w:r>
                </w:p>
              </w:tc>
              <w:tc>
                <w:tcPr>
                  <w:tcW w:w="1276"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0.2967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5" w:type="dxa"/>
                  <w:vAlign w:val="center"/>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康恩贝</w:t>
                  </w:r>
                </w:p>
              </w:tc>
              <w:tc>
                <w:tcPr>
                  <w:tcW w:w="1289"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0.0939</w:t>
                  </w:r>
                </w:p>
              </w:tc>
              <w:tc>
                <w:tcPr>
                  <w:tcW w:w="992"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15</w:t>
                  </w:r>
                </w:p>
              </w:tc>
              <w:tc>
                <w:tcPr>
                  <w:tcW w:w="992"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0.8523</w:t>
                  </w:r>
                </w:p>
              </w:tc>
              <w:tc>
                <w:tcPr>
                  <w:tcW w:w="1730"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1.0798</w:t>
                  </w:r>
                </w:p>
              </w:tc>
              <w:tc>
                <w:tcPr>
                  <w:tcW w:w="1276"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0.7893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5" w:type="dxa"/>
                  <w:vAlign w:val="center"/>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奇正藏药</w:t>
                  </w:r>
                </w:p>
              </w:tc>
              <w:tc>
                <w:tcPr>
                  <w:tcW w:w="1289"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0.0072</w:t>
                  </w:r>
                </w:p>
              </w:tc>
              <w:tc>
                <w:tcPr>
                  <w:tcW w:w="992"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25</w:t>
                  </w:r>
                </w:p>
              </w:tc>
              <w:tc>
                <w:tcPr>
                  <w:tcW w:w="992"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0.8215</w:t>
                  </w:r>
                </w:p>
              </w:tc>
              <w:tc>
                <w:tcPr>
                  <w:tcW w:w="1730"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1.0054</w:t>
                  </w:r>
                </w:p>
              </w:tc>
              <w:tc>
                <w:tcPr>
                  <w:tcW w:w="1276"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0.8171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5" w:type="dxa"/>
                  <w:vAlign w:val="center"/>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平均值</w:t>
                  </w:r>
                </w:p>
              </w:tc>
              <w:tc>
                <w:tcPr>
                  <w:tcW w:w="1289"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0.0680</w:t>
                  </w:r>
                </w:p>
              </w:tc>
              <w:tc>
                <w:tcPr>
                  <w:tcW w:w="992" w:type="dxa"/>
                  <w:vAlign w:val="bottom"/>
                </w:tcPr>
                <w:p>
                  <w:pPr>
                    <w:spacing w:line="240" w:lineRule="exact"/>
                    <w:jc w:val="center"/>
                    <w:rPr>
                      <w:rFonts w:hint="eastAsia" w:ascii="宋体" w:hAnsi="宋体" w:eastAsia="宋体" w:cs="宋体"/>
                      <w:sz w:val="24"/>
                      <w:szCs w:val="24"/>
                    </w:rPr>
                  </w:pPr>
                </w:p>
              </w:tc>
              <w:tc>
                <w:tcPr>
                  <w:tcW w:w="992"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0.6655</w:t>
                  </w:r>
                </w:p>
              </w:tc>
              <w:tc>
                <w:tcPr>
                  <w:tcW w:w="1730"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1.0576</w:t>
                  </w:r>
                </w:p>
              </w:tc>
              <w:tc>
                <w:tcPr>
                  <w:tcW w:w="1276" w:type="dxa"/>
                  <w:vAlign w:val="bottom"/>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0.6344</w:t>
                  </w:r>
                </w:p>
              </w:tc>
            </w:tr>
          </w:tbl>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对比公司的平均财务杠杆系数（d/e）为0.0680。剔除财务杠杆后调整β均值为0.6344，按照平均财务杠杆系数换算为被评估公司目标财务杠杆β值，其中边际税率采用25%，有息负债与所有者权益的比例关系采用对比公司的均值0.0680测算。</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被评估公司调整后β=剔除财务杠杆调整β×[1+(1-t)×d/e]</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=0.6344×[1+(1-25%)×0.0680]</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=0.6696</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因此R</w:t>
            </w:r>
            <w:r>
              <w:rPr>
                <w:rFonts w:hint="eastAsia" w:ascii="宋体" w:hAnsi="宋体" w:eastAsia="宋体" w:cs="宋体"/>
                <w:b w:val="0"/>
                <w:color w:val="auto"/>
                <w:kern w:val="40"/>
                <w:sz w:val="24"/>
                <w:szCs w:val="24"/>
                <w:vertAlign w:val="subscript"/>
                <w:lang w:val="en-US" w:eastAsia="zh-CN" w:bidi="ar-SA"/>
              </w:rPr>
              <w:t>0</w:t>
            </w:r>
            <w:r>
              <w:rPr>
                <w:rFonts w:hint="eastAsia" w:ascii="宋体" w:hAnsi="宋体" w:eastAsia="宋体" w:cs="宋体"/>
                <w:b w:val="0"/>
                <w:color w:val="auto"/>
                <w:kern w:val="40"/>
                <w:sz w:val="24"/>
                <w:szCs w:val="24"/>
                <w:lang w:val="en-US" w:eastAsia="zh-CN" w:bidi="ar-SA"/>
              </w:rPr>
              <w:t>＝4.37 %＋</w:t>
            </w:r>
            <w:r>
              <w:rPr>
                <w:rFonts w:hint="eastAsia" w:ascii="宋体" w:hAnsi="宋体" w:eastAsia="宋体" w:cs="宋体"/>
                <w:b w:val="0"/>
                <w:color w:val="auto"/>
                <w:kern w:val="40"/>
                <w:sz w:val="24"/>
                <w:szCs w:val="24"/>
                <w:lang w:val="zh-CN" w:eastAsia="zh-CN" w:bidi="ar-SA"/>
              </w:rPr>
              <w:t>7.6%</w:t>
            </w:r>
            <w:r>
              <w:rPr>
                <w:rFonts w:hint="eastAsia" w:ascii="宋体" w:hAnsi="宋体" w:eastAsia="宋体" w:cs="宋体"/>
                <w:b w:val="0"/>
                <w:color w:val="auto"/>
                <w:kern w:val="40"/>
                <w:sz w:val="24"/>
                <w:szCs w:val="24"/>
                <w:lang w:val="en-US" w:eastAsia="zh-CN" w:bidi="ar-SA"/>
              </w:rPr>
              <w:t>×0.6696=9.46%。</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④R</w:t>
            </w:r>
            <w:r>
              <w:rPr>
                <w:rFonts w:hint="eastAsia" w:ascii="宋体" w:hAnsi="宋体" w:eastAsia="宋体" w:cs="宋体"/>
                <w:b w:val="0"/>
                <w:color w:val="auto"/>
                <w:kern w:val="40"/>
                <w:sz w:val="24"/>
                <w:szCs w:val="24"/>
                <w:vertAlign w:val="subscript"/>
                <w:lang w:val="en-US" w:eastAsia="zh-CN" w:bidi="ar-SA"/>
              </w:rPr>
              <w:t>c</w:t>
            </w:r>
            <w:r>
              <w:rPr>
                <w:rFonts w:hint="eastAsia" w:ascii="宋体" w:hAnsi="宋体" w:eastAsia="宋体" w:cs="宋体"/>
                <w:b w:val="0"/>
                <w:color w:val="auto"/>
                <w:kern w:val="40"/>
                <w:sz w:val="24"/>
                <w:szCs w:val="24"/>
                <w:lang w:val="en-US" w:eastAsia="zh-CN" w:bidi="ar-SA"/>
              </w:rPr>
              <w:t>的确定：R</w:t>
            </w:r>
            <w:r>
              <w:rPr>
                <w:rFonts w:hint="eastAsia" w:ascii="宋体" w:hAnsi="宋体" w:eastAsia="宋体" w:cs="宋体"/>
                <w:b w:val="0"/>
                <w:color w:val="auto"/>
                <w:kern w:val="40"/>
                <w:sz w:val="24"/>
                <w:szCs w:val="24"/>
                <w:vertAlign w:val="subscript"/>
                <w:lang w:val="en-US" w:eastAsia="zh-CN" w:bidi="ar-SA"/>
              </w:rPr>
              <w:t>c</w:t>
            </w:r>
            <w:r>
              <w:rPr>
                <w:rFonts w:hint="eastAsia" w:ascii="宋体" w:hAnsi="宋体" w:eastAsia="宋体" w:cs="宋体"/>
                <w:b w:val="0"/>
                <w:color w:val="auto"/>
                <w:kern w:val="40"/>
                <w:sz w:val="24"/>
                <w:szCs w:val="24"/>
                <w:lang w:val="en-US" w:eastAsia="zh-CN" w:bidi="ar-SA"/>
              </w:rPr>
              <w:t>为被评估企业个别风险溢价，它是公司股东对所承担的与其它公司不同风险因而对投资回报率额外要求的期望，江西国药的个别风险分析如下：</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首先是规模风险：与上市公司相比，江西国药规模较小，抵御风险能力较弱。取规模风险2%。</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其次是市场风险，江西国药的盐酸土霉素和盐酸林可霉素目前市场供大于求，未来市场状况能否有所改善，存在一定的风险。同时，虫草菌粉的下游产品金水宝胶囊受竞争产品百令缴纳的冲击较大，金水宝胶囊能否在未来实现销售增长存在一定的风险。因此，取市场风险2%。综上，本次评估个别风险溢价R</w:t>
            </w:r>
            <w:r>
              <w:rPr>
                <w:rFonts w:hint="eastAsia" w:ascii="宋体" w:hAnsi="宋体" w:eastAsia="宋体" w:cs="宋体"/>
                <w:b w:val="0"/>
                <w:color w:val="auto"/>
                <w:kern w:val="40"/>
                <w:sz w:val="24"/>
                <w:szCs w:val="24"/>
                <w:vertAlign w:val="subscript"/>
                <w:lang w:val="en-US" w:eastAsia="zh-CN" w:bidi="ar-SA"/>
              </w:rPr>
              <w:t>c</w:t>
            </w:r>
            <w:r>
              <w:rPr>
                <w:rFonts w:hint="eastAsia" w:ascii="宋体" w:hAnsi="宋体" w:eastAsia="宋体" w:cs="宋体"/>
                <w:b w:val="0"/>
                <w:color w:val="auto"/>
                <w:kern w:val="40"/>
                <w:sz w:val="24"/>
                <w:szCs w:val="24"/>
                <w:lang w:val="en-US" w:eastAsia="zh-CN" w:bidi="ar-SA"/>
              </w:rPr>
              <w:t>取4%。</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将无风险报酬率、市场风险溢价和个别风险溢价相加，得到江西国药有限责任公司的权益资本成本，经计算K</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＝13.46%。</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⑤债务资本成本的确定</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目前中国境内只有极少数国营大型企业或国家重点工程项目才可以被批准发行公司债券。事实上，尽管有一些公司债券是可以交易的，但是目前尚未建立起完善的公司债券市场。通过查询中国人民银行公布的在评估基准日有效的五年期以上贷款利率是6.55%，本次评估采用该利率作为被评估企业债权年期望回报率。</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⑥加权平均资本成本的确定</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zh-CN" w:eastAsia="zh-CN" w:bidi="ar-SA"/>
              </w:rPr>
            </w:pPr>
            <w:r>
              <w:rPr>
                <w:rFonts w:hint="eastAsia" w:ascii="宋体" w:hAnsi="宋体" w:eastAsia="宋体" w:cs="宋体"/>
                <w:b w:val="0"/>
                <w:color w:val="auto"/>
                <w:kern w:val="40"/>
                <w:sz w:val="24"/>
                <w:szCs w:val="24"/>
                <w:lang w:val="zh-CN" w:eastAsia="zh-CN" w:bidi="ar-SA"/>
              </w:rPr>
              <w:t>结合企业未来盈利情况、管理层未来的筹资策略，确定上市公司</w:t>
            </w:r>
            <w:r>
              <w:rPr>
                <w:rFonts w:hint="eastAsia" w:ascii="宋体" w:hAnsi="宋体" w:eastAsia="宋体" w:cs="宋体"/>
                <w:b w:val="0"/>
                <w:color w:val="auto"/>
                <w:kern w:val="40"/>
                <w:sz w:val="24"/>
                <w:szCs w:val="24"/>
                <w:lang w:val="en-US" w:eastAsia="zh-CN" w:bidi="ar-SA"/>
              </w:rPr>
              <w:t>平均</w:t>
            </w:r>
            <w:r>
              <w:rPr>
                <w:rFonts w:hint="eastAsia" w:ascii="宋体" w:hAnsi="宋体" w:eastAsia="宋体" w:cs="宋体"/>
                <w:b w:val="0"/>
                <w:color w:val="auto"/>
                <w:kern w:val="40"/>
                <w:sz w:val="24"/>
                <w:szCs w:val="24"/>
                <w:lang w:val="zh-CN" w:eastAsia="zh-CN" w:bidi="ar-SA"/>
              </w:rPr>
              <w:t>资本结构为企业目标资本结构比率。</w:t>
            </w:r>
          </w:p>
          <w:p>
            <w:pPr>
              <w:widowControl/>
              <w:spacing w:beforeLines="25" w:afterLines="25" w:line="300" w:lineRule="auto"/>
              <w:jc w:val="center"/>
              <w:rPr>
                <w:rFonts w:hint="eastAsia" w:ascii="宋体" w:hAnsi="宋体" w:eastAsia="宋体" w:cs="宋体"/>
                <w:b w:val="0"/>
                <w:color w:val="auto"/>
                <w:kern w:val="40"/>
                <w:sz w:val="24"/>
                <w:szCs w:val="24"/>
                <w:lang w:val="zh-CN" w:eastAsia="zh-CN" w:bidi="ar-SA"/>
              </w:rPr>
            </w:pPr>
            <w:r>
              <w:rPr>
                <w:rFonts w:hint="eastAsia" w:ascii="宋体" w:hAnsi="宋体" w:eastAsia="宋体" w:cs="宋体"/>
                <w:b w:val="0"/>
                <w:color w:val="auto"/>
                <w:kern w:val="40"/>
                <w:sz w:val="24"/>
                <w:szCs w:val="24"/>
                <w:lang w:val="zh-CN" w:eastAsia="zh-CN" w:bidi="ar-SA"/>
              </w:rPr>
              <w:t>表10     加权资本成本测算表</w:t>
            </w:r>
          </w:p>
          <w:tbl>
            <w:tblPr>
              <w:tblStyle w:val="7"/>
              <w:tblW w:w="7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1"/>
              <w:gridCol w:w="2773"/>
              <w:gridCol w:w="2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blHeader/>
                <w:jc w:val="center"/>
              </w:trPr>
              <w:tc>
                <w:tcPr>
                  <w:tcW w:w="2561" w:type="dxa"/>
                  <w:vAlign w:val="center"/>
                </w:tcPr>
                <w:p>
                  <w:pPr>
                    <w:widowControl/>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企业名称</w:t>
                  </w:r>
                </w:p>
              </w:tc>
              <w:tc>
                <w:tcPr>
                  <w:tcW w:w="2773" w:type="dxa"/>
                  <w:vAlign w:val="center"/>
                </w:tcPr>
                <w:p>
                  <w:pPr>
                    <w:widowControl/>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W</w:t>
                  </w:r>
                  <w:r>
                    <w:rPr>
                      <w:rFonts w:hint="eastAsia" w:ascii="宋体" w:hAnsi="宋体" w:eastAsia="宋体" w:cs="宋体"/>
                      <w:bCs/>
                      <w:sz w:val="24"/>
                      <w:szCs w:val="24"/>
                      <w:vertAlign w:val="subscript"/>
                    </w:rPr>
                    <w:t>d</w:t>
                  </w:r>
                  <w:r>
                    <w:rPr>
                      <w:rFonts w:hint="eastAsia" w:ascii="宋体" w:hAnsi="宋体" w:eastAsia="宋体" w:cs="宋体"/>
                      <w:bCs/>
                      <w:sz w:val="24"/>
                      <w:szCs w:val="24"/>
                    </w:rPr>
                    <w:t>=d/(d+e)（%）</w:t>
                  </w:r>
                </w:p>
              </w:tc>
              <w:tc>
                <w:tcPr>
                  <w:tcW w:w="2504" w:type="dxa"/>
                  <w:vAlign w:val="center"/>
                </w:tcPr>
                <w:p>
                  <w:pPr>
                    <w:widowControl/>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We=1- W</w:t>
                  </w:r>
                  <w:r>
                    <w:rPr>
                      <w:rFonts w:hint="eastAsia" w:ascii="宋体" w:hAnsi="宋体" w:eastAsia="宋体" w:cs="宋体"/>
                      <w:bCs/>
                      <w:sz w:val="24"/>
                      <w:szCs w:val="24"/>
                      <w:vertAlign w:val="subscript"/>
                    </w:rPr>
                    <w:t>d</w:t>
                  </w:r>
                  <w:r>
                    <w:rPr>
                      <w:rFonts w:hint="eastAsia" w:ascii="宋体" w:hAnsi="宋体" w:eastAsia="宋体" w:cs="宋体"/>
                      <w:bCs/>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2561" w:type="dxa"/>
                  <w:vAlign w:val="center"/>
                </w:tcPr>
                <w:p>
                  <w:pPr>
                    <w:spacing w:line="240" w:lineRule="exact"/>
                    <w:jc w:val="center"/>
                    <w:rPr>
                      <w:rFonts w:hint="eastAsia" w:ascii="宋体" w:hAnsi="宋体" w:eastAsia="宋体" w:cs="宋体"/>
                      <w:bCs/>
                      <w:kern w:val="0"/>
                      <w:sz w:val="24"/>
                      <w:szCs w:val="24"/>
                    </w:rPr>
                  </w:pPr>
                  <w:r>
                    <w:rPr>
                      <w:rFonts w:hint="eastAsia" w:ascii="宋体" w:hAnsi="宋体" w:eastAsia="宋体" w:cs="宋体"/>
                      <w:bCs/>
                      <w:sz w:val="24"/>
                      <w:szCs w:val="24"/>
                    </w:rPr>
                    <w:t>华东医药</w:t>
                  </w:r>
                </w:p>
              </w:tc>
              <w:tc>
                <w:tcPr>
                  <w:tcW w:w="2773" w:type="dxa"/>
                  <w:vAlign w:val="bottom"/>
                </w:tcPr>
                <w:p>
                  <w:pPr>
                    <w:spacing w:line="240" w:lineRule="exact"/>
                    <w:jc w:val="center"/>
                    <w:rPr>
                      <w:rFonts w:hint="eastAsia" w:ascii="宋体" w:hAnsi="宋体" w:eastAsia="宋体" w:cs="宋体"/>
                      <w:bCs/>
                      <w:kern w:val="0"/>
                      <w:sz w:val="24"/>
                      <w:szCs w:val="24"/>
                    </w:rPr>
                  </w:pPr>
                  <w:r>
                    <w:rPr>
                      <w:rFonts w:hint="eastAsia" w:ascii="宋体" w:hAnsi="宋体" w:eastAsia="宋体" w:cs="宋体"/>
                      <w:bCs/>
                      <w:sz w:val="24"/>
                      <w:szCs w:val="24"/>
                    </w:rPr>
                    <w:t>9.33</w:t>
                  </w:r>
                </w:p>
              </w:tc>
              <w:tc>
                <w:tcPr>
                  <w:tcW w:w="2504" w:type="dxa"/>
                  <w:vAlign w:val="bottom"/>
                </w:tcPr>
                <w:p>
                  <w:pPr>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90.67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2561" w:type="dxa"/>
                  <w:vAlign w:val="center"/>
                </w:tcPr>
                <w:p>
                  <w:pPr>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康恩贝</w:t>
                  </w:r>
                </w:p>
              </w:tc>
              <w:tc>
                <w:tcPr>
                  <w:tcW w:w="2773" w:type="dxa"/>
                  <w:vAlign w:val="bottom"/>
                </w:tcPr>
                <w:p>
                  <w:pPr>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8.58</w:t>
                  </w:r>
                </w:p>
              </w:tc>
              <w:tc>
                <w:tcPr>
                  <w:tcW w:w="2504" w:type="dxa"/>
                  <w:vAlign w:val="bottom"/>
                </w:tcPr>
                <w:p>
                  <w:pPr>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91.42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2561" w:type="dxa"/>
                  <w:vAlign w:val="center"/>
                </w:tcPr>
                <w:p>
                  <w:pPr>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奇正藏药</w:t>
                  </w:r>
                </w:p>
              </w:tc>
              <w:tc>
                <w:tcPr>
                  <w:tcW w:w="2773" w:type="dxa"/>
                  <w:vAlign w:val="bottom"/>
                </w:tcPr>
                <w:p>
                  <w:pPr>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0.71</w:t>
                  </w:r>
                </w:p>
              </w:tc>
              <w:tc>
                <w:tcPr>
                  <w:tcW w:w="2504" w:type="dxa"/>
                  <w:vAlign w:val="bottom"/>
                </w:tcPr>
                <w:p>
                  <w:pPr>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99.29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561" w:type="dxa"/>
                  <w:vAlign w:val="center"/>
                </w:tcPr>
                <w:p>
                  <w:pPr>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平均值</w:t>
                  </w:r>
                </w:p>
              </w:tc>
              <w:tc>
                <w:tcPr>
                  <w:tcW w:w="2773" w:type="dxa"/>
                  <w:vAlign w:val="bottom"/>
                </w:tcPr>
                <w:p>
                  <w:pPr>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6.21</w:t>
                  </w:r>
                </w:p>
              </w:tc>
              <w:tc>
                <w:tcPr>
                  <w:tcW w:w="2504" w:type="dxa"/>
                  <w:vAlign w:val="bottom"/>
                </w:tcPr>
                <w:p>
                  <w:pPr>
                    <w:spacing w:line="240" w:lineRule="exact"/>
                    <w:jc w:val="center"/>
                    <w:rPr>
                      <w:rFonts w:hint="eastAsia" w:ascii="宋体" w:hAnsi="宋体" w:eastAsia="宋体" w:cs="宋体"/>
                      <w:bCs/>
                      <w:sz w:val="24"/>
                      <w:szCs w:val="24"/>
                    </w:rPr>
                  </w:pPr>
                  <w:r>
                    <w:rPr>
                      <w:rFonts w:hint="eastAsia" w:ascii="宋体" w:hAnsi="宋体" w:eastAsia="宋体" w:cs="宋体"/>
                      <w:bCs/>
                      <w:sz w:val="24"/>
                      <w:szCs w:val="24"/>
                    </w:rPr>
                    <w:t>93.79</w:t>
                  </w:r>
                </w:p>
              </w:tc>
            </w:tr>
          </w:tbl>
          <w:p>
            <w:pPr>
              <w:widowControl/>
              <w:spacing w:beforeLines="25" w:afterLines="25" w:line="300" w:lineRule="auto"/>
              <w:ind w:firstLine="480" w:firstLineChars="200"/>
              <w:rPr>
                <w:rFonts w:hint="eastAsia" w:ascii="宋体" w:hAnsi="宋体" w:eastAsia="宋体" w:cs="宋体"/>
                <w:b w:val="0"/>
                <w:color w:val="auto"/>
                <w:kern w:val="40"/>
                <w:sz w:val="24"/>
                <w:szCs w:val="24"/>
                <w:lang w:val="zh-CN" w:eastAsia="zh-CN" w:bidi="ar-SA"/>
              </w:rPr>
            </w:pPr>
            <w:r>
              <w:rPr>
                <w:rFonts w:hint="eastAsia" w:ascii="宋体" w:hAnsi="宋体" w:eastAsia="宋体" w:cs="宋体"/>
                <w:b w:val="0"/>
                <w:color w:val="auto"/>
                <w:kern w:val="40"/>
                <w:sz w:val="24"/>
                <w:szCs w:val="24"/>
                <w:lang w:val="zh-CN" w:eastAsia="zh-CN" w:bidi="ar-SA"/>
              </w:rPr>
              <w:t>参照选取的</w:t>
            </w:r>
            <w:r>
              <w:rPr>
                <w:rFonts w:hint="eastAsia" w:ascii="宋体" w:hAnsi="宋体" w:eastAsia="宋体" w:cs="宋体"/>
                <w:b w:val="0"/>
                <w:color w:val="auto"/>
                <w:kern w:val="40"/>
                <w:sz w:val="24"/>
                <w:szCs w:val="24"/>
                <w:lang w:val="en-US" w:eastAsia="zh-CN" w:bidi="ar-SA"/>
              </w:rPr>
              <w:t>对比公司</w:t>
            </w:r>
            <w:r>
              <w:rPr>
                <w:rFonts w:hint="eastAsia" w:ascii="宋体" w:hAnsi="宋体" w:eastAsia="宋体" w:cs="宋体"/>
                <w:b w:val="0"/>
                <w:color w:val="auto"/>
                <w:kern w:val="40"/>
                <w:sz w:val="24"/>
                <w:szCs w:val="24"/>
                <w:lang w:val="zh-CN" w:eastAsia="zh-CN" w:bidi="ar-SA"/>
              </w:rPr>
              <w:t>，W</w:t>
            </w:r>
            <w:r>
              <w:rPr>
                <w:rFonts w:hint="eastAsia" w:ascii="宋体" w:hAnsi="宋体" w:eastAsia="宋体" w:cs="宋体"/>
                <w:b w:val="0"/>
                <w:color w:val="auto"/>
                <w:kern w:val="40"/>
                <w:sz w:val="24"/>
                <w:szCs w:val="24"/>
                <w:vertAlign w:val="subscript"/>
                <w:lang w:val="zh-CN" w:eastAsia="zh-CN" w:bidi="ar-SA"/>
              </w:rPr>
              <w:t>d</w:t>
            </w:r>
            <w:r>
              <w:rPr>
                <w:rFonts w:hint="eastAsia" w:ascii="宋体" w:hAnsi="宋体" w:eastAsia="宋体" w:cs="宋体"/>
                <w:b w:val="0"/>
                <w:color w:val="auto"/>
                <w:kern w:val="40"/>
                <w:sz w:val="24"/>
                <w:szCs w:val="24"/>
                <w:lang w:val="zh-CN" w:eastAsia="zh-CN" w:bidi="ar-SA"/>
              </w:rPr>
              <w:t>为6.21%，W</w:t>
            </w:r>
            <w:r>
              <w:rPr>
                <w:rFonts w:hint="eastAsia" w:ascii="宋体" w:hAnsi="宋体" w:eastAsia="宋体" w:cs="宋体"/>
                <w:b w:val="0"/>
                <w:color w:val="auto"/>
                <w:kern w:val="40"/>
                <w:sz w:val="24"/>
                <w:szCs w:val="24"/>
                <w:vertAlign w:val="subscript"/>
                <w:lang w:val="zh-CN" w:eastAsia="zh-CN" w:bidi="ar-SA"/>
              </w:rPr>
              <w:t>e</w:t>
            </w:r>
            <w:r>
              <w:rPr>
                <w:rFonts w:hint="eastAsia" w:ascii="宋体" w:hAnsi="宋体" w:eastAsia="宋体" w:cs="宋体"/>
                <w:b w:val="0"/>
                <w:color w:val="auto"/>
                <w:kern w:val="40"/>
                <w:sz w:val="24"/>
                <w:szCs w:val="24"/>
                <w:lang w:val="zh-CN" w:eastAsia="zh-CN" w:bidi="ar-SA"/>
              </w:rPr>
              <w:t>为93.79%。则</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WACC＝K</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×W</w:t>
            </w:r>
            <w:r>
              <w:rPr>
                <w:rFonts w:hint="eastAsia" w:ascii="宋体" w:hAnsi="宋体" w:eastAsia="宋体" w:cs="宋体"/>
                <w:b w:val="0"/>
                <w:color w:val="auto"/>
                <w:kern w:val="40"/>
                <w:sz w:val="24"/>
                <w:szCs w:val="24"/>
                <w:vertAlign w:val="subscript"/>
                <w:lang w:val="en-US" w:eastAsia="zh-CN" w:bidi="ar-SA"/>
              </w:rPr>
              <w:t>e</w:t>
            </w:r>
            <w:r>
              <w:rPr>
                <w:rFonts w:hint="eastAsia" w:ascii="宋体" w:hAnsi="宋体" w:eastAsia="宋体" w:cs="宋体"/>
                <w:b w:val="0"/>
                <w:color w:val="auto"/>
                <w:kern w:val="40"/>
                <w:sz w:val="24"/>
                <w:szCs w:val="24"/>
                <w:lang w:val="en-US" w:eastAsia="zh-CN" w:bidi="ar-SA"/>
              </w:rPr>
              <w:t>+K</w:t>
            </w:r>
            <w:r>
              <w:rPr>
                <w:rFonts w:hint="eastAsia" w:ascii="宋体" w:hAnsi="宋体" w:eastAsia="宋体" w:cs="宋体"/>
                <w:b w:val="0"/>
                <w:color w:val="auto"/>
                <w:kern w:val="40"/>
                <w:sz w:val="24"/>
                <w:szCs w:val="24"/>
                <w:vertAlign w:val="subscript"/>
                <w:lang w:val="en-US" w:eastAsia="zh-CN" w:bidi="ar-SA"/>
              </w:rPr>
              <w:t>d</w:t>
            </w:r>
            <w:r>
              <w:rPr>
                <w:rFonts w:hint="eastAsia" w:ascii="宋体" w:hAnsi="宋体" w:eastAsia="宋体" w:cs="宋体"/>
                <w:b w:val="0"/>
                <w:color w:val="auto"/>
                <w:kern w:val="40"/>
                <w:sz w:val="24"/>
                <w:szCs w:val="24"/>
                <w:lang w:val="en-US" w:eastAsia="zh-CN" w:bidi="ar-SA"/>
              </w:rPr>
              <w:t>×(1-t)×W</w:t>
            </w:r>
            <w:r>
              <w:rPr>
                <w:rFonts w:hint="eastAsia" w:ascii="宋体" w:hAnsi="宋体" w:eastAsia="宋体" w:cs="宋体"/>
                <w:b w:val="0"/>
                <w:color w:val="auto"/>
                <w:kern w:val="40"/>
                <w:sz w:val="24"/>
                <w:szCs w:val="24"/>
                <w:vertAlign w:val="subscript"/>
                <w:lang w:val="en-US" w:eastAsia="zh-CN" w:bidi="ar-SA"/>
              </w:rPr>
              <w:t>d</w:t>
            </w:r>
            <w:r>
              <w:rPr>
                <w:rFonts w:hint="eastAsia" w:ascii="宋体" w:hAnsi="宋体" w:eastAsia="宋体" w:cs="宋体"/>
                <w:b w:val="0"/>
                <w:color w:val="auto"/>
                <w:kern w:val="40"/>
                <w:sz w:val="24"/>
                <w:szCs w:val="24"/>
                <w:lang w:val="en-US" w:eastAsia="zh-CN" w:bidi="ar-SA"/>
              </w:rPr>
              <w:t>＝13.46%×93.79%＋6.55%×（1-15%）×6.21%</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＝12.97%</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本次评估采用的加权平均资本成本即折现率为12.97%，取整为13%。</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这里采用三家上市公司的资本结构，所以测算经营资金、有形非流动资产以及无形资产的比例关系时，需要采用上市公司的资产比例关系，根据资产评估基准日的资产负债表进行测算，三家上市公司的平均资产比例关系分别为：</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营运资金/全部资产=21.0%；</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有形非流动资产/全部资产=13.1%；</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无形资产/全部资产=65.9%；</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由于营运资金流动性较高，风险较小，回报率Rc取1年期贷款利率6%，而有形非流动资产的流动性较差，风险较高，有形非流动资产回报率Rf取5年期贷款利率6.55%。</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因此，无形资产折现率=（13%-21.0%×6%-13.1%×6.55%）/65.9%=16.51%</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考虑到目前盐酸林克霉素市场供大于求，对委估专利取1%的个别风险，无形资产折现率取整为17.51%，取整为18%。</w:t>
            </w:r>
          </w:p>
          <w:p>
            <w:pPr>
              <w:widowControl/>
              <w:spacing w:beforeLines="25" w:afterLines="25" w:line="300" w:lineRule="auto"/>
              <w:ind w:firstLine="482"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5.评估结果</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上述说明中已经预测了委估无形资产未来五年的逐年净收益，五年以后年度的净收益与第5年持平。</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因此，委估无形资产收益法评估结果如下：</w:t>
            </w:r>
          </w:p>
          <w:p>
            <w:pPr>
              <w:spacing w:line="400" w:lineRule="exact"/>
              <w:jc w:val="center"/>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表11    评估结果</w:t>
            </w:r>
          </w:p>
          <w:p>
            <w:pPr>
              <w:spacing w:line="400" w:lineRule="exact"/>
              <w:ind w:firstLine="480" w:firstLineChars="200"/>
              <w:jc w:val="right"/>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单位：万元</w:t>
            </w:r>
          </w:p>
          <w:tbl>
            <w:tblPr>
              <w:tblStyle w:val="7"/>
              <w:tblW w:w="8215" w:type="dxa"/>
              <w:jc w:val="center"/>
              <w:tblLayout w:type="fixed"/>
              <w:tblCellMar>
                <w:top w:w="0" w:type="dxa"/>
                <w:left w:w="108" w:type="dxa"/>
                <w:bottom w:w="0" w:type="dxa"/>
                <w:right w:w="108" w:type="dxa"/>
              </w:tblCellMar>
            </w:tblPr>
            <w:tblGrid>
              <w:gridCol w:w="1586"/>
              <w:gridCol w:w="1127"/>
              <w:gridCol w:w="14"/>
              <w:gridCol w:w="1000"/>
              <w:gridCol w:w="1389"/>
              <w:gridCol w:w="952"/>
              <w:gridCol w:w="952"/>
              <w:gridCol w:w="1195"/>
            </w:tblGrid>
            <w:tr>
              <w:tblPrEx>
                <w:tblCellMar>
                  <w:top w:w="0" w:type="dxa"/>
                  <w:left w:w="108" w:type="dxa"/>
                  <w:bottom w:w="0" w:type="dxa"/>
                  <w:right w:w="108" w:type="dxa"/>
                </w:tblCellMar>
              </w:tblPrEx>
              <w:trPr>
                <w:trHeight w:val="417" w:hRule="atLeast"/>
                <w:jc w:val="center"/>
              </w:trPr>
              <w:tc>
                <w:tcPr>
                  <w:tcW w:w="158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项目</w:t>
                  </w:r>
                </w:p>
              </w:tc>
              <w:tc>
                <w:tcPr>
                  <w:tcW w:w="1127"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第1年</w:t>
                  </w:r>
                </w:p>
              </w:tc>
              <w:tc>
                <w:tcPr>
                  <w:tcW w:w="1014" w:type="dxa"/>
                  <w:gridSpan w:val="2"/>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第2年</w:t>
                  </w:r>
                </w:p>
              </w:tc>
              <w:tc>
                <w:tcPr>
                  <w:tcW w:w="1389"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第3年</w:t>
                  </w:r>
                </w:p>
              </w:tc>
              <w:tc>
                <w:tcPr>
                  <w:tcW w:w="952"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第4年</w:t>
                  </w:r>
                </w:p>
              </w:tc>
              <w:tc>
                <w:tcPr>
                  <w:tcW w:w="952"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第5年</w:t>
                  </w:r>
                </w:p>
              </w:tc>
              <w:tc>
                <w:tcPr>
                  <w:tcW w:w="1195"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第6-10年</w:t>
                  </w:r>
                </w:p>
              </w:tc>
            </w:tr>
            <w:tr>
              <w:tblPrEx>
                <w:tblCellMar>
                  <w:top w:w="0" w:type="dxa"/>
                  <w:left w:w="108" w:type="dxa"/>
                  <w:bottom w:w="0" w:type="dxa"/>
                  <w:right w:w="108" w:type="dxa"/>
                </w:tblCellMar>
              </w:tblPrEx>
              <w:trPr>
                <w:trHeight w:val="417" w:hRule="atLeast"/>
                <w:jc w:val="center"/>
              </w:trPr>
              <w:tc>
                <w:tcPr>
                  <w:tcW w:w="1586" w:type="dxa"/>
                  <w:tcBorders>
                    <w:top w:val="nil"/>
                    <w:left w:val="single" w:color="auto" w:sz="4" w:space="0"/>
                    <w:bottom w:val="single" w:color="auto" w:sz="4" w:space="0"/>
                    <w:right w:val="single" w:color="auto" w:sz="4" w:space="0"/>
                  </w:tcBorders>
                  <w:vAlign w:val="center"/>
                </w:tcPr>
                <w:p>
                  <w:pPr>
                    <w:ind w:hanging="67"/>
                    <w:jc w:val="center"/>
                    <w:rPr>
                      <w:rFonts w:hint="eastAsia" w:ascii="宋体" w:hAnsi="宋体" w:eastAsia="宋体" w:cs="宋体"/>
                      <w:bCs/>
                      <w:sz w:val="24"/>
                      <w:szCs w:val="24"/>
                    </w:rPr>
                  </w:pPr>
                  <w:r>
                    <w:rPr>
                      <w:rFonts w:hint="eastAsia" w:ascii="宋体" w:hAnsi="宋体" w:eastAsia="宋体" w:cs="宋体"/>
                      <w:bCs/>
                      <w:sz w:val="24"/>
                      <w:szCs w:val="24"/>
                    </w:rPr>
                    <w:t>销售收入</w:t>
                  </w:r>
                </w:p>
              </w:tc>
              <w:tc>
                <w:tcPr>
                  <w:tcW w:w="1127" w:type="dxa"/>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9,080.22</w:t>
                  </w:r>
                </w:p>
              </w:tc>
              <w:tc>
                <w:tcPr>
                  <w:tcW w:w="1014" w:type="dxa"/>
                  <w:gridSpan w:val="2"/>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9,080.22</w:t>
                  </w:r>
                </w:p>
              </w:tc>
              <w:tc>
                <w:tcPr>
                  <w:tcW w:w="1389" w:type="dxa"/>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9,080.22</w:t>
                  </w:r>
                </w:p>
              </w:tc>
              <w:tc>
                <w:tcPr>
                  <w:tcW w:w="952" w:type="dxa"/>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9,080.22</w:t>
                  </w:r>
                </w:p>
              </w:tc>
              <w:tc>
                <w:tcPr>
                  <w:tcW w:w="952" w:type="dxa"/>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9,080.22</w:t>
                  </w:r>
                </w:p>
              </w:tc>
              <w:tc>
                <w:tcPr>
                  <w:tcW w:w="1195" w:type="dxa"/>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9,080.22</w:t>
                  </w:r>
                </w:p>
              </w:tc>
            </w:tr>
            <w:tr>
              <w:tblPrEx>
                <w:tblCellMar>
                  <w:top w:w="0" w:type="dxa"/>
                  <w:left w:w="108" w:type="dxa"/>
                  <w:bottom w:w="0" w:type="dxa"/>
                  <w:right w:w="108" w:type="dxa"/>
                </w:tblCellMar>
              </w:tblPrEx>
              <w:trPr>
                <w:trHeight w:val="417" w:hRule="atLeast"/>
                <w:jc w:val="center"/>
              </w:trPr>
              <w:tc>
                <w:tcPr>
                  <w:tcW w:w="1586" w:type="dxa"/>
                  <w:tcBorders>
                    <w:top w:val="nil"/>
                    <w:left w:val="single" w:color="auto" w:sz="4" w:space="0"/>
                    <w:bottom w:val="single" w:color="auto" w:sz="4" w:space="0"/>
                    <w:right w:val="single" w:color="auto" w:sz="4" w:space="0"/>
                  </w:tcBorders>
                  <w:vAlign w:val="center"/>
                </w:tcPr>
                <w:p>
                  <w:pPr>
                    <w:ind w:hanging="67"/>
                    <w:jc w:val="center"/>
                    <w:rPr>
                      <w:rFonts w:hint="eastAsia" w:ascii="宋体" w:hAnsi="宋体" w:eastAsia="宋体" w:cs="宋体"/>
                      <w:bCs/>
                      <w:sz w:val="24"/>
                      <w:szCs w:val="24"/>
                    </w:rPr>
                  </w:pPr>
                  <w:r>
                    <w:rPr>
                      <w:rFonts w:hint="eastAsia" w:ascii="宋体" w:hAnsi="宋体" w:eastAsia="宋体" w:cs="宋体"/>
                      <w:bCs/>
                      <w:sz w:val="24"/>
                      <w:szCs w:val="24"/>
                    </w:rPr>
                    <w:t>销售收入净分成率</w:t>
                  </w:r>
                </w:p>
              </w:tc>
              <w:tc>
                <w:tcPr>
                  <w:tcW w:w="6629" w:type="dxa"/>
                  <w:gridSpan w:val="7"/>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0.4%</w:t>
                  </w:r>
                </w:p>
              </w:tc>
            </w:tr>
            <w:tr>
              <w:tblPrEx>
                <w:tblCellMar>
                  <w:top w:w="0" w:type="dxa"/>
                  <w:left w:w="108" w:type="dxa"/>
                  <w:bottom w:w="0" w:type="dxa"/>
                  <w:right w:w="108" w:type="dxa"/>
                </w:tblCellMar>
              </w:tblPrEx>
              <w:trPr>
                <w:trHeight w:val="417" w:hRule="atLeast"/>
                <w:jc w:val="center"/>
              </w:trPr>
              <w:tc>
                <w:tcPr>
                  <w:tcW w:w="1586" w:type="dxa"/>
                  <w:tcBorders>
                    <w:top w:val="nil"/>
                    <w:left w:val="single" w:color="auto" w:sz="4" w:space="0"/>
                    <w:bottom w:val="single" w:color="auto" w:sz="4" w:space="0"/>
                    <w:right w:val="single" w:color="auto" w:sz="4" w:space="0"/>
                  </w:tcBorders>
                  <w:vAlign w:val="center"/>
                </w:tcPr>
                <w:p>
                  <w:pPr>
                    <w:ind w:hanging="67"/>
                    <w:jc w:val="center"/>
                    <w:rPr>
                      <w:rFonts w:hint="eastAsia" w:ascii="宋体" w:hAnsi="宋体" w:eastAsia="宋体" w:cs="宋体"/>
                      <w:bCs/>
                      <w:sz w:val="24"/>
                      <w:szCs w:val="24"/>
                    </w:rPr>
                  </w:pPr>
                  <w:r>
                    <w:rPr>
                      <w:rFonts w:hint="eastAsia" w:ascii="宋体" w:hAnsi="宋体" w:eastAsia="宋体" w:cs="宋体"/>
                      <w:bCs/>
                      <w:sz w:val="24"/>
                      <w:szCs w:val="24"/>
                    </w:rPr>
                    <w:t>分成后净收益</w:t>
                  </w:r>
                </w:p>
              </w:tc>
              <w:tc>
                <w:tcPr>
                  <w:tcW w:w="1127" w:type="dxa"/>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36.32</w:t>
                  </w:r>
                </w:p>
              </w:tc>
              <w:tc>
                <w:tcPr>
                  <w:tcW w:w="1014" w:type="dxa"/>
                  <w:gridSpan w:val="2"/>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36.32</w:t>
                  </w:r>
                </w:p>
              </w:tc>
              <w:tc>
                <w:tcPr>
                  <w:tcW w:w="1389" w:type="dxa"/>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36.32</w:t>
                  </w:r>
                </w:p>
              </w:tc>
              <w:tc>
                <w:tcPr>
                  <w:tcW w:w="952" w:type="dxa"/>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36.32</w:t>
                  </w:r>
                </w:p>
              </w:tc>
              <w:tc>
                <w:tcPr>
                  <w:tcW w:w="952" w:type="dxa"/>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36.32</w:t>
                  </w:r>
                </w:p>
              </w:tc>
              <w:tc>
                <w:tcPr>
                  <w:tcW w:w="1195" w:type="dxa"/>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36.32</w:t>
                  </w:r>
                </w:p>
              </w:tc>
            </w:tr>
            <w:tr>
              <w:tblPrEx>
                <w:tblCellMar>
                  <w:top w:w="0" w:type="dxa"/>
                  <w:left w:w="108" w:type="dxa"/>
                  <w:bottom w:w="0" w:type="dxa"/>
                  <w:right w:w="108" w:type="dxa"/>
                </w:tblCellMar>
              </w:tblPrEx>
              <w:trPr>
                <w:trHeight w:val="417" w:hRule="atLeast"/>
                <w:jc w:val="center"/>
              </w:trPr>
              <w:tc>
                <w:tcPr>
                  <w:tcW w:w="1586" w:type="dxa"/>
                  <w:tcBorders>
                    <w:top w:val="nil"/>
                    <w:left w:val="single" w:color="auto" w:sz="4" w:space="0"/>
                    <w:bottom w:val="single" w:color="auto" w:sz="4" w:space="0"/>
                    <w:right w:val="single" w:color="auto" w:sz="4" w:space="0"/>
                  </w:tcBorders>
                  <w:vAlign w:val="center"/>
                </w:tcPr>
                <w:p>
                  <w:pPr>
                    <w:ind w:hanging="67"/>
                    <w:jc w:val="center"/>
                    <w:rPr>
                      <w:rFonts w:hint="eastAsia" w:ascii="宋体" w:hAnsi="宋体" w:eastAsia="宋体" w:cs="宋体"/>
                      <w:bCs/>
                      <w:sz w:val="24"/>
                      <w:szCs w:val="24"/>
                    </w:rPr>
                  </w:pPr>
                  <w:r>
                    <w:rPr>
                      <w:rFonts w:hint="eastAsia" w:ascii="宋体" w:hAnsi="宋体" w:eastAsia="宋体" w:cs="宋体"/>
                      <w:bCs/>
                      <w:sz w:val="24"/>
                      <w:szCs w:val="24"/>
                    </w:rPr>
                    <w:t>折现率</w:t>
                  </w:r>
                </w:p>
              </w:tc>
              <w:tc>
                <w:tcPr>
                  <w:tcW w:w="6629" w:type="dxa"/>
                  <w:gridSpan w:val="7"/>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18%</w:t>
                  </w:r>
                </w:p>
              </w:tc>
            </w:tr>
            <w:tr>
              <w:tblPrEx>
                <w:tblCellMar>
                  <w:top w:w="0" w:type="dxa"/>
                  <w:left w:w="108" w:type="dxa"/>
                  <w:bottom w:w="0" w:type="dxa"/>
                  <w:right w:w="108" w:type="dxa"/>
                </w:tblCellMar>
              </w:tblPrEx>
              <w:trPr>
                <w:trHeight w:val="417" w:hRule="atLeast"/>
                <w:jc w:val="center"/>
              </w:trPr>
              <w:tc>
                <w:tcPr>
                  <w:tcW w:w="1586" w:type="dxa"/>
                  <w:tcBorders>
                    <w:top w:val="single" w:color="auto" w:sz="4" w:space="0"/>
                    <w:left w:val="single" w:color="auto" w:sz="4" w:space="0"/>
                    <w:bottom w:val="single" w:color="auto" w:sz="4" w:space="0"/>
                    <w:right w:val="single" w:color="auto" w:sz="4" w:space="0"/>
                  </w:tcBorders>
                  <w:vAlign w:val="center"/>
                </w:tcPr>
                <w:p>
                  <w:pPr>
                    <w:ind w:hanging="67"/>
                    <w:jc w:val="center"/>
                    <w:rPr>
                      <w:rFonts w:hint="eastAsia" w:ascii="宋体" w:hAnsi="宋体" w:eastAsia="宋体" w:cs="宋体"/>
                      <w:bCs/>
                      <w:sz w:val="24"/>
                      <w:szCs w:val="24"/>
                    </w:rPr>
                  </w:pPr>
                  <w:r>
                    <w:rPr>
                      <w:rFonts w:hint="eastAsia" w:ascii="宋体" w:hAnsi="宋体" w:eastAsia="宋体" w:cs="宋体"/>
                      <w:bCs/>
                      <w:sz w:val="24"/>
                      <w:szCs w:val="24"/>
                    </w:rPr>
                    <w:t>折现系数</w:t>
                  </w:r>
                </w:p>
              </w:tc>
              <w:tc>
                <w:tcPr>
                  <w:tcW w:w="1141" w:type="dxa"/>
                  <w:gridSpan w:val="2"/>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0.8475</w:t>
                  </w:r>
                </w:p>
              </w:tc>
              <w:tc>
                <w:tcPr>
                  <w:tcW w:w="1000"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0.7182</w:t>
                  </w:r>
                </w:p>
              </w:tc>
              <w:tc>
                <w:tcPr>
                  <w:tcW w:w="1389"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0.6086</w:t>
                  </w:r>
                </w:p>
              </w:tc>
              <w:tc>
                <w:tcPr>
                  <w:tcW w:w="952"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0.5158</w:t>
                  </w:r>
                </w:p>
              </w:tc>
              <w:tc>
                <w:tcPr>
                  <w:tcW w:w="952"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0.4371</w:t>
                  </w:r>
                </w:p>
              </w:tc>
              <w:tc>
                <w:tcPr>
                  <w:tcW w:w="1195"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1.3669</w:t>
                  </w:r>
                </w:p>
              </w:tc>
            </w:tr>
            <w:tr>
              <w:tblPrEx>
                <w:tblCellMar>
                  <w:top w:w="0" w:type="dxa"/>
                  <w:left w:w="108" w:type="dxa"/>
                  <w:bottom w:w="0" w:type="dxa"/>
                  <w:right w:w="108" w:type="dxa"/>
                </w:tblCellMar>
              </w:tblPrEx>
              <w:trPr>
                <w:trHeight w:val="417" w:hRule="atLeast"/>
                <w:jc w:val="center"/>
              </w:trPr>
              <w:tc>
                <w:tcPr>
                  <w:tcW w:w="1586" w:type="dxa"/>
                  <w:tcBorders>
                    <w:top w:val="single" w:color="auto" w:sz="4" w:space="0"/>
                    <w:left w:val="single" w:color="auto" w:sz="4" w:space="0"/>
                    <w:bottom w:val="single" w:color="auto" w:sz="4" w:space="0"/>
                    <w:right w:val="single" w:color="auto" w:sz="4" w:space="0"/>
                  </w:tcBorders>
                  <w:vAlign w:val="center"/>
                </w:tcPr>
                <w:p>
                  <w:pPr>
                    <w:ind w:hanging="67"/>
                    <w:jc w:val="center"/>
                    <w:rPr>
                      <w:rFonts w:hint="eastAsia" w:ascii="宋体" w:hAnsi="宋体" w:eastAsia="宋体" w:cs="宋体"/>
                      <w:bCs/>
                      <w:sz w:val="24"/>
                      <w:szCs w:val="24"/>
                    </w:rPr>
                  </w:pPr>
                  <w:r>
                    <w:rPr>
                      <w:rFonts w:hint="eastAsia" w:ascii="宋体" w:hAnsi="宋体" w:eastAsia="宋体" w:cs="宋体"/>
                      <w:bCs/>
                      <w:sz w:val="24"/>
                      <w:szCs w:val="24"/>
                    </w:rPr>
                    <w:t>分成后净收益现值</w:t>
                  </w:r>
                </w:p>
              </w:tc>
              <w:tc>
                <w:tcPr>
                  <w:tcW w:w="1141" w:type="dxa"/>
                  <w:gridSpan w:val="2"/>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30.78</w:t>
                  </w:r>
                </w:p>
              </w:tc>
              <w:tc>
                <w:tcPr>
                  <w:tcW w:w="1000"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26.09</w:t>
                  </w:r>
                </w:p>
              </w:tc>
              <w:tc>
                <w:tcPr>
                  <w:tcW w:w="1389"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22.10</w:t>
                  </w:r>
                </w:p>
              </w:tc>
              <w:tc>
                <w:tcPr>
                  <w:tcW w:w="952"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18.73</w:t>
                  </w:r>
                </w:p>
              </w:tc>
              <w:tc>
                <w:tcPr>
                  <w:tcW w:w="952"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15.88</w:t>
                  </w:r>
                </w:p>
              </w:tc>
              <w:tc>
                <w:tcPr>
                  <w:tcW w:w="1195"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49.65</w:t>
                  </w:r>
                </w:p>
              </w:tc>
            </w:tr>
            <w:tr>
              <w:tblPrEx>
                <w:tblCellMar>
                  <w:top w:w="0" w:type="dxa"/>
                  <w:left w:w="108" w:type="dxa"/>
                  <w:bottom w:w="0" w:type="dxa"/>
                  <w:right w:w="108" w:type="dxa"/>
                </w:tblCellMar>
              </w:tblPrEx>
              <w:trPr>
                <w:trHeight w:val="427" w:hRule="atLeast"/>
                <w:jc w:val="center"/>
              </w:trPr>
              <w:tc>
                <w:tcPr>
                  <w:tcW w:w="1586" w:type="dxa"/>
                  <w:tcBorders>
                    <w:top w:val="single" w:color="auto" w:sz="4" w:space="0"/>
                    <w:left w:val="single" w:color="auto" w:sz="4" w:space="0"/>
                    <w:bottom w:val="single" w:color="auto" w:sz="4" w:space="0"/>
                    <w:right w:val="single" w:color="auto" w:sz="4" w:space="0"/>
                  </w:tcBorders>
                  <w:vAlign w:val="center"/>
                </w:tcPr>
                <w:p>
                  <w:pPr>
                    <w:ind w:hanging="67"/>
                    <w:jc w:val="center"/>
                    <w:rPr>
                      <w:rFonts w:hint="eastAsia" w:ascii="宋体" w:hAnsi="宋体" w:eastAsia="宋体" w:cs="宋体"/>
                      <w:bCs/>
                      <w:sz w:val="24"/>
                      <w:szCs w:val="24"/>
                    </w:rPr>
                  </w:pPr>
                  <w:r>
                    <w:rPr>
                      <w:rFonts w:hint="eastAsia" w:ascii="宋体" w:hAnsi="宋体" w:eastAsia="宋体" w:cs="宋体"/>
                      <w:bCs/>
                      <w:sz w:val="24"/>
                      <w:szCs w:val="24"/>
                    </w:rPr>
                    <w:t>无形资产评估值</w:t>
                  </w:r>
                </w:p>
              </w:tc>
              <w:tc>
                <w:tcPr>
                  <w:tcW w:w="6629" w:type="dxa"/>
                  <w:gridSpan w:val="7"/>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160（取整至十万）</w:t>
                  </w:r>
                </w:p>
              </w:tc>
            </w:tr>
          </w:tbl>
          <w:p>
            <w:pPr>
              <w:keepNext w:val="0"/>
              <w:keepLines w:val="0"/>
              <w:pageBreakBefore w:val="0"/>
              <w:widowControl/>
              <w:kinsoku/>
              <w:wordWrap/>
              <w:overflowPunct/>
              <w:topLinePunct w:val="0"/>
              <w:autoSpaceDE/>
              <w:autoSpaceDN/>
              <w:bidi w:val="0"/>
              <w:adjustRightInd/>
              <w:snapToGrid/>
              <w:spacing w:beforeLines="25" w:after="400" w:line="300" w:lineRule="auto"/>
              <w:ind w:firstLine="480" w:firstLineChars="200"/>
              <w:textAlignment w:val="auto"/>
              <w:rPr>
                <w:sz w:val="20"/>
                <w:lang w:bidi="ar"/>
              </w:rPr>
            </w:pPr>
            <w:r>
              <w:rPr>
                <w:rFonts w:hint="eastAsia" w:ascii="宋体" w:hAnsi="宋体" w:eastAsia="宋体" w:cs="宋体"/>
                <w:b w:val="0"/>
                <w:color w:val="auto"/>
                <w:kern w:val="40"/>
                <w:sz w:val="24"/>
                <w:szCs w:val="24"/>
                <w:lang w:val="en-US" w:eastAsia="zh-CN" w:bidi="ar-SA"/>
              </w:rPr>
              <w:t>因此，这种利用铵离子调控林可霉素发酵过程及提高林可霉素产量的专利权公开市场价值为160万元人民币。</w:t>
            </w:r>
          </w:p>
        </w:tc>
      </w:tr>
    </w:tbl>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教学实施</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1.课时安排</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总课时为4个课时。其中第1课时案例介绍讲解，第2、3课时讨论，第4课时做讨论总结。</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2.黑板板书布置</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黑板板书分三个版面：第一版面是案例背景介绍和启发性思考题的列示；第二版面是关键问题的列示，主要评估思路、评估方法、参数选择、评估基本事项确定等；第三版面是小组问题讨论的结果以及对讨论问题的点评，这里分小组逐项列示，以便各小组成员能够对问题有更清晰认识和更准确的理解。</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投影仪可以将背景和问题分别列示出来，关键知识点以提纲的形式列示。</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3.学生背景了解</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案例教学开始阶段就需要学生掌握有关的案例背景，有关的材料可以在第1、第2节课时让学生熟悉，边讲解边解答学生提出的问题，按照本案例的相关背景介绍、评估目的、评估方法、评估假设、评估算算、评估结果逐项列示主要的背景情况，在介绍过程中，有意识引导学生就上述的评估主要基本事项进行思考。</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4.小组分组</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本案例以30人班级为宜，分为5个小组，每小组6人。</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5.小组讨论内容</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（1）市场法、成本法、收益法各自的特点，对于本案例适用的评估方法。</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（2）本案例评估的对象、目的、价值类型、假设条件、评估基准日如何确定及理由。</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（3）专利、专利权、专利产品及分类情况，专利的权属状态。</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（4）影响专利价值的因素有哪些？常用评估专利权无形资产价值的方法有哪些？本案例可以采用的评估方法是什么？</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（5）江西国药有限责任公司产业发展情况、宏观经济环境分析和行业分析。</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（6）江西国药有限责任公司销售收入的预测以及确定的理由。</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（7）江西国药有限责任公司无形资产专利分成率的确定思路、方法以及测算。</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（8）江西国药有限责任公司无形资产折现率的确定思路、方法以及测算。</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（9）本案例的评估受到哪些假设条件的制约。</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6.案例开场白和结束总结</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开场白：本案例是评估实务中的真实案例，是关于江西国药有限责任公司拥有的一种利用铵离子提高林可霉素产量的专利权价值的评估，其评估的目的是为该专利权质押贷款提供价值参考。江西国药有限责任公司是一家国家大型医药工业企业，现生产药品的品种140余个，主要产品有发酵虫草菌粉、盐酸林可霉素盐酸土霉等原料药以及中成药、西药制剂等，拥有外贸进出口自主权。该公司产品质量好、信誉高，在国内外市场具有较强的竞争能力。对该项无形资产进行评估，首先需要对评估对象有一个清晰的认识，在了解相关的背景资料后，依据资产评估准则的相关要求，逐项确定评估目的、评估基准日及评估方法和假设条件等事项。然后确定评估的技术路线，采用收益法测算无形资产的价值。这里需要关注无形资产收益法的使用条件、参数求取、各项数据的来源及依据、特别是无形资产收入分成率的测算和折现率的测算。最后是评估报告书的撰写，这里要求每小组的评估报告按照完整的评估报告书的规范撰写，基本事项的先后排列顺序、确定依据要清晰、完整、有据可查，在此基础上提交评估报告。</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结束总结：本案例主要介绍了收益法评估专利权的价值，即通过销售收入分成率测算无形资产的净收益，通过公司不同资产的收益率和全部资产的加权平均资本成本测算无形资产的折现率，通过专利的法律保护期限以及专利的实际技术领先型、可靠性等确定专利的收益期限。这里可以根据各小组案例撰写的情况，就其主要思路和测算过程进行评价，内容包括评估目的、评估对象、价值类型、评估假设、评估基准日、评估方法和参数选择及其确定依据，以及整个报告的撰写规范、文字表述、用词规范、逻辑结构等方面，并指出其合理的地方、存在的不足以及在实务当中应该关注的问题等。</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7.案例的组织引导</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在开场白和相关资料介绍之后，可以组织每小组对案例的背景进行讨论，明确评估需要关注的问题，并提出各个小组的评估技术路线，这是在评估时需要把握评估方向的关键。然后对案例的具体材料进行分析，确定如何选择可采用的评估方法，通过小组讨论的形式确定评估方法，并要求比较各种方法的适用条件。再就评估的有关事项进行小组讨论，如评估步骤、评估基准日、评估对象和范围、假设和限制条件、评估参数确定等，对于像确定评估参数这样的关键点可以让学生充分讨论，提出自己的观点，再综合比较进行点评。接下来是宏观经济分析、行业分析以及收入、成本和费用有关问题的预测，根据时间和学生水平的高低，可以让学生分组，既可以让每小组讨论一到两个方面的问题，也可以让每个小组讨论整个案例的问题。最后是按照完整评估报告要求，要求每小组撰写一份完整的评估报告。</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小组讨论可以将讨论内容分给不同的小组，各小组内容可互不相同，也可以每个小组完成整个报告的内容，具体视人数和学生水平高低来确定。</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8.案例的后续进展</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案例在课堂进行讨论后，各小组可以单独完成评估报告内容，也可以每个小组完成评估报告的一部分，规定在一定时期内上交，并课后点评，并在下一届学生上案例课程时进行改进。</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本案例虽然是真实的评估案例，但案例也并非是完美的，重要技术参数如权益资本成本、加权平均资本成本、专利分成率等的确定，对专利的法律因素、技术因素和经济因素分析，对专利营运资金的折现率、有形非流动资产的折现率确定等问题，还需要进一步探讨。</w:t>
            </w:r>
          </w:p>
          <w:p>
            <w:pPr>
              <w:widowControl/>
              <w:spacing w:beforeLines="25"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9.其它教学支持材料</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1）计算机支持。计算机能够接通互联网，具备提供至少6个小组同时上网的接线工具。</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2）技术支持。参与案例小组的学生能够熟练使用word、excel等常用办公软件，具备需要查询资源的网站。</w:t>
            </w:r>
          </w:p>
          <w:p>
            <w:pPr>
              <w:widowControl/>
              <w:spacing w:beforeLines="25" w:afterLines="25" w:line="300" w:lineRule="auto"/>
              <w:ind w:firstLine="480" w:firstLineChars="200"/>
              <w:rPr>
                <w:rFonts w:hint="eastAsia" w:ascii="宋体" w:hAnsi="宋体" w:eastAsia="宋体" w:cs="宋体"/>
                <w:b w:val="0"/>
                <w:color w:val="auto"/>
                <w:kern w:val="40"/>
                <w:sz w:val="24"/>
                <w:szCs w:val="24"/>
                <w:lang w:val="en-US" w:eastAsia="zh-CN" w:bidi="ar-SA"/>
              </w:rPr>
            </w:pPr>
            <w:r>
              <w:rPr>
                <w:rFonts w:hint="eastAsia" w:ascii="宋体" w:hAnsi="宋体" w:eastAsia="宋体" w:cs="宋体"/>
                <w:b w:val="0"/>
                <w:color w:val="auto"/>
                <w:kern w:val="40"/>
                <w:sz w:val="24"/>
                <w:szCs w:val="24"/>
                <w:lang w:val="en-US" w:eastAsia="zh-CN" w:bidi="ar-SA"/>
              </w:rPr>
              <w:t>3）查询功能支持。教学单位具备上网查阅Wind金融数据库或者是巨灵金融服务平台有关信息的条件。</w:t>
            </w:r>
          </w:p>
          <w:p>
            <w:pPr>
              <w:keepNext w:val="0"/>
              <w:keepLines w:val="0"/>
              <w:pageBreakBefore w:val="0"/>
              <w:widowControl/>
              <w:kinsoku/>
              <w:wordWrap/>
              <w:overflowPunct/>
              <w:topLinePunct w:val="0"/>
              <w:autoSpaceDE/>
              <w:autoSpaceDN/>
              <w:bidi w:val="0"/>
              <w:adjustRightInd/>
              <w:snapToGrid/>
              <w:spacing w:beforeLines="25" w:after="400" w:line="300" w:lineRule="auto"/>
              <w:ind w:firstLine="480" w:firstLineChars="200"/>
              <w:textAlignment w:val="auto"/>
              <w:rPr>
                <w:sz w:val="20"/>
                <w:lang w:bidi="ar"/>
              </w:rPr>
            </w:pPr>
            <w:r>
              <w:rPr>
                <w:rFonts w:hint="eastAsia" w:ascii="宋体" w:hAnsi="宋体" w:eastAsia="宋体" w:cs="宋体"/>
                <w:b w:val="0"/>
                <w:color w:val="auto"/>
                <w:kern w:val="40"/>
                <w:sz w:val="24"/>
                <w:szCs w:val="24"/>
                <w:lang w:val="en-US" w:eastAsia="zh-CN" w:bidi="ar-SA"/>
              </w:rPr>
              <w:t>4）多媒体教学设施设备支持。可以通过PPT等形式播放案例的背景资料、启发性问题等内容，增进学生对案例材料的理解。</w:t>
            </w:r>
          </w:p>
        </w:tc>
      </w:tr>
    </w:tbl>
    <w:p>
      <w:pPr>
        <w:widowControl/>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4.学习评价</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1、课堂表现</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课堂表现考核形式以参与讨论程度、对案例观点发表、上课回答问题、案例总结发言等方面为主。考核内容为：第一，是否熟练掌握和运用专利资产评估理论的基本原理、基本概念、基本知识；第二，是否拥有一定的专利资产评估思维逻辑，相关参数的测算要点是否掌握，能否对专利资产评估对象建立基本评估模型；第三，对专利资产评估的是否拥有一个基本框架，能否独立完整对专利资产进行评估。评分标准以优、良、中、及格、不及格五档进行评价。</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2、课后作业</w:t>
            </w:r>
          </w:p>
          <w:p>
            <w:pPr>
              <w:keepNext w:val="0"/>
              <w:keepLines w:val="0"/>
              <w:pageBreakBefore w:val="0"/>
              <w:widowControl w:val="0"/>
              <w:kinsoku/>
              <w:wordWrap/>
              <w:overflowPunct/>
              <w:topLinePunct w:val="0"/>
              <w:autoSpaceDE/>
              <w:autoSpaceDN/>
              <w:bidi w:val="0"/>
              <w:adjustRightInd/>
              <w:snapToGrid/>
              <w:spacing w:after="400" w:line="300" w:lineRule="auto"/>
              <w:ind w:firstLine="480" w:firstLineChars="200"/>
              <w:jc w:val="both"/>
              <w:textAlignment w:val="auto"/>
              <w:rPr>
                <w:kern w:val="0"/>
                <w:sz w:val="20"/>
                <w:szCs w:val="20"/>
                <w:lang w:bidi="ar"/>
              </w:rPr>
            </w:pPr>
            <w:r>
              <w:rPr>
                <w:rFonts w:hint="eastAsia" w:ascii="宋体" w:hAnsi="宋体" w:eastAsia="宋体" w:cs="宋体"/>
                <w:color w:val="auto"/>
                <w:kern w:val="40"/>
                <w:sz w:val="24"/>
                <w:szCs w:val="24"/>
                <w:lang w:val="en-US" w:eastAsia="zh-CN" w:bidi="ar-SA"/>
              </w:rPr>
              <w:t>课后作业考核形式以提交所编制的专利资产评估报告以及专利资产评估说明为主。考核内容为：第一，编制的专利资产评估报告以及专利资产评估说明是否完整，逻辑是否正确；第二，编制的专利资产评估报告以及专利资产评估说明参数选取是否正确，依据是否正确，评估结果是否处于合理范围之内；第三，编制的专利资产评估报告以及专利资产评估说明要点是否突出，注意事项是否明晰。评分标准以优、良、中、及格、不及格五档进行评价。</w:t>
            </w:r>
          </w:p>
        </w:tc>
      </w:tr>
    </w:tbl>
    <w:p>
      <w:pPr>
        <w:spacing w:before="156" w:beforeLines="50" w:after="156" w:afterLines="50"/>
        <w:rPr>
          <w:rFonts w:hint="eastAsia" w:ascii="黑体" w:hAnsi="黑体" w:eastAsia="黑体" w:cs="宋体"/>
          <w:bCs/>
          <w:color w:val="000000"/>
          <w:kern w:val="0"/>
          <w:sz w:val="28"/>
          <w:szCs w:val="28"/>
          <w:lang w:bidi="ar"/>
        </w:rPr>
      </w:pPr>
    </w:p>
    <w:p>
      <w:pPr>
        <w:spacing w:before="156" w:beforeLines="50" w:after="156" w:afterLines="50"/>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5．编写负责人所在院意见</w:t>
      </w:r>
    </w:p>
    <w:tbl>
      <w:tblPr>
        <w:tblStyle w:val="7"/>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7" w:hRule="atLeast"/>
          <w:jc w:val="center"/>
        </w:trPr>
        <w:tc>
          <w:tcPr>
            <w:tcW w:w="8217" w:type="dxa"/>
          </w:tcPr>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tabs>
                <w:tab w:val="left" w:pos="2591"/>
              </w:tabs>
              <w:rPr>
                <w:rFonts w:ascii="宋体" w:hAnsi="宋体" w:eastAsia="宋体"/>
                <w:color w:val="000000"/>
                <w:sz w:val="24"/>
              </w:rPr>
            </w:pPr>
            <w:r>
              <w:rPr>
                <w:rFonts w:hint="eastAsia" w:ascii="宋体" w:hAnsi="宋体"/>
                <w:color w:val="000000"/>
                <w:sz w:val="24"/>
              </w:rPr>
              <w:t xml:space="preserve">                     </w:t>
            </w:r>
            <w:r>
              <w:rPr>
                <w:rFonts w:hint="eastAsia" w:ascii="宋体" w:hAnsi="宋体" w:eastAsia="宋体"/>
                <w:color w:val="000000"/>
                <w:sz w:val="24"/>
              </w:rPr>
              <w:t xml:space="preserve">单位负责人（签字）：              单位（盖章）：                     </w:t>
            </w:r>
          </w:p>
          <w:p>
            <w:pPr>
              <w:rPr>
                <w:rFonts w:ascii="宋体" w:hAnsi="宋体" w:eastAsia="宋体"/>
                <w:color w:val="000000"/>
                <w:sz w:val="24"/>
              </w:rPr>
            </w:pPr>
          </w:p>
          <w:p>
            <w:pPr>
              <w:rPr>
                <w:rFonts w:ascii="宋体" w:hAnsi="宋体"/>
                <w:color w:val="000000"/>
                <w:sz w:val="24"/>
              </w:rPr>
            </w:pPr>
            <w:r>
              <w:rPr>
                <w:rFonts w:hint="eastAsia" w:ascii="宋体" w:hAnsi="宋体" w:eastAsia="宋体"/>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0AEB7C"/>
    <w:multiLevelType w:val="singleLevel"/>
    <w:tmpl w:val="4D0AEB7C"/>
    <w:lvl w:ilvl="0" w:tentative="0">
      <w:start w:val="1"/>
      <w:numFmt w:val="decimal"/>
      <w:lvlText w:val="%1."/>
      <w:lvlJc w:val="left"/>
      <w:pPr>
        <w:tabs>
          <w:tab w:val="left" w:pos="312"/>
        </w:tabs>
      </w:pPr>
    </w:lvl>
  </w:abstractNum>
  <w:abstractNum w:abstractNumId="1">
    <w:nsid w:val="58A5880F"/>
    <w:multiLevelType w:val="singleLevel"/>
    <w:tmpl w:val="58A5880F"/>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mOTc2ZjQzOGQzNjA4YzkyYjZkNmVjMzdlMGI0YjMifQ=="/>
  </w:docVars>
  <w:rsids>
    <w:rsidRoot w:val="00750B6B"/>
    <w:rsid w:val="000D311C"/>
    <w:rsid w:val="002179A0"/>
    <w:rsid w:val="0038748C"/>
    <w:rsid w:val="006240BC"/>
    <w:rsid w:val="00750B6B"/>
    <w:rsid w:val="008E68AA"/>
    <w:rsid w:val="009D4F87"/>
    <w:rsid w:val="00B56FE4"/>
    <w:rsid w:val="00CB789A"/>
    <w:rsid w:val="00DF7241"/>
    <w:rsid w:val="00ED23A0"/>
    <w:rsid w:val="0CE045F1"/>
    <w:rsid w:val="18027B12"/>
    <w:rsid w:val="18CB084B"/>
    <w:rsid w:val="1B23471C"/>
    <w:rsid w:val="1C5F19D6"/>
    <w:rsid w:val="1D4D182F"/>
    <w:rsid w:val="1E2702D2"/>
    <w:rsid w:val="1EA23DFC"/>
    <w:rsid w:val="20DD5583"/>
    <w:rsid w:val="26712A32"/>
    <w:rsid w:val="2BD66E93"/>
    <w:rsid w:val="32714918"/>
    <w:rsid w:val="34D4418C"/>
    <w:rsid w:val="363845EE"/>
    <w:rsid w:val="373158C6"/>
    <w:rsid w:val="39C14D9F"/>
    <w:rsid w:val="3C4619D9"/>
    <w:rsid w:val="3E424C6D"/>
    <w:rsid w:val="489F7D6C"/>
    <w:rsid w:val="4AF34F14"/>
    <w:rsid w:val="4BC40805"/>
    <w:rsid w:val="4C392DFB"/>
    <w:rsid w:val="4E85570F"/>
    <w:rsid w:val="4F756840"/>
    <w:rsid w:val="4FE34F30"/>
    <w:rsid w:val="50852AB2"/>
    <w:rsid w:val="50F11EF6"/>
    <w:rsid w:val="53690469"/>
    <w:rsid w:val="53C259F6"/>
    <w:rsid w:val="54684BC5"/>
    <w:rsid w:val="55630EE8"/>
    <w:rsid w:val="57C77E54"/>
    <w:rsid w:val="5BA54009"/>
    <w:rsid w:val="5D185328"/>
    <w:rsid w:val="63316ACA"/>
    <w:rsid w:val="63C67212"/>
    <w:rsid w:val="64412D3D"/>
    <w:rsid w:val="66C81968"/>
    <w:rsid w:val="67A20889"/>
    <w:rsid w:val="6A5C61DA"/>
    <w:rsid w:val="6CC8224D"/>
    <w:rsid w:val="6DE210EC"/>
    <w:rsid w:val="6E697118"/>
    <w:rsid w:val="6E8201DA"/>
    <w:rsid w:val="77B06A1D"/>
    <w:rsid w:val="77D575CC"/>
    <w:rsid w:val="77E872FF"/>
    <w:rsid w:val="79713B8A"/>
    <w:rsid w:val="7B8A691F"/>
    <w:rsid w:val="7BC62CEF"/>
    <w:rsid w:val="7CD04806"/>
    <w:rsid w:val="7D1B0EBF"/>
    <w:rsid w:val="7E9755DB"/>
    <w:rsid w:val="7F0A2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keepNext/>
      <w:keepLines/>
      <w:spacing w:line="360" w:lineRule="auto"/>
      <w:ind w:firstLine="1040" w:firstLineChars="200"/>
      <w:jc w:val="center"/>
      <w:outlineLvl w:val="0"/>
    </w:pPr>
    <w:rPr>
      <w:rFonts w:eastAsia="黑体"/>
      <w:b/>
      <w:kern w:val="44"/>
      <w:sz w:val="32"/>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unhideWhenUsed/>
    <w:qFormat/>
    <w:uiPriority w:val="99"/>
    <w:pPr>
      <w:ind w:firstLine="420" w:firstLineChars="200"/>
    </w:pPr>
    <w:rPr>
      <w:rFonts w:ascii="Times New Roman" w:hAnsi="Times New Roman"/>
      <w:color w:val="000000"/>
      <w:kern w:val="0"/>
      <w:szCs w:val="21"/>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unhideWhenUsed/>
    <w:qFormat/>
    <w:uiPriority w:val="99"/>
    <w:pPr>
      <w:snapToGrid w:val="0"/>
      <w:jc w:val="left"/>
    </w:pPr>
    <w:rPr>
      <w:sz w:val="18"/>
      <w:szCs w:val="18"/>
    </w:rPr>
  </w:style>
  <w:style w:type="table" w:styleId="8">
    <w:name w:val="Table Grid"/>
    <w:basedOn w:val="7"/>
    <w:autoRedefine/>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otnote reference"/>
    <w:basedOn w:val="9"/>
    <w:autoRedefine/>
    <w:unhideWhenUsed/>
    <w:qFormat/>
    <w:uiPriority w:val="99"/>
    <w:rPr>
      <w:vertAlign w:val="superscript"/>
    </w:rPr>
  </w:style>
  <w:style w:type="paragraph" w:styleId="11">
    <w:name w:val="List Paragraph"/>
    <w:basedOn w:val="1"/>
    <w:autoRedefine/>
    <w:qFormat/>
    <w:uiPriority w:val="34"/>
    <w:pPr>
      <w:ind w:firstLine="420" w:firstLineChars="200"/>
    </w:pPr>
  </w:style>
  <w:style w:type="character" w:customStyle="1" w:styleId="12">
    <w:name w:val="页眉 Char"/>
    <w:basedOn w:val="9"/>
    <w:link w:val="5"/>
    <w:autoRedefine/>
    <w:qFormat/>
    <w:uiPriority w:val="99"/>
    <w:rPr>
      <w:sz w:val="18"/>
      <w:szCs w:val="18"/>
    </w:rPr>
  </w:style>
  <w:style w:type="character" w:customStyle="1" w:styleId="13">
    <w:name w:val="页脚 Char"/>
    <w:basedOn w:val="9"/>
    <w:link w:val="4"/>
    <w:autoRedefine/>
    <w:qFormat/>
    <w:uiPriority w:val="99"/>
    <w:rPr>
      <w:sz w:val="18"/>
      <w:szCs w:val="18"/>
    </w:rPr>
  </w:style>
  <w:style w:type="paragraph" w:customStyle="1" w:styleId="14">
    <w:name w:val="彩色列表 - 强调文字颜色 11"/>
    <w:basedOn w:val="1"/>
    <w:autoRedefine/>
    <w:qFormat/>
    <w:uiPriority w:val="0"/>
    <w:pPr>
      <w:ind w:firstLine="420" w:firstLineChars="200"/>
    </w:pPr>
    <w:rPr>
      <w:rFonts w:eastAsia="仿宋_GB2312"/>
      <w:sz w:val="28"/>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15634</Words>
  <Characters>17729</Characters>
  <Lines>27</Lines>
  <Paragraphs>29</Paragraphs>
  <TotalTime>21</TotalTime>
  <ScaleCrop>false</ScaleCrop>
  <LinksUpToDate>false</LinksUpToDate>
  <CharactersWithSpaces>18074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2022-10-20T09:32:00Z</dcterms:created>
  <dc:creator>Zhou</dc:creator>
  <cp:lastModifiedBy>小明</cp:lastModifiedBy>
  <dcterms:modified xsi:type="dcterms:W3CDTF">2024-02-29T08:20:39Z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0056B006D33C49B7900BF49B07DC31F0_13</vt:lpwstr>
  </property>
</Properties>
</file>