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370C23">
      <w:pPr>
        <w:pStyle w:val="2"/>
        <w:ind w:firstLine="643"/>
        <w:rPr>
          <w:rFonts w:hint="eastAsia"/>
        </w:rPr>
      </w:pPr>
      <w:r>
        <w:rPr>
          <w:rFonts w:hint="eastAsia"/>
        </w:rPr>
        <w:t>一种利用铵离子提高林可霉素产量的专利权抵押价值评估案例</w:t>
      </w:r>
    </w:p>
    <w:p w14:paraId="126D7E05">
      <w:pPr>
        <w:pStyle w:val="2"/>
        <w:ind w:left="0" w:leftChars="0" w:firstLine="0" w:firstLineChars="0"/>
        <w:jc w:val="center"/>
        <w:rPr>
          <w:rFonts w:hint="eastAsia"/>
          <w:lang w:val="en-US" w:eastAsia="zh-CN"/>
        </w:rPr>
      </w:pPr>
      <w:bookmarkStart w:id="16" w:name="_GoBack"/>
      <w:bookmarkEnd w:id="16"/>
    </w:p>
    <w:p w14:paraId="71055E6C">
      <w:pPr>
        <w:pStyle w:val="2"/>
        <w:ind w:left="0" w:leftChars="0" w:firstLine="0" w:firstLineChars="0"/>
        <w:jc w:val="center"/>
        <w:rPr>
          <w:rFonts w:hint="eastAsia"/>
          <w:lang w:val="en-US" w:eastAsia="zh-CN"/>
        </w:rPr>
      </w:pPr>
      <w:r>
        <w:rPr>
          <w:rFonts w:hint="eastAsia"/>
          <w:lang w:val="en-US" w:eastAsia="zh-CN"/>
        </w:rPr>
        <w:t>前言</w:t>
      </w:r>
    </w:p>
    <w:p w14:paraId="18D3A551">
      <w:pPr>
        <w:autoSpaceDE w:val="0"/>
        <w:autoSpaceDN w:val="0"/>
        <w:adjustRightInd w:val="0"/>
        <w:spacing w:beforeLines="25" w:afterLines="25" w:line="300" w:lineRule="auto"/>
        <w:ind w:firstLine="420" w:firstLineChars="200"/>
        <w:rPr>
          <w:rFonts w:ascii="宋体" w:hAnsi="宋体"/>
          <w:szCs w:val="21"/>
        </w:rPr>
      </w:pPr>
      <w:r>
        <w:rPr>
          <w:rFonts w:hint="eastAsia" w:ascii="宋体" w:hAnsi="宋体"/>
          <w:szCs w:val="21"/>
        </w:rPr>
        <w:t>本案例开始于2014年5月，评估人员按照资产评估准则的要求，与行业专家、高校学者及G公司相关人员进行了必要沟通和咨询，确定了本案例的评估方案，形成了本案例的主体内容。案例充分展示了专利权评估的关键问题、知识点以及需要掌握的基本操作技能，因此选用该案例作为教学案例比较适中。</w:t>
      </w:r>
    </w:p>
    <w:p w14:paraId="131ABF76">
      <w:pPr>
        <w:spacing w:beforeLines="25" w:afterLines="25" w:line="300" w:lineRule="auto"/>
        <w:ind w:firstLine="525" w:firstLineChars="250"/>
        <w:rPr>
          <w:rFonts w:ascii="宋体" w:hAnsi="宋体"/>
          <w:szCs w:val="21"/>
        </w:rPr>
      </w:pPr>
      <w:r>
        <w:rPr>
          <w:rFonts w:hint="eastAsia" w:ascii="宋体" w:hAnsi="宋体"/>
          <w:szCs w:val="21"/>
        </w:rPr>
        <w:t>G公司系国家二级医药制药企业，系中国医药工业百强企业和全国中成药工业五十强企业之一。该公司主要产品有发酵虫草菌粉(CS-4)、盐酸林可霉素、盐酸土霉素、十三碳二元酸等原料药片剂、胶囊剂、针剂、丸剂、糖浆剂、颗粒剂等中成药和西药制剂等。其中，盐酸林可霉素、盐酸土霉素通过美国FDA认证，小容量注射剂、盐酸林可霉素、盐酸土霉素通过国家GMP认证，发酵虫草菌粉(CS-4)为中国第一个一类新中药。</w:t>
      </w:r>
    </w:p>
    <w:p w14:paraId="4E922C86">
      <w:pPr>
        <w:spacing w:beforeLines="25" w:afterLines="25" w:line="300" w:lineRule="auto"/>
        <w:ind w:firstLine="420" w:firstLineChars="200"/>
        <w:rPr>
          <w:rFonts w:ascii="宋体" w:hAnsi="宋体"/>
          <w:szCs w:val="21"/>
        </w:rPr>
      </w:pPr>
      <w:r>
        <w:rPr>
          <w:rFonts w:hint="eastAsia" w:ascii="宋体" w:hAnsi="宋体"/>
          <w:szCs w:val="21"/>
        </w:rPr>
        <w:t>目前由于G公司需要扩大生产经营，在原有生产能力基础上进一步扩大发酵虫草菌粉的生产能力，公司拟将</w:t>
      </w:r>
      <w:r>
        <w:rPr>
          <w:rFonts w:ascii="宋体" w:hAnsi="宋体"/>
          <w:szCs w:val="21"/>
        </w:rPr>
        <w:t>利用铵离子调控林可霉素发酵过程</w:t>
      </w:r>
      <w:r>
        <w:rPr>
          <w:rFonts w:hint="eastAsia" w:ascii="宋体" w:hAnsi="宋体"/>
          <w:szCs w:val="21"/>
        </w:rPr>
        <w:t>以</w:t>
      </w:r>
      <w:r>
        <w:rPr>
          <w:rFonts w:ascii="宋体" w:hAnsi="宋体"/>
          <w:szCs w:val="21"/>
        </w:rPr>
        <w:t>提高林可霉素产量</w:t>
      </w:r>
      <w:r>
        <w:rPr>
          <w:rFonts w:hint="eastAsia" w:ascii="宋体" w:hAnsi="宋体"/>
          <w:szCs w:val="21"/>
        </w:rPr>
        <w:t>的专利权进行质押，获得银行贷款。该专利是企业的核心专利之一，对公司的盐酸林可霉素产品的生产起到了至关重要的作用，不仅可以提高产量30%以上，而且缩短了发酵的时间，具有十分广阔的应用价值和市场前景。</w:t>
      </w:r>
    </w:p>
    <w:p w14:paraId="1AD065D7">
      <w:pPr>
        <w:spacing w:beforeLines="25" w:afterLines="25" w:line="300" w:lineRule="auto"/>
        <w:rPr>
          <w:rFonts w:ascii="宋体" w:hAnsi="宋体"/>
          <w:sz w:val="24"/>
          <w:szCs w:val="24"/>
        </w:rPr>
      </w:pPr>
    </w:p>
    <w:p w14:paraId="611F9640">
      <w:pPr>
        <w:widowControl/>
        <w:jc w:val="left"/>
        <w:rPr>
          <w:rFonts w:eastAsia="黑体"/>
          <w:b/>
          <w:kern w:val="44"/>
          <w:sz w:val="32"/>
        </w:rPr>
      </w:pPr>
      <w:bookmarkStart w:id="0" w:name="_Toc451875485"/>
      <w:r>
        <w:br w:type="page"/>
      </w:r>
    </w:p>
    <w:p w14:paraId="507F1C0E">
      <w:pPr>
        <w:pStyle w:val="2"/>
        <w:ind w:firstLine="643"/>
      </w:pPr>
      <w:r>
        <w:rPr>
          <w:rFonts w:hint="eastAsia"/>
        </w:rPr>
        <w:t>一、评估的基本事项</w:t>
      </w:r>
      <w:bookmarkEnd w:id="0"/>
    </w:p>
    <w:p w14:paraId="60462E9C">
      <w:pPr>
        <w:spacing w:beforeLines="25" w:afterLines="25" w:line="300" w:lineRule="auto"/>
        <w:ind w:firstLine="420" w:firstLineChars="200"/>
        <w:jc w:val="left"/>
        <w:rPr>
          <w:rFonts w:ascii="宋体" w:hAnsi="宋体"/>
          <w:szCs w:val="21"/>
        </w:rPr>
      </w:pPr>
    </w:p>
    <w:p w14:paraId="64026DFA">
      <w:pPr>
        <w:spacing w:beforeLines="25" w:afterLines="25" w:line="300" w:lineRule="auto"/>
        <w:ind w:firstLine="420" w:firstLineChars="200"/>
        <w:jc w:val="left"/>
        <w:rPr>
          <w:rFonts w:ascii="宋体" w:hAnsi="宋体"/>
          <w:szCs w:val="21"/>
        </w:rPr>
      </w:pPr>
      <w:r>
        <w:rPr>
          <w:rFonts w:hint="eastAsia" w:ascii="宋体" w:hAnsi="宋体"/>
          <w:szCs w:val="21"/>
        </w:rPr>
        <w:t>1.委托方简要介绍</w:t>
      </w:r>
    </w:p>
    <w:p w14:paraId="76A19F10">
      <w:pPr>
        <w:spacing w:beforeLines="25" w:afterLines="25" w:line="300" w:lineRule="auto"/>
        <w:ind w:firstLine="525" w:firstLineChars="250"/>
        <w:rPr>
          <w:rFonts w:ascii="宋体" w:hAnsi="宋体"/>
          <w:szCs w:val="21"/>
        </w:rPr>
      </w:pPr>
      <w:r>
        <w:rPr>
          <w:rFonts w:hint="eastAsia" w:ascii="宋体" w:hAnsi="宋体"/>
          <w:szCs w:val="21"/>
        </w:rPr>
        <w:t>G公司创建于一九八五年，现为国家二级企业，系中国医药工业百强企业和全国中成药工业五十强企业之一，拥有外贸进出口自主权。G公司具有雄厚的医药产销实力，现有各类专业技术人员600余人，其中高级技术人员150人，专职技术人员占职工总数的50%；固定资产115437万元；占地面积35万平方米，建筑面积18.2万平方米；固定资产设备3300余台，其中发酵设备总容积5100立方米；公司水、电、汽、冷冻等制药供给公用系统配套完善，规模在中国中部地区医药行业中雄居首位。</w:t>
      </w:r>
    </w:p>
    <w:p w14:paraId="42F477AA">
      <w:pPr>
        <w:spacing w:beforeLines="25" w:afterLines="25" w:line="300" w:lineRule="auto"/>
        <w:ind w:firstLine="420" w:firstLineChars="200"/>
        <w:jc w:val="left"/>
        <w:rPr>
          <w:rFonts w:ascii="宋体" w:hAnsi="宋体"/>
          <w:szCs w:val="21"/>
        </w:rPr>
      </w:pPr>
      <w:r>
        <w:rPr>
          <w:rFonts w:hint="eastAsia" w:ascii="宋体" w:hAnsi="宋体"/>
          <w:szCs w:val="21"/>
        </w:rPr>
        <w:t>G公司下设三个全资子公司、六个生产车间、二个辅助车间，设有药物研究所、质监、技术、生产、设备、技改等处室，公司现有医药品种140余个，主要产品有发酵虫草菌粉(CS-4)、盐酸林可霉素、盐酸土霉素、十三碳二元酸等原料药以及中成药(片剂、胶囊剂、针剂、丸剂、糖浆剂、颗粒剂等)、西药制剂等。G公司注重技术进步，优化了产品结构，完善了生产新工艺，采用具有国际现代水平的检测仪器，运用微机技术辅助生产控制和行政管理。G公司坚持质量第一的宗旨，产品严格按“GMP”要求组织生产，产品质量好、信誉高，在国内外市场具有很强的竞争力。公司现有两个国家银质产品，三个部优产品，八个省优产品。特别是盐酸林可霉素、盐酸土霉素通过美国FDA认证，公司生产的产品，行销海内外，其中出口产品的销售收入占总销售收入的50%以上。</w:t>
      </w:r>
    </w:p>
    <w:p w14:paraId="438A3B65">
      <w:pPr>
        <w:spacing w:beforeLines="25" w:afterLines="25" w:line="300" w:lineRule="auto"/>
        <w:ind w:firstLine="420" w:firstLineChars="200"/>
        <w:jc w:val="left"/>
        <w:rPr>
          <w:rFonts w:ascii="宋体" w:hAnsi="宋体"/>
          <w:szCs w:val="21"/>
        </w:rPr>
      </w:pPr>
      <w:r>
        <w:rPr>
          <w:rFonts w:hint="eastAsia" w:ascii="宋体" w:hAnsi="宋体"/>
          <w:szCs w:val="21"/>
        </w:rPr>
        <w:t>2.评估目的</w:t>
      </w:r>
    </w:p>
    <w:p w14:paraId="142B6434">
      <w:pPr>
        <w:autoSpaceDE w:val="0"/>
        <w:autoSpaceDN w:val="0"/>
        <w:adjustRightInd w:val="0"/>
        <w:spacing w:beforeLines="25" w:afterLines="25" w:line="300" w:lineRule="auto"/>
        <w:ind w:firstLine="420" w:firstLineChars="200"/>
        <w:rPr>
          <w:rFonts w:ascii="宋体" w:hAnsi="宋体"/>
          <w:szCs w:val="21"/>
        </w:rPr>
      </w:pPr>
      <w:r>
        <w:rPr>
          <w:rFonts w:hint="eastAsia" w:ascii="宋体" w:hAnsi="宋体"/>
          <w:szCs w:val="21"/>
        </w:rPr>
        <w:t>本次评估的目的是G公司以其拥有的利用铵离子提高林可霉素产量专利权为质押物向银行申请贷款，为合理确定利用铵离子提高林可霉素产量专利权的市场价值提供参考意见。</w:t>
      </w:r>
    </w:p>
    <w:p w14:paraId="37F5A419">
      <w:pPr>
        <w:spacing w:beforeLines="25" w:afterLines="25" w:line="300" w:lineRule="auto"/>
        <w:ind w:firstLine="420" w:firstLineChars="200"/>
        <w:jc w:val="left"/>
        <w:rPr>
          <w:rFonts w:ascii="宋体" w:hAnsi="宋体"/>
          <w:b/>
          <w:szCs w:val="21"/>
        </w:rPr>
      </w:pPr>
      <w:r>
        <w:rPr>
          <w:rFonts w:hint="eastAsia" w:ascii="宋体" w:hAnsi="宋体"/>
          <w:szCs w:val="21"/>
        </w:rPr>
        <w:t>3.价值类型</w:t>
      </w:r>
    </w:p>
    <w:p w14:paraId="68BF4986">
      <w:pPr>
        <w:autoSpaceDE w:val="0"/>
        <w:autoSpaceDN w:val="0"/>
        <w:adjustRightInd w:val="0"/>
        <w:spacing w:beforeLines="25" w:afterLines="25" w:line="300" w:lineRule="auto"/>
        <w:ind w:firstLine="420" w:firstLineChars="200"/>
        <w:rPr>
          <w:rFonts w:ascii="宋体" w:hAnsi="宋体"/>
          <w:szCs w:val="21"/>
        </w:rPr>
      </w:pPr>
      <w:r>
        <w:rPr>
          <w:rFonts w:ascii="宋体" w:hAnsi="宋体"/>
          <w:szCs w:val="21"/>
        </w:rPr>
        <w:t>根据评估目的和评估对象的特点，考虑</w:t>
      </w:r>
      <w:r>
        <w:rPr>
          <w:rFonts w:hint="eastAsia" w:ascii="宋体" w:hAnsi="宋体"/>
          <w:szCs w:val="21"/>
        </w:rPr>
        <w:t>到</w:t>
      </w:r>
      <w:r>
        <w:rPr>
          <w:rFonts w:ascii="宋体" w:hAnsi="宋体"/>
          <w:szCs w:val="21"/>
        </w:rPr>
        <w:t>市场条件及评估对象的使用等并无特别限制和要求，因此确定本次评估结论的价值类型为市场价值。</w:t>
      </w:r>
    </w:p>
    <w:p w14:paraId="2F697BBE">
      <w:pPr>
        <w:autoSpaceDE w:val="0"/>
        <w:autoSpaceDN w:val="0"/>
        <w:adjustRightInd w:val="0"/>
        <w:spacing w:beforeLines="25" w:afterLines="25" w:line="300" w:lineRule="auto"/>
        <w:ind w:firstLine="420" w:firstLineChars="200"/>
        <w:rPr>
          <w:rFonts w:ascii="宋体" w:hAnsi="宋体"/>
          <w:szCs w:val="21"/>
        </w:rPr>
      </w:pPr>
      <w:r>
        <w:rPr>
          <w:rFonts w:ascii="宋体" w:hAnsi="宋体"/>
          <w:szCs w:val="21"/>
        </w:rPr>
        <w:t>市场价值是指自愿买方和自愿卖方在各自理性行事且未受任何强迫压制的情况下，资产在基准日进行正常公平交易的价值估计数额。</w:t>
      </w:r>
    </w:p>
    <w:p w14:paraId="4C6AF706">
      <w:pPr>
        <w:spacing w:beforeLines="25" w:afterLines="25" w:line="300" w:lineRule="auto"/>
        <w:ind w:firstLine="420" w:firstLineChars="200"/>
        <w:jc w:val="left"/>
        <w:rPr>
          <w:rFonts w:ascii="宋体" w:hAnsi="宋体"/>
          <w:bCs/>
          <w:szCs w:val="21"/>
        </w:rPr>
      </w:pPr>
      <w:r>
        <w:rPr>
          <w:rFonts w:hint="eastAsia" w:ascii="宋体" w:hAnsi="宋体"/>
          <w:bCs/>
          <w:szCs w:val="21"/>
        </w:rPr>
        <w:t>4.评估对象和范围</w:t>
      </w:r>
    </w:p>
    <w:p w14:paraId="7496A194">
      <w:pPr>
        <w:autoSpaceDE w:val="0"/>
        <w:autoSpaceDN w:val="0"/>
        <w:adjustRightInd w:val="0"/>
        <w:spacing w:beforeLines="25" w:afterLines="25" w:line="300" w:lineRule="auto"/>
        <w:ind w:firstLine="420" w:firstLineChars="200"/>
        <w:rPr>
          <w:rFonts w:ascii="宋体" w:hAnsi="宋体"/>
          <w:szCs w:val="21"/>
        </w:rPr>
      </w:pPr>
      <w:r>
        <w:rPr>
          <w:rFonts w:hint="eastAsia" w:ascii="宋体" w:hAnsi="宋体"/>
          <w:szCs w:val="21"/>
        </w:rPr>
        <w:t>本次评估对象为G公司所拥有的一种利用铵离子提高林可霉素产量的专利权,该专利是在中国申请的发明专利，专利号为Z12000000032000，为G公司所独立拥有，申请日期为2008年1月，授权日期为2013年12月，评估范围为G公司</w:t>
      </w:r>
      <w:r>
        <w:rPr>
          <w:rFonts w:ascii="宋体" w:hAnsi="宋体"/>
          <w:szCs w:val="21"/>
        </w:rPr>
        <w:t>于评估基准日</w:t>
      </w:r>
      <w:r>
        <w:rPr>
          <w:rFonts w:hint="eastAsia" w:ascii="宋体" w:hAnsi="宋体"/>
          <w:szCs w:val="21"/>
        </w:rPr>
        <w:t>涉及的</w:t>
      </w:r>
      <w:r>
        <w:rPr>
          <w:rFonts w:ascii="宋体" w:hAnsi="宋体"/>
          <w:szCs w:val="21"/>
        </w:rPr>
        <w:t>全部资产</w:t>
      </w:r>
      <w:r>
        <w:rPr>
          <w:rFonts w:hint="eastAsia" w:ascii="宋体" w:hAnsi="宋体"/>
          <w:szCs w:val="21"/>
        </w:rPr>
        <w:t>及负债。</w:t>
      </w:r>
    </w:p>
    <w:p w14:paraId="2C9712B3">
      <w:pPr>
        <w:spacing w:beforeLines="25" w:afterLines="25" w:line="300" w:lineRule="auto"/>
        <w:ind w:firstLine="420" w:firstLineChars="200"/>
        <w:rPr>
          <w:rFonts w:ascii="宋体" w:hAnsi="宋体"/>
          <w:bCs/>
          <w:szCs w:val="21"/>
        </w:rPr>
      </w:pPr>
      <w:r>
        <w:rPr>
          <w:rFonts w:hint="eastAsia" w:ascii="宋体" w:hAnsi="宋体"/>
          <w:bCs/>
          <w:szCs w:val="21"/>
        </w:rPr>
        <w:t>评估对象应用于</w:t>
      </w:r>
      <w:r>
        <w:rPr>
          <w:rFonts w:ascii="宋体" w:hAnsi="宋体"/>
          <w:bCs/>
          <w:szCs w:val="21"/>
        </w:rPr>
        <w:t>微生物发酵领域，</w:t>
      </w:r>
      <w:r>
        <w:rPr>
          <w:rFonts w:hint="eastAsia" w:ascii="宋体" w:hAnsi="宋体"/>
          <w:bCs/>
          <w:szCs w:val="21"/>
        </w:rPr>
        <w:t>是</w:t>
      </w:r>
      <w:r>
        <w:rPr>
          <w:rFonts w:ascii="宋体" w:hAnsi="宋体"/>
          <w:bCs/>
          <w:szCs w:val="21"/>
        </w:rPr>
        <w:t>一种优化林可霉素发酵生产</w:t>
      </w:r>
      <w:r>
        <w:rPr>
          <w:rFonts w:hint="eastAsia" w:ascii="宋体" w:hAnsi="宋体"/>
          <w:bCs/>
          <w:szCs w:val="21"/>
        </w:rPr>
        <w:t>的</w:t>
      </w:r>
      <w:r>
        <w:rPr>
          <w:rFonts w:ascii="宋体" w:hAnsi="宋体"/>
          <w:bCs/>
          <w:szCs w:val="21"/>
        </w:rPr>
        <w:t>方法，该发明人首次在较大规模水平上研究了林可链霉菌发酵生产林可链霉素的影响因素，总结了优化的林可链霉素发酵生产方法，利用该方法可使得林可霉素的产量</w:t>
      </w:r>
      <w:r>
        <w:rPr>
          <w:rFonts w:hint="eastAsia" w:ascii="宋体" w:hAnsi="宋体"/>
          <w:bCs/>
          <w:szCs w:val="21"/>
        </w:rPr>
        <w:t>获得较大</w:t>
      </w:r>
      <w:r>
        <w:rPr>
          <w:rFonts w:ascii="宋体" w:hAnsi="宋体"/>
          <w:bCs/>
          <w:szCs w:val="21"/>
        </w:rPr>
        <w:t>提高</w:t>
      </w:r>
      <w:r>
        <w:rPr>
          <w:rFonts w:hint="eastAsia" w:ascii="宋体" w:hAnsi="宋体"/>
          <w:bCs/>
          <w:szCs w:val="21"/>
        </w:rPr>
        <w:t>，该专利属于发明专利。</w:t>
      </w:r>
    </w:p>
    <w:p w14:paraId="5ED08E2E">
      <w:pPr>
        <w:spacing w:beforeLines="25" w:afterLines="25" w:line="300" w:lineRule="auto"/>
        <w:ind w:firstLine="420" w:firstLineChars="200"/>
        <w:jc w:val="left"/>
        <w:rPr>
          <w:rFonts w:ascii="宋体" w:hAnsi="宋体"/>
          <w:bCs/>
          <w:szCs w:val="21"/>
        </w:rPr>
      </w:pPr>
      <w:r>
        <w:rPr>
          <w:rFonts w:hint="eastAsia" w:ascii="宋体" w:hAnsi="宋体"/>
          <w:bCs/>
          <w:szCs w:val="21"/>
        </w:rPr>
        <w:t>5.评估基准日</w:t>
      </w:r>
    </w:p>
    <w:p w14:paraId="5395A03F">
      <w:pPr>
        <w:autoSpaceDE w:val="0"/>
        <w:autoSpaceDN w:val="0"/>
        <w:adjustRightInd w:val="0"/>
        <w:spacing w:beforeLines="25" w:afterLines="25" w:line="300" w:lineRule="auto"/>
        <w:ind w:firstLine="420" w:firstLineChars="200"/>
        <w:rPr>
          <w:rFonts w:ascii="宋体" w:hAnsi="宋体"/>
          <w:szCs w:val="21"/>
        </w:rPr>
      </w:pPr>
      <w:r>
        <w:rPr>
          <w:rFonts w:ascii="宋体" w:hAnsi="宋体"/>
          <w:szCs w:val="21"/>
        </w:rPr>
        <w:t>项目资产评估基准日为201</w:t>
      </w:r>
      <w:r>
        <w:rPr>
          <w:rFonts w:hint="eastAsia" w:ascii="宋体" w:hAnsi="宋体"/>
          <w:szCs w:val="21"/>
        </w:rPr>
        <w:t>3</w:t>
      </w:r>
      <w:r>
        <w:rPr>
          <w:rFonts w:ascii="宋体" w:hAnsi="宋体"/>
          <w:szCs w:val="21"/>
        </w:rPr>
        <w:t>年</w:t>
      </w:r>
      <w:r>
        <w:rPr>
          <w:rFonts w:hint="eastAsia" w:ascii="宋体" w:hAnsi="宋体"/>
          <w:szCs w:val="21"/>
        </w:rPr>
        <w:t>3</w:t>
      </w:r>
      <w:r>
        <w:rPr>
          <w:rFonts w:ascii="宋体" w:hAnsi="宋体"/>
          <w:szCs w:val="21"/>
        </w:rPr>
        <w:t>月</w:t>
      </w:r>
      <w:r>
        <w:rPr>
          <w:rFonts w:hint="eastAsia" w:ascii="宋体" w:hAnsi="宋体"/>
          <w:szCs w:val="21"/>
        </w:rPr>
        <w:t>31</w:t>
      </w:r>
      <w:r>
        <w:rPr>
          <w:rFonts w:ascii="宋体" w:hAnsi="宋体"/>
          <w:szCs w:val="21"/>
        </w:rPr>
        <w:t>日。评估基准日系由委托方确定，确定的理由是评估基准日有利于评估目的实现</w:t>
      </w:r>
      <w:r>
        <w:rPr>
          <w:rFonts w:hint="eastAsia" w:ascii="宋体" w:hAnsi="宋体"/>
          <w:szCs w:val="21"/>
        </w:rPr>
        <w:t>。</w:t>
      </w:r>
      <w:r>
        <w:rPr>
          <w:rFonts w:ascii="宋体" w:hAnsi="宋体"/>
          <w:szCs w:val="21"/>
        </w:rPr>
        <w:t>本次评估以评估基准日的价格为取价标准。</w:t>
      </w:r>
    </w:p>
    <w:p w14:paraId="1368DB14">
      <w:pPr>
        <w:autoSpaceDE w:val="0"/>
        <w:autoSpaceDN w:val="0"/>
        <w:adjustRightInd w:val="0"/>
        <w:spacing w:beforeLines="25" w:afterLines="25" w:line="300" w:lineRule="auto"/>
        <w:ind w:firstLine="420" w:firstLineChars="200"/>
        <w:rPr>
          <w:rFonts w:ascii="宋体" w:hAnsi="宋体"/>
          <w:szCs w:val="21"/>
        </w:rPr>
      </w:pPr>
    </w:p>
    <w:p w14:paraId="198EBD66">
      <w:pPr>
        <w:pStyle w:val="2"/>
        <w:ind w:firstLine="643"/>
      </w:pPr>
      <w:bookmarkStart w:id="1" w:name="_Toc451875486"/>
      <w:r>
        <w:rPr>
          <w:rFonts w:hint="eastAsia"/>
        </w:rPr>
        <w:t>二、资产清查简要说明</w:t>
      </w:r>
      <w:bookmarkEnd w:id="1"/>
    </w:p>
    <w:p w14:paraId="1EC97637">
      <w:pPr>
        <w:autoSpaceDE w:val="0"/>
        <w:autoSpaceDN w:val="0"/>
        <w:adjustRightInd w:val="0"/>
        <w:snapToGrid w:val="0"/>
        <w:spacing w:beforeLines="25" w:afterLines="25" w:line="300" w:lineRule="auto"/>
        <w:ind w:firstLine="420" w:firstLineChars="200"/>
        <w:rPr>
          <w:rFonts w:ascii="宋体" w:hAnsi="宋体"/>
          <w:bCs/>
          <w:szCs w:val="21"/>
        </w:rPr>
      </w:pPr>
    </w:p>
    <w:p w14:paraId="2BB210DD">
      <w:pPr>
        <w:autoSpaceDE w:val="0"/>
        <w:autoSpaceDN w:val="0"/>
        <w:adjustRightInd w:val="0"/>
        <w:snapToGrid w:val="0"/>
        <w:spacing w:beforeLines="25" w:afterLines="25" w:line="300" w:lineRule="auto"/>
        <w:ind w:firstLine="420" w:firstLineChars="200"/>
        <w:rPr>
          <w:rFonts w:ascii="宋体" w:hAnsi="宋体"/>
          <w:bCs/>
          <w:szCs w:val="21"/>
        </w:rPr>
      </w:pPr>
      <w:r>
        <w:rPr>
          <w:rFonts w:hint="eastAsia" w:ascii="宋体" w:hAnsi="宋体"/>
          <w:bCs/>
          <w:szCs w:val="21"/>
        </w:rPr>
        <w:t>1.</w:t>
      </w:r>
      <w:r>
        <w:rPr>
          <w:rFonts w:ascii="宋体" w:hAnsi="宋体"/>
          <w:bCs/>
          <w:szCs w:val="21"/>
        </w:rPr>
        <w:t>资产清查的组织</w:t>
      </w:r>
      <w:r>
        <w:rPr>
          <w:rFonts w:hint="eastAsia" w:ascii="宋体" w:hAnsi="宋体"/>
          <w:bCs/>
          <w:szCs w:val="21"/>
        </w:rPr>
        <w:t>及</w:t>
      </w:r>
      <w:r>
        <w:rPr>
          <w:rFonts w:ascii="宋体" w:hAnsi="宋体"/>
          <w:bCs/>
          <w:szCs w:val="21"/>
        </w:rPr>
        <w:t>方案</w:t>
      </w:r>
    </w:p>
    <w:p w14:paraId="11F495D0">
      <w:pPr>
        <w:autoSpaceDE w:val="0"/>
        <w:autoSpaceDN w:val="0"/>
        <w:adjustRightInd w:val="0"/>
        <w:spacing w:beforeLines="25" w:afterLines="25" w:line="300" w:lineRule="auto"/>
        <w:ind w:firstLine="420" w:firstLineChars="200"/>
        <w:rPr>
          <w:rFonts w:ascii="宋体" w:hAnsi="宋体"/>
          <w:szCs w:val="21"/>
        </w:rPr>
      </w:pPr>
      <w:r>
        <w:rPr>
          <w:rFonts w:ascii="宋体" w:hAnsi="宋体"/>
          <w:szCs w:val="21"/>
        </w:rPr>
        <w:t>接受</w:t>
      </w:r>
      <w:r>
        <w:rPr>
          <w:rFonts w:hint="eastAsia" w:ascii="宋体" w:hAnsi="宋体"/>
          <w:szCs w:val="21"/>
        </w:rPr>
        <w:t>评估</w:t>
      </w:r>
      <w:r>
        <w:rPr>
          <w:rFonts w:ascii="宋体" w:hAnsi="宋体"/>
          <w:szCs w:val="21"/>
        </w:rPr>
        <w:t>委托后，评估人员</w:t>
      </w:r>
      <w:r>
        <w:rPr>
          <w:rFonts w:hint="eastAsia" w:ascii="宋体" w:hAnsi="宋体"/>
          <w:szCs w:val="21"/>
        </w:rPr>
        <w:t>进驻G公司，指导</w:t>
      </w:r>
      <w:r>
        <w:rPr>
          <w:rFonts w:ascii="宋体" w:hAnsi="宋体"/>
          <w:szCs w:val="21"/>
        </w:rPr>
        <w:t>企业财务和资产管理人员填写资产评估申报明细表及准备资产评估</w:t>
      </w:r>
      <w:r>
        <w:rPr>
          <w:rFonts w:hint="eastAsia" w:ascii="宋体" w:hAnsi="宋体"/>
          <w:szCs w:val="21"/>
        </w:rPr>
        <w:t>的相关</w:t>
      </w:r>
      <w:r>
        <w:rPr>
          <w:rFonts w:ascii="宋体" w:hAnsi="宋体"/>
          <w:szCs w:val="21"/>
        </w:rPr>
        <w:t>资料；然后由企业财务</w:t>
      </w:r>
      <w:r>
        <w:rPr>
          <w:rFonts w:hint="eastAsia" w:ascii="宋体" w:hAnsi="宋体"/>
          <w:szCs w:val="21"/>
        </w:rPr>
        <w:t>部门</w:t>
      </w:r>
      <w:r>
        <w:rPr>
          <w:rFonts w:ascii="宋体" w:hAnsi="宋体"/>
          <w:szCs w:val="21"/>
        </w:rPr>
        <w:t>对评估范围的资产和负债按资产评估申报明细表的内容进行全面清查核实</w:t>
      </w:r>
      <w:r>
        <w:rPr>
          <w:rFonts w:hint="eastAsia" w:ascii="宋体" w:hAnsi="宋体"/>
          <w:szCs w:val="21"/>
        </w:rPr>
        <w:t>，并填写资产评估申报明细表</w:t>
      </w:r>
      <w:r>
        <w:rPr>
          <w:rFonts w:ascii="宋体" w:hAnsi="宋体"/>
          <w:szCs w:val="21"/>
        </w:rPr>
        <w:t>，同时按评估资料清单要求准备相关的产权证明、历史成本支出明细、资产质量状况、其他财务和经济技术指标等相关评估资料</w:t>
      </w:r>
      <w:r>
        <w:rPr>
          <w:rFonts w:hint="eastAsia" w:ascii="宋体" w:hAnsi="宋体"/>
          <w:szCs w:val="21"/>
        </w:rPr>
        <w:t>，并</w:t>
      </w:r>
      <w:r>
        <w:rPr>
          <w:rFonts w:ascii="宋体" w:hAnsi="宋体"/>
          <w:szCs w:val="21"/>
        </w:rPr>
        <w:t>听取企业相关人员介绍待评估资产的历史和现状；对企业提供的资产评估申报明细表进行核对，对申报评估明细表中资产构成不明确的内容</w:t>
      </w:r>
      <w:r>
        <w:rPr>
          <w:rFonts w:hint="eastAsia" w:ascii="宋体" w:hAnsi="宋体"/>
          <w:szCs w:val="21"/>
        </w:rPr>
        <w:t>进行确定</w:t>
      </w:r>
      <w:r>
        <w:rPr>
          <w:rFonts w:ascii="宋体" w:hAnsi="宋体"/>
          <w:szCs w:val="21"/>
        </w:rPr>
        <w:t>，以实际清查结果调整评估</w:t>
      </w:r>
      <w:r>
        <w:rPr>
          <w:rFonts w:hint="eastAsia" w:ascii="宋体" w:hAnsi="宋体"/>
          <w:szCs w:val="21"/>
        </w:rPr>
        <w:t>申报</w:t>
      </w:r>
      <w:r>
        <w:rPr>
          <w:rFonts w:ascii="宋体" w:hAnsi="宋体"/>
          <w:szCs w:val="21"/>
        </w:rPr>
        <w:t>明细表；按评估申报明细表对各项资产进行现场清查核实，并验证相关评估资料。</w:t>
      </w:r>
    </w:p>
    <w:p w14:paraId="077E9FB6">
      <w:pPr>
        <w:autoSpaceDE w:val="0"/>
        <w:autoSpaceDN w:val="0"/>
        <w:adjustRightInd w:val="0"/>
        <w:snapToGrid w:val="0"/>
        <w:spacing w:beforeLines="25" w:afterLines="25" w:line="300" w:lineRule="auto"/>
        <w:ind w:firstLine="420" w:firstLineChars="200"/>
        <w:rPr>
          <w:rFonts w:ascii="宋体" w:hAnsi="宋体"/>
          <w:bCs/>
          <w:szCs w:val="21"/>
        </w:rPr>
      </w:pPr>
      <w:r>
        <w:rPr>
          <w:rFonts w:hint="eastAsia" w:ascii="宋体" w:hAnsi="宋体"/>
          <w:bCs/>
          <w:szCs w:val="21"/>
        </w:rPr>
        <w:t xml:space="preserve">2.清查核实的方法 </w:t>
      </w:r>
    </w:p>
    <w:p w14:paraId="471FD6CB">
      <w:pPr>
        <w:autoSpaceDE w:val="0"/>
        <w:autoSpaceDN w:val="0"/>
        <w:adjustRightInd w:val="0"/>
        <w:spacing w:beforeLines="25" w:afterLines="25" w:line="300" w:lineRule="auto"/>
        <w:ind w:firstLine="420" w:firstLineChars="200"/>
        <w:rPr>
          <w:rFonts w:ascii="宋体" w:hAnsi="宋体"/>
          <w:szCs w:val="21"/>
        </w:rPr>
      </w:pPr>
      <w:r>
        <w:rPr>
          <w:rFonts w:ascii="宋体" w:hAnsi="宋体"/>
          <w:szCs w:val="21"/>
        </w:rPr>
        <w:t>针对各类资产具体情况分别选择全面清查法</w:t>
      </w:r>
      <w:r>
        <w:rPr>
          <w:rFonts w:hint="eastAsia" w:ascii="宋体" w:hAnsi="宋体"/>
          <w:szCs w:val="21"/>
        </w:rPr>
        <w:t>、</w:t>
      </w:r>
      <w:r>
        <w:rPr>
          <w:rFonts w:ascii="宋体" w:hAnsi="宋体"/>
          <w:szCs w:val="21"/>
        </w:rPr>
        <w:t>分类清查法</w:t>
      </w:r>
      <w:r>
        <w:rPr>
          <w:rFonts w:hint="eastAsia" w:ascii="宋体" w:hAnsi="宋体"/>
          <w:szCs w:val="21"/>
        </w:rPr>
        <w:t>、</w:t>
      </w:r>
      <w:r>
        <w:rPr>
          <w:rFonts w:ascii="宋体" w:hAnsi="宋体"/>
          <w:szCs w:val="21"/>
        </w:rPr>
        <w:t>账目核对法</w:t>
      </w:r>
      <w:r>
        <w:rPr>
          <w:rFonts w:hint="eastAsia" w:ascii="宋体" w:hAnsi="宋体"/>
          <w:szCs w:val="21"/>
        </w:rPr>
        <w:t>和</w:t>
      </w:r>
      <w:r>
        <w:rPr>
          <w:rFonts w:ascii="宋体" w:hAnsi="宋体"/>
          <w:szCs w:val="21"/>
        </w:rPr>
        <w:t>函证询问法</w:t>
      </w:r>
      <w:r>
        <w:rPr>
          <w:rFonts w:hint="eastAsia" w:ascii="宋体" w:hAnsi="宋体"/>
          <w:szCs w:val="21"/>
        </w:rPr>
        <w:t>。对</w:t>
      </w:r>
      <w:r>
        <w:rPr>
          <w:rFonts w:ascii="宋体" w:hAnsi="宋体"/>
          <w:szCs w:val="21"/>
        </w:rPr>
        <w:t>房屋建筑物、机器设备</w:t>
      </w:r>
      <w:r>
        <w:rPr>
          <w:rFonts w:hint="eastAsia" w:ascii="宋体" w:hAnsi="宋体"/>
          <w:szCs w:val="21"/>
        </w:rPr>
        <w:t>、在建工程、土地使用权</w:t>
      </w:r>
      <w:r>
        <w:rPr>
          <w:rFonts w:ascii="宋体" w:hAnsi="宋体"/>
          <w:szCs w:val="21"/>
        </w:rPr>
        <w:t>逐项核实</w:t>
      </w:r>
      <w:r>
        <w:rPr>
          <w:rFonts w:hint="eastAsia" w:ascii="宋体" w:hAnsi="宋体"/>
          <w:szCs w:val="21"/>
        </w:rPr>
        <w:t>；</w:t>
      </w:r>
      <w:r>
        <w:rPr>
          <w:rFonts w:ascii="宋体" w:hAnsi="宋体"/>
          <w:szCs w:val="21"/>
        </w:rPr>
        <w:t>对原材料，根据企业核算的实际情况，按不同种类分别进行抽查盘点</w:t>
      </w:r>
      <w:r>
        <w:rPr>
          <w:rFonts w:hint="eastAsia" w:ascii="宋体" w:hAnsi="宋体"/>
          <w:szCs w:val="21"/>
        </w:rPr>
        <w:t>；</w:t>
      </w:r>
      <w:r>
        <w:rPr>
          <w:rFonts w:ascii="宋体" w:hAnsi="宋体"/>
          <w:szCs w:val="21"/>
        </w:rPr>
        <w:t>对银行存款、</w:t>
      </w:r>
      <w:r>
        <w:rPr>
          <w:rFonts w:hint="eastAsia" w:ascii="宋体" w:hAnsi="宋体"/>
          <w:szCs w:val="21"/>
        </w:rPr>
        <w:t>应收票据、长期待摊费用、应付利息、应付职工薪酬、</w:t>
      </w:r>
      <w:r>
        <w:rPr>
          <w:rFonts w:ascii="宋体" w:hAnsi="宋体"/>
          <w:szCs w:val="21"/>
        </w:rPr>
        <w:t>应</w:t>
      </w:r>
      <w:r>
        <w:rPr>
          <w:rFonts w:hint="eastAsia" w:ascii="宋体" w:hAnsi="宋体"/>
          <w:szCs w:val="21"/>
        </w:rPr>
        <w:t>交</w:t>
      </w:r>
      <w:r>
        <w:rPr>
          <w:rFonts w:ascii="宋体" w:hAnsi="宋体"/>
          <w:szCs w:val="21"/>
        </w:rPr>
        <w:t>税费等项目进行总账、明细账与原始凭证的核对</w:t>
      </w:r>
      <w:r>
        <w:rPr>
          <w:rFonts w:hint="eastAsia" w:ascii="宋体" w:hAnsi="宋体"/>
          <w:szCs w:val="21"/>
        </w:rPr>
        <w:t>；</w:t>
      </w:r>
      <w:r>
        <w:rPr>
          <w:rFonts w:ascii="宋体" w:hAnsi="宋体"/>
          <w:szCs w:val="21"/>
        </w:rPr>
        <w:t>对</w:t>
      </w:r>
      <w:r>
        <w:rPr>
          <w:rFonts w:hint="eastAsia" w:ascii="宋体" w:hAnsi="宋体"/>
          <w:szCs w:val="21"/>
        </w:rPr>
        <w:t>应收账款、预付账款、</w:t>
      </w:r>
      <w:r>
        <w:rPr>
          <w:rFonts w:ascii="宋体" w:hAnsi="宋体"/>
          <w:szCs w:val="21"/>
        </w:rPr>
        <w:t>其它应收款、借款、</w:t>
      </w:r>
      <w:r>
        <w:rPr>
          <w:rFonts w:hint="eastAsia" w:ascii="宋体" w:hAnsi="宋体"/>
          <w:szCs w:val="21"/>
        </w:rPr>
        <w:t>应付账款、</w:t>
      </w:r>
      <w:r>
        <w:rPr>
          <w:rFonts w:ascii="宋体" w:hAnsi="宋体"/>
          <w:szCs w:val="21"/>
        </w:rPr>
        <w:t>其他应付款等采用发询证函并结合抽查会计凭证的方式进行核实。</w:t>
      </w:r>
    </w:p>
    <w:p w14:paraId="7160E3CE">
      <w:pPr>
        <w:autoSpaceDE w:val="0"/>
        <w:autoSpaceDN w:val="0"/>
        <w:adjustRightInd w:val="0"/>
        <w:snapToGrid w:val="0"/>
        <w:spacing w:beforeLines="25" w:afterLines="25" w:line="300" w:lineRule="auto"/>
        <w:ind w:firstLine="420" w:firstLineChars="200"/>
        <w:rPr>
          <w:rFonts w:ascii="宋体" w:hAnsi="宋体"/>
          <w:bCs/>
          <w:szCs w:val="21"/>
        </w:rPr>
      </w:pPr>
      <w:r>
        <w:rPr>
          <w:rFonts w:hint="eastAsia" w:ascii="宋体" w:hAnsi="宋体"/>
          <w:bCs/>
          <w:szCs w:val="21"/>
        </w:rPr>
        <w:t>3.资产清查结论</w:t>
      </w:r>
    </w:p>
    <w:p w14:paraId="7B358AFE">
      <w:pPr>
        <w:spacing w:beforeLines="25" w:afterLines="25" w:line="300" w:lineRule="auto"/>
        <w:ind w:firstLine="420" w:firstLineChars="200"/>
        <w:rPr>
          <w:rFonts w:ascii="宋体" w:hAnsi="宋体"/>
          <w:szCs w:val="21"/>
        </w:rPr>
      </w:pPr>
      <w:r>
        <w:rPr>
          <w:rFonts w:hint="eastAsia" w:ascii="宋体" w:hAnsi="宋体"/>
          <w:szCs w:val="21"/>
        </w:rPr>
        <w:t>通过以上资产清查核实程序，评定委估的各项资产、负债、数量、资产及负债产权清晰、数量正确，各项资产使用和运行正常，满足了“账表相符、账实相符”的评估要求。</w:t>
      </w:r>
      <w:r>
        <w:rPr>
          <w:rFonts w:ascii="宋体" w:hAnsi="宋体"/>
          <w:szCs w:val="21"/>
        </w:rPr>
        <w:t>委估专利已获得国家知识产权局授权的发明专利证书，年费已按时缴纳。</w:t>
      </w:r>
    </w:p>
    <w:p w14:paraId="38ADC4AF">
      <w:pPr>
        <w:numPr>
          <w:ilvl w:val="255"/>
          <w:numId w:val="0"/>
        </w:numPr>
        <w:rPr>
          <w:rFonts w:ascii="华文新魏" w:hAnsi="华文新魏" w:eastAsia="华文新魏" w:cs="华文新魏"/>
          <w:b/>
          <w:sz w:val="30"/>
          <w:szCs w:val="30"/>
        </w:rPr>
      </w:pPr>
    </w:p>
    <w:p w14:paraId="2C5535AC">
      <w:pPr>
        <w:pStyle w:val="2"/>
        <w:ind w:firstLine="643"/>
      </w:pPr>
      <w:bookmarkStart w:id="2" w:name="_Toc451875487"/>
      <w:r>
        <w:rPr>
          <w:rFonts w:hint="eastAsia"/>
        </w:rPr>
        <w:t>三、评估思路</w:t>
      </w:r>
      <w:bookmarkEnd w:id="2"/>
    </w:p>
    <w:p w14:paraId="5E15B638">
      <w:pPr>
        <w:autoSpaceDE w:val="0"/>
        <w:autoSpaceDN w:val="0"/>
        <w:adjustRightInd w:val="0"/>
        <w:spacing w:beforeLines="25" w:afterLines="25" w:line="300" w:lineRule="auto"/>
        <w:ind w:firstLine="420" w:firstLineChars="200"/>
        <w:rPr>
          <w:rFonts w:ascii="宋体" w:hAnsi="宋体"/>
          <w:szCs w:val="21"/>
        </w:rPr>
      </w:pPr>
    </w:p>
    <w:p w14:paraId="4D486D77">
      <w:pPr>
        <w:autoSpaceDE w:val="0"/>
        <w:autoSpaceDN w:val="0"/>
        <w:adjustRightInd w:val="0"/>
        <w:spacing w:beforeLines="25" w:afterLines="25" w:line="300" w:lineRule="auto"/>
        <w:ind w:firstLine="420" w:firstLineChars="200"/>
        <w:rPr>
          <w:rFonts w:ascii="宋体" w:hAnsi="宋体"/>
          <w:szCs w:val="21"/>
        </w:rPr>
      </w:pPr>
      <w:r>
        <w:rPr>
          <w:rFonts w:hint="eastAsia" w:ascii="宋体" w:hAnsi="宋体"/>
          <w:szCs w:val="21"/>
        </w:rPr>
        <w:t>本次评估采用的是收益法，具体方法是首先评估出拥有专利权企业的产品销售收入，再通过评估该专利在产品销售中的贡献程度，测算出专利权的收入分成率，进而求出专利权所带来的净现金流。专利权的折现率测算比较困难，这里采用不同资产所要求回报率的方法进行测算，将企业整体资产分为营运资产、有形非流动资产和无形资产三种，分别测算出不同资产的市场价值和全部资产、营运资产、有形非流动资产所要求的回报率，进而测算出无形资产的投资回报率，并在确定收益年限的基础上测算出无形资产专利权的价值。资产的关系和含义可以用下列具体公式表示：</w:t>
      </w:r>
    </w:p>
    <w:p w14:paraId="280881ED">
      <w:pPr>
        <w:autoSpaceDE w:val="0"/>
        <w:autoSpaceDN w:val="0"/>
        <w:adjustRightInd w:val="0"/>
        <w:spacing w:beforeLines="25" w:afterLines="25" w:line="300" w:lineRule="auto"/>
        <w:ind w:firstLine="420" w:firstLineChars="200"/>
        <w:rPr>
          <w:rFonts w:ascii="宋体" w:hAnsi="宋体"/>
          <w:szCs w:val="21"/>
        </w:rPr>
      </w:pPr>
      <w:r>
        <w:rPr>
          <w:rFonts w:ascii="宋体" w:hAnsi="宋体"/>
          <w:szCs w:val="21"/>
        </w:rPr>
        <w:t>无形资产=</w:t>
      </w:r>
      <w:r>
        <w:rPr>
          <w:rFonts w:hint="eastAsia" w:ascii="宋体" w:hAnsi="宋体"/>
          <w:szCs w:val="21"/>
        </w:rPr>
        <w:t>全部</w:t>
      </w:r>
      <w:r>
        <w:rPr>
          <w:rFonts w:ascii="宋体" w:hAnsi="宋体"/>
          <w:szCs w:val="21"/>
        </w:rPr>
        <w:t>资产</w:t>
      </w:r>
      <w:r>
        <w:rPr>
          <w:rStyle w:val="10"/>
          <w:rFonts w:ascii="宋体" w:hAnsi="宋体"/>
          <w:szCs w:val="21"/>
        </w:rPr>
        <w:footnoteReference w:id="0"/>
      </w:r>
      <w:r>
        <w:rPr>
          <w:rFonts w:ascii="宋体" w:hAnsi="宋体"/>
          <w:szCs w:val="21"/>
        </w:rPr>
        <w:t>-营运资金-有形非流动资产</w:t>
      </w:r>
    </w:p>
    <w:p w14:paraId="3674CB8F">
      <w:pPr>
        <w:autoSpaceDE w:val="0"/>
        <w:autoSpaceDN w:val="0"/>
        <w:adjustRightInd w:val="0"/>
        <w:spacing w:beforeLines="25" w:afterLines="25" w:line="300" w:lineRule="auto"/>
        <w:ind w:firstLine="420" w:firstLineChars="200"/>
        <w:rPr>
          <w:rFonts w:ascii="宋体" w:hAnsi="宋体"/>
          <w:szCs w:val="21"/>
        </w:rPr>
      </w:pPr>
      <w:r>
        <w:rPr>
          <w:rFonts w:hint="eastAsia" w:ascii="宋体" w:hAnsi="宋体"/>
          <w:szCs w:val="21"/>
        </w:rPr>
        <w:t>全部</w:t>
      </w:r>
      <w:r>
        <w:rPr>
          <w:rFonts w:ascii="宋体" w:hAnsi="宋体"/>
          <w:szCs w:val="21"/>
        </w:rPr>
        <w:t>资产=股权价值+</w:t>
      </w:r>
      <w:r>
        <w:rPr>
          <w:rFonts w:hint="eastAsia" w:ascii="宋体" w:hAnsi="宋体"/>
          <w:szCs w:val="21"/>
        </w:rPr>
        <w:t>付</w:t>
      </w:r>
      <w:r>
        <w:rPr>
          <w:rFonts w:ascii="宋体" w:hAnsi="宋体"/>
          <w:szCs w:val="21"/>
        </w:rPr>
        <w:t>息债权价值</w:t>
      </w:r>
    </w:p>
    <w:p w14:paraId="129B7A66">
      <w:pPr>
        <w:autoSpaceDE w:val="0"/>
        <w:autoSpaceDN w:val="0"/>
        <w:adjustRightInd w:val="0"/>
        <w:spacing w:beforeLines="25" w:afterLines="25" w:line="300" w:lineRule="auto"/>
        <w:ind w:firstLine="420" w:firstLineChars="200"/>
        <w:rPr>
          <w:rFonts w:ascii="宋体" w:hAnsi="宋体"/>
          <w:szCs w:val="21"/>
        </w:rPr>
      </w:pPr>
      <w:r>
        <w:rPr>
          <w:rFonts w:ascii="宋体" w:hAnsi="宋体"/>
          <w:szCs w:val="21"/>
        </w:rPr>
        <w:t>营运资金=流动资产-非</w:t>
      </w:r>
      <w:r>
        <w:rPr>
          <w:rFonts w:hint="eastAsia" w:ascii="宋体" w:hAnsi="宋体"/>
          <w:szCs w:val="21"/>
        </w:rPr>
        <w:t>付</w:t>
      </w:r>
      <w:r>
        <w:rPr>
          <w:rFonts w:ascii="宋体" w:hAnsi="宋体"/>
          <w:szCs w:val="21"/>
        </w:rPr>
        <w:t>息负债</w:t>
      </w:r>
    </w:p>
    <w:p w14:paraId="2AF0E9BF">
      <w:pPr>
        <w:autoSpaceDE w:val="0"/>
        <w:autoSpaceDN w:val="0"/>
        <w:adjustRightInd w:val="0"/>
        <w:spacing w:beforeLines="25" w:afterLines="25" w:line="300" w:lineRule="auto"/>
        <w:ind w:firstLine="420" w:firstLineChars="200"/>
        <w:rPr>
          <w:rFonts w:ascii="宋体" w:hAnsi="宋体"/>
          <w:szCs w:val="21"/>
        </w:rPr>
      </w:pPr>
      <w:r>
        <w:rPr>
          <w:rFonts w:ascii="宋体" w:hAnsi="宋体"/>
          <w:szCs w:val="21"/>
        </w:rPr>
        <w:t>有形非流动资产 =</w:t>
      </w:r>
      <w:r>
        <w:rPr>
          <w:rFonts w:hint="eastAsia" w:ascii="宋体" w:hAnsi="宋体"/>
          <w:szCs w:val="21"/>
        </w:rPr>
        <w:t xml:space="preserve"> </w:t>
      </w:r>
      <w:r>
        <w:rPr>
          <w:rFonts w:ascii="宋体" w:hAnsi="宋体"/>
          <w:szCs w:val="21"/>
        </w:rPr>
        <w:t>有形非流动资产账面价值</w:t>
      </w:r>
    </w:p>
    <w:p w14:paraId="74CA98EF">
      <w:pPr>
        <w:autoSpaceDE w:val="0"/>
        <w:autoSpaceDN w:val="0"/>
        <w:adjustRightInd w:val="0"/>
        <w:spacing w:beforeLines="25" w:afterLines="25" w:line="300" w:lineRule="auto"/>
        <w:ind w:firstLine="420" w:firstLineChars="200"/>
        <w:rPr>
          <w:rFonts w:ascii="宋体" w:hAnsi="宋体"/>
          <w:szCs w:val="21"/>
        </w:rPr>
      </w:pPr>
    </w:p>
    <w:p w14:paraId="78E8365C">
      <w:pPr>
        <w:pStyle w:val="2"/>
        <w:spacing w:before="78" w:after="78"/>
        <w:ind w:firstLine="643"/>
      </w:pPr>
      <w:bookmarkStart w:id="3" w:name="_Toc451875488"/>
      <w:r>
        <w:rPr>
          <w:rFonts w:hint="eastAsia"/>
        </w:rPr>
        <w:t>四、评估技术说明</w:t>
      </w:r>
      <w:bookmarkEnd w:id="3"/>
    </w:p>
    <w:p w14:paraId="36F36B49">
      <w:pPr>
        <w:autoSpaceDE w:val="0"/>
        <w:autoSpaceDN w:val="0"/>
        <w:adjustRightInd w:val="0"/>
        <w:spacing w:beforeLines="25" w:afterLines="25" w:line="300" w:lineRule="auto"/>
        <w:ind w:firstLine="420" w:firstLineChars="200"/>
        <w:rPr>
          <w:rFonts w:ascii="宋体" w:hAnsi="宋体"/>
          <w:bCs/>
          <w:szCs w:val="21"/>
        </w:rPr>
      </w:pPr>
    </w:p>
    <w:p w14:paraId="6655F163">
      <w:pPr>
        <w:autoSpaceDE w:val="0"/>
        <w:autoSpaceDN w:val="0"/>
        <w:adjustRightInd w:val="0"/>
        <w:spacing w:beforeLines="25" w:afterLines="25" w:line="300" w:lineRule="auto"/>
        <w:ind w:firstLine="420" w:firstLineChars="200"/>
        <w:rPr>
          <w:rFonts w:ascii="宋体" w:hAnsi="宋体"/>
          <w:bCs/>
          <w:szCs w:val="21"/>
        </w:rPr>
      </w:pPr>
      <w:r>
        <w:rPr>
          <w:rFonts w:hint="eastAsia" w:ascii="宋体" w:hAnsi="宋体"/>
          <w:bCs/>
          <w:szCs w:val="21"/>
        </w:rPr>
        <w:t>1.评估方法的选择与确定</w:t>
      </w:r>
    </w:p>
    <w:p w14:paraId="6BE48581">
      <w:pPr>
        <w:autoSpaceDE w:val="0"/>
        <w:autoSpaceDN w:val="0"/>
        <w:adjustRightInd w:val="0"/>
        <w:spacing w:beforeLines="25" w:afterLines="25" w:line="300" w:lineRule="auto"/>
        <w:ind w:firstLine="420" w:firstLineChars="200"/>
        <w:rPr>
          <w:rFonts w:ascii="宋体" w:hAnsi="宋体"/>
          <w:szCs w:val="21"/>
        </w:rPr>
      </w:pPr>
      <w:r>
        <w:rPr>
          <w:rFonts w:hint="eastAsia" w:ascii="宋体" w:hAnsi="宋体"/>
          <w:szCs w:val="21"/>
        </w:rPr>
        <w:t>无形资产评估与企业价值评估密切相关，对企业</w:t>
      </w:r>
      <w:r>
        <w:rPr>
          <w:rFonts w:ascii="宋体" w:hAnsi="宋体"/>
          <w:szCs w:val="21"/>
        </w:rPr>
        <w:t>资产评估通常有三种方法，即资产基础法、市场法和收益法。</w:t>
      </w:r>
    </w:p>
    <w:p w14:paraId="3E92A455">
      <w:pPr>
        <w:autoSpaceDE w:val="0"/>
        <w:autoSpaceDN w:val="0"/>
        <w:adjustRightInd w:val="0"/>
        <w:spacing w:beforeLines="25" w:afterLines="25" w:line="300" w:lineRule="auto"/>
        <w:ind w:firstLine="420" w:firstLineChars="200"/>
        <w:rPr>
          <w:rFonts w:ascii="宋体" w:hAnsi="宋体"/>
          <w:szCs w:val="21"/>
        </w:rPr>
      </w:pPr>
      <w:r>
        <w:rPr>
          <w:rFonts w:hint="eastAsia" w:ascii="宋体" w:hAnsi="宋体"/>
          <w:szCs w:val="21"/>
        </w:rPr>
        <w:t xml:space="preserve">（1） </w:t>
      </w:r>
      <w:r>
        <w:rPr>
          <w:rFonts w:ascii="宋体" w:hAnsi="宋体"/>
          <w:szCs w:val="21"/>
        </w:rPr>
        <w:t>收益法是指通过将被评估企业预期收益资本化或折现以确定评估对象价值的评估方法。收益法评估必须具备以下三个前提条件</w:t>
      </w:r>
      <w:r>
        <w:rPr>
          <w:rFonts w:hint="eastAsia" w:ascii="宋体" w:hAnsi="宋体"/>
          <w:szCs w:val="21"/>
        </w:rPr>
        <w:t>：一是能够对企业的生产经营期限作出合理的预测；二是</w:t>
      </w:r>
      <w:r>
        <w:rPr>
          <w:rFonts w:ascii="宋体" w:hAnsi="宋体"/>
          <w:szCs w:val="21"/>
        </w:rPr>
        <w:t>能够对企业未来收益进行合理预测</w:t>
      </w:r>
      <w:r>
        <w:rPr>
          <w:rFonts w:hint="eastAsia" w:ascii="宋体" w:hAnsi="宋体"/>
          <w:szCs w:val="21"/>
        </w:rPr>
        <w:t>；三是</w:t>
      </w:r>
      <w:r>
        <w:rPr>
          <w:rFonts w:ascii="宋体" w:hAnsi="宋体"/>
          <w:szCs w:val="21"/>
        </w:rPr>
        <w:t>能够对企业未来收益的风险</w:t>
      </w:r>
      <w:r>
        <w:rPr>
          <w:rFonts w:hint="eastAsia" w:ascii="宋体" w:hAnsi="宋体"/>
          <w:szCs w:val="21"/>
        </w:rPr>
        <w:t>能够可靠计量</w:t>
      </w:r>
      <w:r>
        <w:rPr>
          <w:rFonts w:ascii="宋体" w:hAnsi="宋体"/>
          <w:szCs w:val="21"/>
        </w:rPr>
        <w:t>。</w:t>
      </w:r>
    </w:p>
    <w:p w14:paraId="1B1A5E0D">
      <w:pPr>
        <w:autoSpaceDE w:val="0"/>
        <w:autoSpaceDN w:val="0"/>
        <w:adjustRightInd w:val="0"/>
        <w:spacing w:beforeLines="25" w:afterLines="25" w:line="300" w:lineRule="auto"/>
        <w:ind w:firstLine="420" w:firstLineChars="200"/>
        <w:rPr>
          <w:rFonts w:ascii="宋体" w:hAnsi="宋体"/>
          <w:szCs w:val="21"/>
        </w:rPr>
      </w:pPr>
      <w:r>
        <w:rPr>
          <w:rFonts w:hint="eastAsia" w:ascii="宋体" w:hAnsi="宋体"/>
          <w:szCs w:val="21"/>
        </w:rPr>
        <w:t xml:space="preserve">（2） </w:t>
      </w:r>
      <w:r>
        <w:rPr>
          <w:rFonts w:ascii="宋体" w:hAnsi="宋体"/>
          <w:szCs w:val="21"/>
        </w:rPr>
        <w:t>资产基础法是指以被评估企业评估基准日的资产负债表为基础，合理评估企业表内及表外各项资产、负债价值，</w:t>
      </w:r>
      <w:r>
        <w:rPr>
          <w:rFonts w:hint="eastAsia" w:ascii="宋体" w:hAnsi="宋体"/>
          <w:szCs w:val="21"/>
        </w:rPr>
        <w:t>以此表</w:t>
      </w:r>
      <w:r>
        <w:rPr>
          <w:rFonts w:ascii="宋体" w:hAnsi="宋体"/>
          <w:szCs w:val="21"/>
        </w:rPr>
        <w:t>确定评估对象价值的评估方法。</w:t>
      </w:r>
    </w:p>
    <w:p w14:paraId="09CC2A80">
      <w:pPr>
        <w:autoSpaceDE w:val="0"/>
        <w:autoSpaceDN w:val="0"/>
        <w:adjustRightInd w:val="0"/>
        <w:spacing w:beforeLines="25" w:afterLines="25" w:line="300" w:lineRule="auto"/>
        <w:ind w:firstLine="420" w:firstLineChars="200"/>
        <w:rPr>
          <w:rFonts w:ascii="宋体" w:hAnsi="宋体"/>
          <w:szCs w:val="21"/>
        </w:rPr>
      </w:pPr>
      <w:r>
        <w:rPr>
          <w:rFonts w:hint="eastAsia" w:ascii="宋体" w:hAnsi="宋体"/>
          <w:szCs w:val="21"/>
        </w:rPr>
        <w:t>（3）</w:t>
      </w:r>
      <w:r>
        <w:rPr>
          <w:rFonts w:ascii="宋体" w:hAnsi="宋体"/>
          <w:szCs w:val="21"/>
        </w:rPr>
        <w:t>市场法是指将评估对象与可比上市公司或者可比交易案例进行比较，确定评估对象价值的方法。它具有评估角度和评估途径直接、评估过程直观、评估数据直接取</w:t>
      </w:r>
      <w:r>
        <w:rPr>
          <w:rFonts w:hint="eastAsia" w:ascii="宋体" w:hAnsi="宋体"/>
          <w:szCs w:val="21"/>
        </w:rPr>
        <w:t>值</w:t>
      </w:r>
      <w:r>
        <w:rPr>
          <w:rFonts w:ascii="宋体" w:hAnsi="宋体"/>
          <w:szCs w:val="21"/>
        </w:rPr>
        <w:t>于市场、评估结果说服力强的特点。</w:t>
      </w:r>
    </w:p>
    <w:p w14:paraId="0E501580">
      <w:pPr>
        <w:autoSpaceDE w:val="0"/>
        <w:autoSpaceDN w:val="0"/>
        <w:adjustRightInd w:val="0"/>
        <w:spacing w:beforeLines="25" w:afterLines="25" w:line="300" w:lineRule="auto"/>
        <w:ind w:firstLine="420" w:firstLineChars="200"/>
        <w:rPr>
          <w:rFonts w:ascii="宋体" w:hAnsi="宋体"/>
          <w:szCs w:val="21"/>
        </w:rPr>
      </w:pPr>
      <w:r>
        <w:rPr>
          <w:rFonts w:ascii="宋体" w:hAnsi="宋体"/>
          <w:szCs w:val="21"/>
        </w:rPr>
        <w:t>依据收集的资料分析，目前国内在</w:t>
      </w:r>
      <w:r>
        <w:rPr>
          <w:rFonts w:hint="eastAsia" w:ascii="宋体" w:hAnsi="宋体"/>
          <w:szCs w:val="21"/>
        </w:rPr>
        <w:t>该</w:t>
      </w:r>
      <w:r>
        <w:rPr>
          <w:rFonts w:ascii="宋体" w:hAnsi="宋体"/>
          <w:szCs w:val="21"/>
        </w:rPr>
        <w:t>领域获取的专利仅有几例，且尚未发现类似专利的交易案例，由于缺少与评估对象相似的三个以上的参考企业，</w:t>
      </w:r>
      <w:r>
        <w:rPr>
          <w:rFonts w:hint="eastAsia" w:ascii="宋体" w:hAnsi="宋体"/>
          <w:szCs w:val="21"/>
        </w:rPr>
        <w:t>且可比企业资料收集较难，</w:t>
      </w:r>
      <w:r>
        <w:rPr>
          <w:rFonts w:ascii="宋体" w:hAnsi="宋体"/>
          <w:szCs w:val="21"/>
        </w:rPr>
        <w:t>故本次评估不采纳市场法</w:t>
      </w:r>
      <w:r>
        <w:rPr>
          <w:rFonts w:hint="eastAsia" w:ascii="宋体" w:hAnsi="宋体"/>
          <w:szCs w:val="21"/>
        </w:rPr>
        <w:t>，</w:t>
      </w:r>
      <w:r>
        <w:rPr>
          <w:rFonts w:ascii="宋体" w:hAnsi="宋体"/>
          <w:szCs w:val="21"/>
        </w:rPr>
        <w:t>又由于专利形成的直接成本往往与专利的实际市场价值之间没有直接的对应关系，即专利投入产出的弱对应性，因此</w:t>
      </w:r>
      <w:r>
        <w:rPr>
          <w:rFonts w:hint="eastAsia" w:ascii="宋体" w:hAnsi="宋体"/>
          <w:szCs w:val="21"/>
        </w:rPr>
        <w:t>成本</w:t>
      </w:r>
      <w:r>
        <w:rPr>
          <w:rFonts w:ascii="宋体" w:hAnsi="宋体"/>
          <w:szCs w:val="21"/>
        </w:rPr>
        <w:t>法一般不宜用于对专利评估；本次评估目的是企业将专利权质押，实质上是对企业</w:t>
      </w:r>
      <w:r>
        <w:rPr>
          <w:rFonts w:hint="eastAsia" w:ascii="宋体" w:hAnsi="宋体"/>
          <w:szCs w:val="21"/>
        </w:rPr>
        <w:t>无形资产的</w:t>
      </w:r>
      <w:r>
        <w:rPr>
          <w:rFonts w:ascii="宋体" w:hAnsi="宋体"/>
          <w:szCs w:val="21"/>
        </w:rPr>
        <w:t>盈利能力的价值评估，即根据企业未来的预期收益折现，然后根据专利对企业未来收益的贡献确定分成率，进而确定委估专利权的市场价值，即采用收益法的技术路线进行评估。</w:t>
      </w:r>
    </w:p>
    <w:p w14:paraId="2DE535B0">
      <w:pPr>
        <w:autoSpaceDE w:val="0"/>
        <w:autoSpaceDN w:val="0"/>
        <w:adjustRightInd w:val="0"/>
        <w:spacing w:beforeLines="25" w:afterLines="25" w:line="300" w:lineRule="auto"/>
        <w:ind w:firstLine="420" w:firstLineChars="200"/>
        <w:rPr>
          <w:rFonts w:ascii="宋体" w:hAnsi="宋体"/>
          <w:szCs w:val="21"/>
        </w:rPr>
      </w:pPr>
      <w:r>
        <w:rPr>
          <w:rFonts w:hint="eastAsia" w:ascii="宋体" w:hAnsi="宋体" w:cs="宋体"/>
          <w:szCs w:val="21"/>
        </w:rPr>
        <w:t>（4）</w:t>
      </w:r>
      <w:r>
        <w:rPr>
          <w:rFonts w:ascii="宋体" w:hAnsi="宋体"/>
          <w:szCs w:val="21"/>
        </w:rPr>
        <w:t>收益法简介</w:t>
      </w:r>
    </w:p>
    <w:p w14:paraId="4054BB86">
      <w:pPr>
        <w:spacing w:beforeLines="25" w:afterLines="25" w:line="300" w:lineRule="auto"/>
        <w:ind w:firstLine="420" w:firstLineChars="200"/>
        <w:rPr>
          <w:rFonts w:ascii="宋体" w:hAnsi="宋体"/>
          <w:szCs w:val="21"/>
        </w:rPr>
      </w:pPr>
      <w:r>
        <w:rPr>
          <w:rFonts w:ascii="宋体" w:hAnsi="宋体"/>
          <w:szCs w:val="21"/>
        </w:rPr>
        <w:t>收益法的计算公式：</w:t>
      </w:r>
    </w:p>
    <w:p w14:paraId="0F989AA6">
      <w:pPr>
        <w:widowControl/>
        <w:spacing w:beforeLines="25" w:afterLines="25" w:line="300" w:lineRule="auto"/>
        <w:ind w:firstLine="420" w:firstLineChars="200"/>
        <w:rPr>
          <w:rFonts w:ascii="宋体" w:hAnsi="宋体"/>
          <w:szCs w:val="21"/>
        </w:rPr>
      </w:pPr>
      <w:r>
        <w:rPr>
          <w:rFonts w:ascii="宋体" w:hAnsi="宋体"/>
          <w:szCs w:val="21"/>
        </w:rPr>
        <w:t xml:space="preserve"> P = 未来收益期内各期收益的现值之和</w:t>
      </w:r>
    </w:p>
    <w:p w14:paraId="0D2BE4BC">
      <w:pPr>
        <w:widowControl/>
        <w:spacing w:beforeLines="25" w:afterLines="25" w:line="300" w:lineRule="auto"/>
        <w:ind w:firstLine="420" w:firstLineChars="200"/>
        <w:rPr>
          <w:rFonts w:ascii="宋体" w:hAnsi="宋体"/>
          <w:szCs w:val="21"/>
        </w:rPr>
      </w:pPr>
      <w:r>
        <w:rPr>
          <w:rFonts w:ascii="宋体" w:hAnsi="宋体"/>
          <w:szCs w:val="21"/>
        </w:rPr>
        <w:t xml:space="preserve">   =</w:t>
      </w:r>
      <w:r>
        <w:rPr>
          <w:rFonts w:ascii="宋体" w:hAnsi="宋体"/>
          <w:position w:val="-28"/>
          <w:szCs w:val="21"/>
        </w:rPr>
        <w:object>
          <v:shape id="_x0000_i1025" o:spt="75" type="#_x0000_t75" style="height:34.65pt;width:52.3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p>
    <w:p w14:paraId="04A2C3C4">
      <w:pPr>
        <w:widowControl/>
        <w:spacing w:beforeLines="25" w:afterLines="25" w:line="300" w:lineRule="auto"/>
        <w:ind w:firstLine="420" w:firstLineChars="200"/>
        <w:rPr>
          <w:rFonts w:ascii="宋体" w:hAnsi="宋体"/>
          <w:szCs w:val="21"/>
        </w:rPr>
      </w:pPr>
      <w:r>
        <w:rPr>
          <w:rFonts w:ascii="宋体" w:hAnsi="宋体"/>
          <w:szCs w:val="21"/>
        </w:rPr>
        <w:t>其中</w:t>
      </w:r>
      <w:r>
        <w:rPr>
          <w:rFonts w:hint="eastAsia" w:ascii="宋体" w:hAnsi="宋体"/>
          <w:szCs w:val="21"/>
        </w:rPr>
        <w:t>，</w:t>
      </w:r>
      <w:r>
        <w:rPr>
          <w:rFonts w:ascii="宋体" w:hAnsi="宋体"/>
          <w:szCs w:val="21"/>
        </w:rPr>
        <w:t>P</w:t>
      </w:r>
      <w:r>
        <w:rPr>
          <w:rFonts w:hint="eastAsia" w:ascii="宋体" w:hAnsi="宋体"/>
          <w:szCs w:val="21"/>
        </w:rPr>
        <w:t>为</w:t>
      </w:r>
      <w:r>
        <w:rPr>
          <w:rFonts w:ascii="宋体" w:hAnsi="宋体"/>
          <w:szCs w:val="21"/>
        </w:rPr>
        <w:t>评估值</w:t>
      </w:r>
      <w:r>
        <w:rPr>
          <w:rFonts w:hint="eastAsia" w:ascii="宋体" w:hAnsi="宋体"/>
          <w:szCs w:val="21"/>
        </w:rPr>
        <w:t>；</w:t>
      </w:r>
      <w:r>
        <w:rPr>
          <w:rFonts w:ascii="宋体" w:hAnsi="宋体"/>
          <w:szCs w:val="21"/>
        </w:rPr>
        <w:t>r</w:t>
      </w:r>
      <w:r>
        <w:rPr>
          <w:rFonts w:hint="eastAsia" w:ascii="宋体" w:hAnsi="宋体"/>
          <w:szCs w:val="21"/>
        </w:rPr>
        <w:t>为</w:t>
      </w:r>
      <w:r>
        <w:rPr>
          <w:rFonts w:ascii="宋体" w:hAnsi="宋体"/>
          <w:szCs w:val="21"/>
        </w:rPr>
        <w:t>折现率</w:t>
      </w:r>
      <w:r>
        <w:rPr>
          <w:rFonts w:hint="eastAsia" w:ascii="宋体" w:hAnsi="宋体"/>
          <w:szCs w:val="21"/>
        </w:rPr>
        <w:t>；</w:t>
      </w:r>
      <w:r>
        <w:rPr>
          <w:rFonts w:ascii="宋体" w:hAnsi="宋体"/>
          <w:szCs w:val="21"/>
        </w:rPr>
        <w:t>n</w:t>
      </w:r>
      <w:r>
        <w:rPr>
          <w:rFonts w:hint="eastAsia" w:ascii="宋体" w:hAnsi="宋体"/>
          <w:szCs w:val="21"/>
        </w:rPr>
        <w:t>为</w:t>
      </w:r>
      <w:r>
        <w:rPr>
          <w:rFonts w:ascii="宋体" w:hAnsi="宋体"/>
          <w:szCs w:val="21"/>
        </w:rPr>
        <w:t>收益年期</w:t>
      </w:r>
      <w:r>
        <w:rPr>
          <w:rFonts w:hint="eastAsia" w:ascii="宋体" w:hAnsi="宋体"/>
          <w:szCs w:val="21"/>
        </w:rPr>
        <w:t>；</w:t>
      </w:r>
      <w:r>
        <w:rPr>
          <w:rFonts w:ascii="宋体" w:hAnsi="宋体"/>
          <w:szCs w:val="21"/>
        </w:rPr>
        <w:t>F</w:t>
      </w:r>
      <w:r>
        <w:rPr>
          <w:rFonts w:ascii="宋体" w:hAnsi="宋体"/>
          <w:szCs w:val="21"/>
          <w:vertAlign w:val="subscript"/>
        </w:rPr>
        <w:t>i</w:t>
      </w:r>
      <w:r>
        <w:rPr>
          <w:rFonts w:hint="eastAsia" w:ascii="宋体" w:hAnsi="宋体"/>
          <w:szCs w:val="21"/>
        </w:rPr>
        <w:t>为</w:t>
      </w:r>
      <w:r>
        <w:rPr>
          <w:rFonts w:ascii="宋体" w:hAnsi="宋体"/>
          <w:szCs w:val="21"/>
        </w:rPr>
        <w:t>未来第i个收益期的预期收益。从公式中可见，影响收益现值的三大参数为：收益期限n</w:t>
      </w:r>
      <w:r>
        <w:rPr>
          <w:rFonts w:hint="eastAsia" w:ascii="宋体" w:hAnsi="宋体"/>
          <w:szCs w:val="21"/>
        </w:rPr>
        <w:t>、</w:t>
      </w:r>
      <w:r>
        <w:rPr>
          <w:rFonts w:ascii="宋体" w:hAnsi="宋体"/>
          <w:szCs w:val="21"/>
        </w:rPr>
        <w:t>逐年预期收益的分成额F</w:t>
      </w:r>
      <w:r>
        <w:rPr>
          <w:rFonts w:ascii="宋体" w:hAnsi="宋体"/>
          <w:szCs w:val="21"/>
          <w:vertAlign w:val="subscript"/>
        </w:rPr>
        <w:t>i</w:t>
      </w:r>
      <w:r>
        <w:rPr>
          <w:rFonts w:ascii="宋体" w:hAnsi="宋体"/>
          <w:szCs w:val="21"/>
        </w:rPr>
        <w:t>和折现率r。本次无形资产评估选用销售收入分成收益模型：</w:t>
      </w:r>
    </w:p>
    <w:p w14:paraId="1688366C">
      <w:pPr>
        <w:spacing w:beforeLines="25" w:afterLines="25" w:line="300" w:lineRule="auto"/>
        <w:ind w:firstLine="630" w:firstLineChars="300"/>
        <w:rPr>
          <w:rFonts w:ascii="宋体" w:hAnsi="宋体"/>
          <w:bCs/>
          <w:szCs w:val="21"/>
        </w:rPr>
      </w:pPr>
      <w:r>
        <w:rPr>
          <w:rFonts w:ascii="宋体" w:hAnsi="宋体"/>
          <w:bCs/>
          <w:position w:val="-12"/>
          <w:szCs w:val="21"/>
        </w:rPr>
        <w:object>
          <v:shape id="_x0000_i1026" o:spt="75" type="#_x0000_t75" style="height:17.65pt;width:23.75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rPr>
          <w:rFonts w:hint="eastAsia" w:ascii="宋体" w:hAnsi="宋体"/>
          <w:bCs/>
          <w:szCs w:val="21"/>
        </w:rPr>
        <w:t>各年预期</w:t>
      </w:r>
      <w:r>
        <w:rPr>
          <w:rFonts w:ascii="宋体" w:hAnsi="宋体"/>
          <w:bCs/>
          <w:szCs w:val="21"/>
        </w:rPr>
        <w:t>销售收入</w:t>
      </w:r>
      <w:r>
        <w:rPr>
          <w:rFonts w:ascii="Arial" w:hAnsi="Arial" w:cs="Arial"/>
          <w:bCs/>
          <w:szCs w:val="21"/>
        </w:rPr>
        <w:t>×</w:t>
      </w:r>
      <w:r>
        <w:rPr>
          <w:rFonts w:ascii="宋体" w:hAnsi="宋体"/>
          <w:bCs/>
          <w:szCs w:val="21"/>
        </w:rPr>
        <w:t>销售收入净分成率</w:t>
      </w:r>
    </w:p>
    <w:p w14:paraId="41E10886">
      <w:pPr>
        <w:widowControl/>
        <w:spacing w:beforeLines="25" w:afterLines="25" w:line="300" w:lineRule="auto"/>
        <w:ind w:firstLine="420" w:firstLineChars="200"/>
        <w:rPr>
          <w:rFonts w:ascii="宋体" w:hAnsi="宋体"/>
          <w:szCs w:val="21"/>
        </w:rPr>
      </w:pPr>
      <w:r>
        <w:rPr>
          <w:rFonts w:hint="eastAsia" w:ascii="宋体" w:hAnsi="宋体"/>
          <w:szCs w:val="21"/>
        </w:rPr>
        <w:t>2.</w:t>
      </w:r>
      <w:r>
        <w:rPr>
          <w:rFonts w:ascii="宋体" w:hAnsi="宋体"/>
          <w:szCs w:val="21"/>
        </w:rPr>
        <w:t>主要参数的选取</w:t>
      </w:r>
    </w:p>
    <w:p w14:paraId="0FECC401">
      <w:pPr>
        <w:widowControl/>
        <w:spacing w:beforeLines="25" w:afterLines="25" w:line="300" w:lineRule="auto"/>
        <w:ind w:firstLine="420" w:firstLineChars="200"/>
        <w:rPr>
          <w:rFonts w:ascii="宋体" w:hAnsi="宋体"/>
          <w:szCs w:val="21"/>
        </w:rPr>
      </w:pPr>
      <w:r>
        <w:rPr>
          <w:rFonts w:hint="eastAsia" w:ascii="宋体" w:hAnsi="宋体" w:cs="宋体"/>
          <w:szCs w:val="21"/>
        </w:rPr>
        <w:t>（1）</w:t>
      </w:r>
      <w:r>
        <w:rPr>
          <w:rFonts w:ascii="宋体" w:hAnsi="宋体"/>
          <w:szCs w:val="21"/>
        </w:rPr>
        <w:t>预期净收益的预测</w:t>
      </w:r>
    </w:p>
    <w:p w14:paraId="7B149DD9">
      <w:pPr>
        <w:widowControl/>
        <w:spacing w:beforeLines="25" w:afterLines="25" w:line="300" w:lineRule="auto"/>
        <w:ind w:firstLine="420" w:firstLineChars="200"/>
        <w:rPr>
          <w:rFonts w:ascii="宋体" w:hAnsi="宋体"/>
          <w:szCs w:val="21"/>
        </w:rPr>
      </w:pPr>
      <w:r>
        <w:rPr>
          <w:rFonts w:ascii="宋体" w:hAnsi="宋体"/>
          <w:szCs w:val="21"/>
        </w:rPr>
        <w:t>委估无形资产预期净收益公式如下：</w:t>
      </w:r>
    </w:p>
    <w:p w14:paraId="2BFC6B81">
      <w:pPr>
        <w:widowControl/>
        <w:spacing w:beforeLines="25" w:afterLines="25" w:line="300" w:lineRule="auto"/>
        <w:ind w:firstLine="420" w:firstLineChars="200"/>
        <w:rPr>
          <w:rFonts w:ascii="宋体" w:hAnsi="宋体"/>
          <w:szCs w:val="21"/>
        </w:rPr>
      </w:pPr>
      <w:r>
        <w:rPr>
          <w:rFonts w:ascii="宋体" w:hAnsi="宋体"/>
          <w:szCs w:val="21"/>
        </w:rPr>
        <w:t>委估无形资产预期净收益=委估无形资产产品销售收入×销售收入净分成率</w:t>
      </w:r>
    </w:p>
    <w:p w14:paraId="4C3ED815">
      <w:pPr>
        <w:widowControl/>
        <w:spacing w:beforeLines="25" w:afterLines="25" w:line="300" w:lineRule="auto"/>
        <w:ind w:firstLine="420" w:firstLineChars="200"/>
        <w:rPr>
          <w:rFonts w:ascii="宋体" w:hAnsi="宋体"/>
          <w:szCs w:val="21"/>
        </w:rPr>
      </w:pPr>
      <w:r>
        <w:rPr>
          <w:rFonts w:ascii="宋体" w:hAnsi="宋体"/>
          <w:szCs w:val="21"/>
        </w:rPr>
        <w:t>其中：委估无形资产产品销售收入为以后年度</w:t>
      </w:r>
      <w:r>
        <w:rPr>
          <w:rFonts w:hint="eastAsia" w:ascii="宋体" w:hAnsi="宋体"/>
          <w:szCs w:val="21"/>
        </w:rPr>
        <w:t>应用专利的各类产品销售后产生</w:t>
      </w:r>
      <w:r>
        <w:rPr>
          <w:rFonts w:ascii="宋体" w:hAnsi="宋体"/>
          <w:szCs w:val="21"/>
        </w:rPr>
        <w:t>的收入。</w:t>
      </w:r>
    </w:p>
    <w:p w14:paraId="155C93C2">
      <w:pPr>
        <w:widowControl/>
        <w:spacing w:beforeLines="25" w:afterLines="25" w:line="300" w:lineRule="auto"/>
        <w:ind w:firstLine="420" w:firstLineChars="200"/>
        <w:rPr>
          <w:rFonts w:ascii="宋体" w:hAnsi="宋体"/>
          <w:szCs w:val="21"/>
        </w:rPr>
      </w:pPr>
      <w:r>
        <w:rPr>
          <w:rFonts w:hint="eastAsia" w:ascii="宋体" w:hAnsi="宋体" w:cs="宋体"/>
          <w:szCs w:val="21"/>
        </w:rPr>
        <w:t>（2）</w:t>
      </w:r>
      <w:r>
        <w:rPr>
          <w:rFonts w:ascii="宋体" w:hAnsi="宋体"/>
          <w:szCs w:val="21"/>
        </w:rPr>
        <w:t>无形资产分成率</w:t>
      </w:r>
    </w:p>
    <w:p w14:paraId="0AE5D83C">
      <w:pPr>
        <w:widowControl/>
        <w:spacing w:beforeLines="25" w:afterLines="25" w:line="300" w:lineRule="auto"/>
        <w:ind w:firstLine="420" w:firstLineChars="200"/>
        <w:rPr>
          <w:rFonts w:ascii="宋体" w:hAnsi="宋体"/>
          <w:szCs w:val="21"/>
        </w:rPr>
      </w:pPr>
      <w:r>
        <w:rPr>
          <w:rFonts w:ascii="宋体" w:hAnsi="宋体"/>
          <w:szCs w:val="21"/>
        </w:rPr>
        <w:t>本次无形资产评估采用的是销售收入分成收益模型，无形资产分成率为销售收入净分成率。</w:t>
      </w:r>
    </w:p>
    <w:p w14:paraId="0ED925EA">
      <w:pPr>
        <w:widowControl/>
        <w:spacing w:beforeLines="25" w:afterLines="25" w:line="300" w:lineRule="auto"/>
        <w:ind w:firstLine="420" w:firstLineChars="200"/>
        <w:rPr>
          <w:rFonts w:ascii="宋体" w:hAnsi="宋体"/>
          <w:szCs w:val="21"/>
        </w:rPr>
      </w:pPr>
      <w:r>
        <w:rPr>
          <w:rFonts w:hint="eastAsia" w:ascii="宋体" w:hAnsi="宋体" w:cs="宋体"/>
          <w:szCs w:val="21"/>
        </w:rPr>
        <w:t>（3）</w:t>
      </w:r>
      <w:r>
        <w:rPr>
          <w:rFonts w:ascii="宋体" w:hAnsi="宋体"/>
          <w:szCs w:val="21"/>
        </w:rPr>
        <w:t>收益年期的确定</w:t>
      </w:r>
    </w:p>
    <w:p w14:paraId="33FCA2F5">
      <w:pPr>
        <w:tabs>
          <w:tab w:val="left" w:pos="420"/>
          <w:tab w:val="left" w:pos="540"/>
        </w:tabs>
        <w:spacing w:beforeLines="25" w:afterLines="25" w:line="300" w:lineRule="auto"/>
        <w:ind w:firstLine="420" w:firstLineChars="200"/>
        <w:rPr>
          <w:rFonts w:ascii="宋体" w:hAnsi="宋体"/>
          <w:szCs w:val="21"/>
        </w:rPr>
      </w:pPr>
      <w:r>
        <w:rPr>
          <w:rFonts w:ascii="宋体" w:hAnsi="宋体"/>
          <w:szCs w:val="21"/>
        </w:rPr>
        <w:t>科技成果的经济寿命取决于行业技术的发展更新速度、技术的领先程度、法律或者行政保护强度。由于科学技术是不断发展的，并且，科技发展的速度越来越快，一种新的</w:t>
      </w:r>
      <w:r>
        <w:rPr>
          <w:rFonts w:hint="eastAsia" w:ascii="宋体" w:hAnsi="宋体"/>
          <w:szCs w:val="21"/>
        </w:rPr>
        <w:t>、</w:t>
      </w:r>
      <w:r>
        <w:rPr>
          <w:rFonts w:ascii="宋体" w:hAnsi="宋体"/>
          <w:szCs w:val="21"/>
        </w:rPr>
        <w:t>更为先进、适用</w:t>
      </w:r>
      <w:r>
        <w:rPr>
          <w:rFonts w:hint="eastAsia" w:ascii="宋体" w:hAnsi="宋体"/>
          <w:szCs w:val="21"/>
        </w:rPr>
        <w:t>程度</w:t>
      </w:r>
      <w:r>
        <w:rPr>
          <w:rFonts w:ascii="宋体" w:hAnsi="宋体"/>
          <w:szCs w:val="21"/>
        </w:rPr>
        <w:t>或效益更高的技术的出现，使原有技术资产贬值。通常影响技术资产寿命的因素是多种多样的，主要有法规（合同）年限、保密状况、产品更新周期、可替代性、市场竞争情况等。</w:t>
      </w:r>
      <w:r>
        <w:rPr>
          <w:rFonts w:ascii="宋体" w:hAnsi="宋体"/>
          <w:kern w:val="0"/>
          <w:szCs w:val="21"/>
        </w:rPr>
        <w:t>按</w:t>
      </w:r>
      <w:r>
        <w:rPr>
          <w:rFonts w:hint="eastAsia" w:ascii="宋体" w:hAnsi="宋体"/>
          <w:kern w:val="0"/>
          <w:szCs w:val="21"/>
        </w:rPr>
        <w:t>照法律保护寿命和技术经济寿命</w:t>
      </w:r>
      <w:r>
        <w:rPr>
          <w:rFonts w:ascii="宋体" w:hAnsi="宋体"/>
          <w:kern w:val="0"/>
          <w:szCs w:val="21"/>
        </w:rPr>
        <w:t>孰短原则</w:t>
      </w:r>
      <w:r>
        <w:rPr>
          <w:rFonts w:hint="eastAsia" w:ascii="宋体" w:hAnsi="宋体"/>
          <w:kern w:val="0"/>
          <w:szCs w:val="21"/>
        </w:rPr>
        <w:t>确定收益年限。</w:t>
      </w:r>
    </w:p>
    <w:p w14:paraId="2DECBE7E">
      <w:pPr>
        <w:widowControl/>
        <w:spacing w:beforeLines="25" w:afterLines="25" w:line="300" w:lineRule="auto"/>
        <w:ind w:firstLine="420" w:firstLineChars="200"/>
        <w:rPr>
          <w:rFonts w:ascii="宋体" w:hAnsi="宋体"/>
          <w:szCs w:val="21"/>
        </w:rPr>
      </w:pPr>
      <w:r>
        <w:rPr>
          <w:rFonts w:hint="eastAsia" w:ascii="宋体" w:hAnsi="宋体" w:cs="宋体"/>
          <w:szCs w:val="21"/>
        </w:rPr>
        <w:t>（4）</w:t>
      </w:r>
      <w:r>
        <w:rPr>
          <w:rFonts w:ascii="宋体" w:hAnsi="宋体"/>
          <w:szCs w:val="21"/>
        </w:rPr>
        <w:t>折现率的确定</w:t>
      </w:r>
    </w:p>
    <w:p w14:paraId="35AD6D98">
      <w:pPr>
        <w:overflowPunct w:val="0"/>
        <w:spacing w:beforeLines="25" w:afterLines="25" w:line="300" w:lineRule="auto"/>
        <w:ind w:right="-17" w:firstLine="420" w:firstLineChars="200"/>
        <w:rPr>
          <w:rFonts w:ascii="宋体" w:hAnsi="宋体"/>
          <w:szCs w:val="21"/>
        </w:rPr>
      </w:pPr>
      <w:r>
        <w:rPr>
          <w:rFonts w:ascii="宋体" w:hAnsi="宋体"/>
          <w:szCs w:val="21"/>
        </w:rPr>
        <w:t>确定无形资产折现率时一般应遵循以下几条原则：</w:t>
      </w:r>
    </w:p>
    <w:p w14:paraId="5C29E39C">
      <w:pPr>
        <w:overflowPunct w:val="0"/>
        <w:spacing w:beforeLines="25" w:afterLines="25" w:line="300" w:lineRule="auto"/>
        <w:ind w:right="-17" w:firstLine="420" w:firstLineChars="200"/>
        <w:rPr>
          <w:rFonts w:ascii="宋体" w:hAnsi="宋体"/>
          <w:szCs w:val="21"/>
        </w:rPr>
      </w:pPr>
      <w:r>
        <w:rPr>
          <w:rFonts w:hint="eastAsia" w:ascii="宋体" w:hAnsi="宋体" w:cs="宋体"/>
          <w:szCs w:val="21"/>
        </w:rPr>
        <w:t>①</w:t>
      </w:r>
      <w:r>
        <w:rPr>
          <w:rFonts w:ascii="宋体" w:hAnsi="宋体"/>
          <w:szCs w:val="21"/>
        </w:rPr>
        <w:t>不低于行业平均净资产收益率；</w:t>
      </w:r>
    </w:p>
    <w:p w14:paraId="73EE5EBC">
      <w:pPr>
        <w:overflowPunct w:val="0"/>
        <w:spacing w:beforeLines="25" w:afterLines="25" w:line="300" w:lineRule="auto"/>
        <w:ind w:right="-17" w:firstLine="420" w:firstLineChars="200"/>
        <w:rPr>
          <w:rFonts w:ascii="宋体" w:hAnsi="宋体"/>
          <w:szCs w:val="21"/>
        </w:rPr>
      </w:pPr>
      <w:r>
        <w:rPr>
          <w:rFonts w:hint="eastAsia" w:ascii="宋体" w:hAnsi="宋体" w:cs="宋体"/>
          <w:szCs w:val="21"/>
        </w:rPr>
        <w:t>②</w:t>
      </w:r>
      <w:r>
        <w:rPr>
          <w:rFonts w:ascii="宋体" w:hAnsi="宋体"/>
          <w:szCs w:val="21"/>
        </w:rPr>
        <w:t>折现率与收益额相匹配；</w:t>
      </w:r>
    </w:p>
    <w:p w14:paraId="139DAB7B">
      <w:pPr>
        <w:overflowPunct w:val="0"/>
        <w:spacing w:beforeLines="25" w:afterLines="25" w:line="300" w:lineRule="auto"/>
        <w:ind w:right="-17" w:firstLine="420" w:firstLineChars="200"/>
        <w:rPr>
          <w:rFonts w:ascii="宋体" w:hAnsi="宋体"/>
          <w:szCs w:val="21"/>
        </w:rPr>
      </w:pPr>
      <w:r>
        <w:rPr>
          <w:rFonts w:hint="eastAsia" w:ascii="宋体" w:hAnsi="宋体" w:cs="宋体"/>
          <w:szCs w:val="21"/>
        </w:rPr>
        <w:t>③</w:t>
      </w:r>
      <w:r>
        <w:rPr>
          <w:rFonts w:ascii="宋体" w:hAnsi="宋体"/>
          <w:szCs w:val="21"/>
        </w:rPr>
        <w:t>适当考虑投资者的期望回报率及交易双方的利益均衡性。</w:t>
      </w:r>
    </w:p>
    <w:p w14:paraId="0F63FAE4">
      <w:pPr>
        <w:spacing w:beforeLines="25" w:afterLines="25" w:line="300" w:lineRule="auto"/>
        <w:ind w:firstLine="472" w:firstLineChars="225"/>
        <w:rPr>
          <w:rFonts w:ascii="宋体" w:hAnsi="宋体"/>
          <w:szCs w:val="21"/>
        </w:rPr>
      </w:pPr>
      <w:r>
        <w:rPr>
          <w:rFonts w:hint="eastAsia" w:ascii="宋体" w:hAnsi="宋体"/>
          <w:szCs w:val="21"/>
        </w:rPr>
        <w:t>折现率与公司的资产结构相关，这里有两种不同的角度区分公司的资产结构，一是资产可以从来源角度进行归类，企业资产可以分为股权资产和债权资产，股权资产是从投资角度确认资产，而债权资产是从融资角度确认资产，两者要求的收益率会存在差异；二是资产可以从存续的形态进行分类，本案例中将资产分为无形资产、经营资金和有形非流动资产，他们之和构成了企业资产，相应的不同资产所要求的投资回报率会存在差异。通过两种分类可以构建不同的平均资本成本模型，从而利用WACC模型倒算无形资产的折现率。</w:t>
      </w:r>
    </w:p>
    <w:p w14:paraId="60CA2E11">
      <w:pPr>
        <w:spacing w:beforeLines="25" w:afterLines="25" w:line="300" w:lineRule="auto"/>
        <w:ind w:firstLine="472" w:firstLineChars="225"/>
        <w:rPr>
          <w:rFonts w:ascii="宋体" w:hAnsi="宋体"/>
          <w:szCs w:val="21"/>
        </w:rPr>
      </w:pPr>
      <w:r>
        <w:rPr>
          <w:rFonts w:ascii="宋体" w:hAnsi="宋体"/>
          <w:szCs w:val="21"/>
        </w:rPr>
        <w:t>无形资产折现率R</w:t>
      </w:r>
      <w:r>
        <w:rPr>
          <w:rFonts w:ascii="宋体" w:hAnsi="宋体"/>
          <w:szCs w:val="21"/>
          <w:vertAlign w:val="subscript"/>
        </w:rPr>
        <w:t xml:space="preserve">i </w:t>
      </w:r>
      <w:r>
        <w:rPr>
          <w:rFonts w:ascii="宋体" w:hAnsi="宋体"/>
          <w:szCs w:val="21"/>
        </w:rPr>
        <w:t>计算公式如下：</w:t>
      </w:r>
    </w:p>
    <w:p w14:paraId="40F2FFCB">
      <w:pPr>
        <w:spacing w:beforeLines="25" w:afterLines="25" w:line="300" w:lineRule="auto"/>
        <w:ind w:left="480" w:right="-17"/>
        <w:rPr>
          <w:rFonts w:ascii="宋体" w:hAnsi="宋体"/>
          <w:kern w:val="0"/>
          <w:szCs w:val="21"/>
        </w:rPr>
      </w:pPr>
      <w:r>
        <w:rPr>
          <w:rFonts w:ascii="宋体" w:hAnsi="宋体"/>
          <w:szCs w:val="21"/>
          <w:lang w:val="zh-CN"/>
        </w:rPr>
        <w:pict>
          <v:shape id="Picture 6" o:spid="_x0000_s1026" o:spt="75" type="#_x0000_t75" style="position:absolute;left:0pt;margin-left:32.55pt;margin-top:7.85pt;height:28.4pt;width:277.85pt;z-index:251659264;mso-width-relative:page;mso-height-relative:page;" o:ole="t" filled="f" o:preferrelative="t" stroked="f" coordsize="21600,21600">
            <v:path/>
            <v:fill on="f" focussize="0,0"/>
            <v:stroke on="f" joinstyle="miter"/>
            <v:imagedata r:id="rId10" o:title=""/>
            <o:lock v:ext="edit" aspectratio="t"/>
          </v:shape>
          <o:OLEObject Type="Embed" ProgID="Equation.3" ShapeID="Picture 6" DrawAspect="Content" ObjectID="_1468075727" r:id="rId9">
            <o:LockedField>false</o:LockedField>
          </o:OLEObject>
        </w:pict>
      </w:r>
    </w:p>
    <w:p w14:paraId="75C790BD">
      <w:pPr>
        <w:spacing w:beforeLines="25" w:afterLines="25" w:line="300" w:lineRule="auto"/>
        <w:ind w:left="480" w:right="-17"/>
        <w:rPr>
          <w:rFonts w:ascii="宋体" w:hAnsi="宋体"/>
          <w:kern w:val="0"/>
          <w:szCs w:val="21"/>
        </w:rPr>
      </w:pPr>
    </w:p>
    <w:p w14:paraId="17E01BE3">
      <w:pPr>
        <w:tabs>
          <w:tab w:val="left" w:pos="1440"/>
        </w:tabs>
        <w:spacing w:beforeLines="25" w:afterLines="25" w:line="300" w:lineRule="auto"/>
        <w:ind w:right="-17" w:firstLine="420" w:firstLineChars="200"/>
        <w:rPr>
          <w:rFonts w:ascii="宋体" w:hAnsi="宋体"/>
          <w:kern w:val="0"/>
          <w:szCs w:val="21"/>
        </w:rPr>
      </w:pPr>
      <w:r>
        <w:rPr>
          <w:rFonts w:ascii="宋体" w:hAnsi="宋体"/>
          <w:kern w:val="0"/>
          <w:szCs w:val="21"/>
        </w:rPr>
        <w:t>其中</w:t>
      </w:r>
      <w:r>
        <w:rPr>
          <w:rFonts w:hint="eastAsia" w:ascii="宋体" w:hAnsi="宋体"/>
          <w:kern w:val="0"/>
          <w:szCs w:val="21"/>
        </w:rPr>
        <w:t>，</w:t>
      </w:r>
      <w:r>
        <w:rPr>
          <w:rFonts w:ascii="宋体" w:hAnsi="宋体"/>
          <w:kern w:val="0"/>
          <w:szCs w:val="21"/>
        </w:rPr>
        <w:t>全部资产=</w:t>
      </w:r>
      <w:r>
        <w:rPr>
          <w:rFonts w:hint="eastAsia" w:ascii="宋体" w:hAnsi="宋体"/>
          <w:kern w:val="0"/>
          <w:szCs w:val="21"/>
        </w:rPr>
        <w:t>无形资产+营运资金+有形非流动资产；</w:t>
      </w:r>
      <w:r>
        <w:rPr>
          <w:rFonts w:ascii="宋体" w:hAnsi="宋体"/>
          <w:kern w:val="0"/>
          <w:szCs w:val="21"/>
        </w:rPr>
        <w:t>营运资金=流动资产-非</w:t>
      </w:r>
      <w:r>
        <w:rPr>
          <w:rFonts w:hint="eastAsia" w:ascii="宋体" w:hAnsi="宋体"/>
          <w:kern w:val="0"/>
          <w:szCs w:val="21"/>
        </w:rPr>
        <w:t>付</w:t>
      </w:r>
      <w:r>
        <w:rPr>
          <w:rFonts w:ascii="宋体" w:hAnsi="宋体"/>
          <w:kern w:val="0"/>
          <w:szCs w:val="21"/>
        </w:rPr>
        <w:t>息负债</w:t>
      </w:r>
      <w:r>
        <w:rPr>
          <w:rFonts w:hint="eastAsia" w:ascii="宋体" w:hAnsi="宋体"/>
          <w:kern w:val="0"/>
          <w:szCs w:val="21"/>
        </w:rPr>
        <w:t>；</w:t>
      </w:r>
      <w:r>
        <w:rPr>
          <w:rFonts w:ascii="宋体" w:hAnsi="宋体"/>
          <w:kern w:val="0"/>
          <w:szCs w:val="21"/>
        </w:rPr>
        <w:t>有形非流动资产 =有形非流动资产账面价值</w:t>
      </w:r>
      <w:r>
        <w:rPr>
          <w:rFonts w:hint="eastAsia" w:ascii="宋体" w:hAnsi="宋体"/>
          <w:kern w:val="0"/>
          <w:szCs w:val="21"/>
        </w:rPr>
        <w:t>；</w:t>
      </w:r>
      <w:r>
        <w:rPr>
          <w:rFonts w:ascii="宋体" w:hAnsi="宋体"/>
          <w:kern w:val="0"/>
          <w:szCs w:val="21"/>
        </w:rPr>
        <w:t>无形资产=全部资产-营运资金-有形非流动资产</w:t>
      </w:r>
      <w:r>
        <w:rPr>
          <w:rFonts w:hint="eastAsia" w:ascii="宋体" w:hAnsi="宋体"/>
          <w:kern w:val="0"/>
          <w:szCs w:val="21"/>
        </w:rPr>
        <w:t>；</w:t>
      </w:r>
      <w:r>
        <w:rPr>
          <w:rFonts w:ascii="宋体" w:hAnsi="宋体"/>
          <w:kern w:val="0"/>
          <w:szCs w:val="21"/>
        </w:rPr>
        <w:t>R</w:t>
      </w:r>
      <w:r>
        <w:rPr>
          <w:rFonts w:ascii="宋体" w:hAnsi="宋体"/>
          <w:kern w:val="0"/>
          <w:szCs w:val="21"/>
          <w:vertAlign w:val="subscript"/>
        </w:rPr>
        <w:t>c</w:t>
      </w:r>
      <w:r>
        <w:rPr>
          <w:rFonts w:hint="eastAsia" w:ascii="宋体" w:hAnsi="宋体"/>
          <w:kern w:val="0"/>
          <w:szCs w:val="21"/>
        </w:rPr>
        <w:t>为</w:t>
      </w:r>
      <w:r>
        <w:rPr>
          <w:rFonts w:ascii="宋体" w:hAnsi="宋体"/>
          <w:kern w:val="0"/>
          <w:szCs w:val="21"/>
        </w:rPr>
        <w:t>营运资金回报率</w:t>
      </w:r>
      <w:r>
        <w:rPr>
          <w:rFonts w:hint="eastAsia" w:ascii="宋体" w:hAnsi="宋体"/>
          <w:kern w:val="0"/>
          <w:szCs w:val="21"/>
        </w:rPr>
        <w:t>；</w:t>
      </w:r>
      <w:r>
        <w:rPr>
          <w:rFonts w:ascii="宋体" w:hAnsi="宋体"/>
          <w:kern w:val="0"/>
          <w:szCs w:val="21"/>
        </w:rPr>
        <w:t xml:space="preserve"> R</w:t>
      </w:r>
      <w:r>
        <w:rPr>
          <w:rFonts w:ascii="宋体" w:hAnsi="宋体"/>
          <w:kern w:val="0"/>
          <w:szCs w:val="21"/>
          <w:vertAlign w:val="subscript"/>
        </w:rPr>
        <w:t>f</w:t>
      </w:r>
      <w:r>
        <w:rPr>
          <w:rFonts w:hint="eastAsia" w:ascii="宋体" w:hAnsi="宋体"/>
          <w:kern w:val="0"/>
          <w:szCs w:val="21"/>
        </w:rPr>
        <w:t>为</w:t>
      </w:r>
      <w:r>
        <w:rPr>
          <w:rFonts w:ascii="宋体" w:hAnsi="宋体"/>
          <w:kern w:val="0"/>
          <w:szCs w:val="21"/>
        </w:rPr>
        <w:t>有形非流动资产回报率</w:t>
      </w:r>
      <w:r>
        <w:rPr>
          <w:rFonts w:hint="eastAsia" w:ascii="宋体" w:hAnsi="宋体"/>
          <w:kern w:val="0"/>
          <w:szCs w:val="21"/>
        </w:rPr>
        <w:t>。</w:t>
      </w:r>
    </w:p>
    <w:p w14:paraId="2F2968E1">
      <w:pPr>
        <w:adjustRightInd w:val="0"/>
        <w:spacing w:beforeLines="25" w:afterLines="25" w:line="300" w:lineRule="auto"/>
        <w:ind w:firstLine="420" w:firstLineChars="200"/>
        <w:textAlignment w:val="baseline"/>
        <w:rPr>
          <w:rFonts w:ascii="宋体" w:hAnsi="宋体"/>
          <w:kern w:val="0"/>
          <w:szCs w:val="21"/>
        </w:rPr>
      </w:pPr>
      <w:r>
        <w:rPr>
          <w:rFonts w:hint="eastAsia" w:ascii="宋体" w:hAnsi="宋体"/>
          <w:kern w:val="0"/>
          <w:szCs w:val="21"/>
        </w:rPr>
        <w:t>在求取WACC时，需要测算股东权益资本成本和债务资本成本，其计算公式为：</w:t>
      </w:r>
    </w:p>
    <w:p w14:paraId="619B4177">
      <w:pPr>
        <w:adjustRightInd w:val="0"/>
        <w:spacing w:beforeLines="25" w:afterLines="25" w:line="300" w:lineRule="auto"/>
        <w:ind w:firstLine="420" w:firstLineChars="200"/>
        <w:textAlignment w:val="baseline"/>
        <w:rPr>
          <w:rFonts w:ascii="宋体" w:hAnsi="宋体"/>
          <w:kern w:val="0"/>
          <w:szCs w:val="21"/>
          <w:vertAlign w:val="subscript"/>
        </w:rPr>
      </w:pPr>
      <w:r>
        <w:rPr>
          <w:rFonts w:hint="eastAsia" w:ascii="宋体" w:hAnsi="宋体"/>
          <w:kern w:val="0"/>
          <w:szCs w:val="21"/>
        </w:rPr>
        <w:t xml:space="preserve">                      </w:t>
      </w:r>
      <w:r>
        <w:rPr>
          <w:rFonts w:ascii="宋体" w:hAnsi="宋体"/>
          <w:kern w:val="0"/>
          <w:szCs w:val="21"/>
        </w:rPr>
        <w:t>WACC=K</w:t>
      </w:r>
      <w:r>
        <w:rPr>
          <w:rFonts w:ascii="宋体" w:hAnsi="宋体"/>
          <w:kern w:val="0"/>
          <w:szCs w:val="21"/>
          <w:vertAlign w:val="subscript"/>
        </w:rPr>
        <w:t>e</w:t>
      </w:r>
      <w:r>
        <w:rPr>
          <w:rFonts w:ascii="宋体" w:hAnsi="宋体"/>
          <w:kern w:val="0"/>
          <w:szCs w:val="21"/>
        </w:rPr>
        <w:t>×W</w:t>
      </w:r>
      <w:r>
        <w:rPr>
          <w:rFonts w:ascii="宋体" w:hAnsi="宋体"/>
          <w:kern w:val="0"/>
          <w:szCs w:val="21"/>
          <w:vertAlign w:val="subscript"/>
        </w:rPr>
        <w:t>e</w:t>
      </w:r>
      <w:r>
        <w:rPr>
          <w:rFonts w:ascii="宋体" w:hAnsi="宋体"/>
          <w:kern w:val="0"/>
          <w:szCs w:val="21"/>
        </w:rPr>
        <w:t>+K</w:t>
      </w:r>
      <w:r>
        <w:rPr>
          <w:rFonts w:ascii="宋体" w:hAnsi="宋体"/>
          <w:kern w:val="0"/>
          <w:szCs w:val="21"/>
          <w:vertAlign w:val="subscript"/>
        </w:rPr>
        <w:t>d</w:t>
      </w:r>
      <w:r>
        <w:rPr>
          <w:rFonts w:ascii="宋体" w:hAnsi="宋体"/>
          <w:kern w:val="0"/>
          <w:szCs w:val="21"/>
        </w:rPr>
        <w:t>×(1-t)×W</w:t>
      </w:r>
      <w:r>
        <w:rPr>
          <w:rFonts w:ascii="宋体" w:hAnsi="宋体"/>
          <w:kern w:val="0"/>
          <w:szCs w:val="21"/>
          <w:vertAlign w:val="subscript"/>
        </w:rPr>
        <w:t>d</w:t>
      </w:r>
    </w:p>
    <w:p w14:paraId="3D37B8A4">
      <w:pPr>
        <w:tabs>
          <w:tab w:val="left" w:pos="1440"/>
        </w:tabs>
        <w:spacing w:beforeLines="25" w:afterLines="25" w:line="300" w:lineRule="auto"/>
        <w:ind w:right="-17" w:firstLine="420" w:firstLineChars="200"/>
        <w:rPr>
          <w:rFonts w:ascii="宋体" w:hAnsi="宋体"/>
          <w:kern w:val="0"/>
          <w:szCs w:val="21"/>
        </w:rPr>
      </w:pPr>
      <w:r>
        <w:rPr>
          <w:rFonts w:ascii="宋体" w:hAnsi="宋体"/>
          <w:szCs w:val="21"/>
        </w:rPr>
        <w:t>其</w:t>
      </w:r>
      <w:r>
        <w:rPr>
          <w:rFonts w:ascii="宋体" w:hAnsi="宋体"/>
          <w:kern w:val="0"/>
          <w:szCs w:val="21"/>
        </w:rPr>
        <w:t>中</w:t>
      </w:r>
      <w:r>
        <w:rPr>
          <w:rFonts w:hint="eastAsia" w:ascii="宋体" w:hAnsi="宋体"/>
          <w:kern w:val="0"/>
          <w:szCs w:val="21"/>
        </w:rPr>
        <w:t>，</w:t>
      </w:r>
      <w:r>
        <w:rPr>
          <w:rFonts w:ascii="宋体" w:hAnsi="宋体"/>
          <w:kern w:val="0"/>
          <w:szCs w:val="21"/>
        </w:rPr>
        <w:t>WACC</w:t>
      </w:r>
      <w:r>
        <w:rPr>
          <w:rFonts w:hint="eastAsia" w:ascii="宋体" w:hAnsi="宋体"/>
          <w:kern w:val="0"/>
          <w:szCs w:val="21"/>
        </w:rPr>
        <w:t>为</w:t>
      </w:r>
      <w:r>
        <w:rPr>
          <w:rFonts w:ascii="宋体" w:hAnsi="宋体"/>
          <w:kern w:val="0"/>
          <w:szCs w:val="21"/>
        </w:rPr>
        <w:t>加权平均资本成本</w:t>
      </w:r>
      <w:r>
        <w:rPr>
          <w:rFonts w:hint="eastAsia" w:ascii="宋体" w:hAnsi="宋体"/>
          <w:kern w:val="0"/>
          <w:szCs w:val="21"/>
        </w:rPr>
        <w:t>；</w:t>
      </w:r>
      <w:r>
        <w:rPr>
          <w:rFonts w:ascii="宋体" w:hAnsi="宋体"/>
          <w:kern w:val="0"/>
          <w:szCs w:val="21"/>
        </w:rPr>
        <w:t>K</w:t>
      </w:r>
      <w:r>
        <w:rPr>
          <w:rFonts w:ascii="宋体" w:hAnsi="宋体"/>
          <w:kern w:val="0"/>
          <w:szCs w:val="21"/>
          <w:vertAlign w:val="subscript"/>
        </w:rPr>
        <w:t>e</w:t>
      </w:r>
      <w:r>
        <w:rPr>
          <w:rFonts w:hint="eastAsia" w:ascii="宋体" w:hAnsi="宋体"/>
          <w:kern w:val="0"/>
          <w:szCs w:val="21"/>
        </w:rPr>
        <w:t>为</w:t>
      </w:r>
      <w:r>
        <w:rPr>
          <w:rFonts w:ascii="宋体" w:hAnsi="宋体"/>
          <w:kern w:val="0"/>
          <w:szCs w:val="21"/>
        </w:rPr>
        <w:t>公司</w:t>
      </w:r>
      <w:r>
        <w:rPr>
          <w:rFonts w:hint="eastAsia" w:ascii="宋体" w:hAnsi="宋体"/>
          <w:kern w:val="0"/>
          <w:szCs w:val="21"/>
        </w:rPr>
        <w:t>股东</w:t>
      </w:r>
      <w:r>
        <w:rPr>
          <w:rFonts w:ascii="宋体" w:hAnsi="宋体"/>
          <w:kern w:val="0"/>
          <w:szCs w:val="21"/>
        </w:rPr>
        <w:t>权益资本成本</w:t>
      </w:r>
      <w:r>
        <w:rPr>
          <w:rFonts w:hint="eastAsia" w:ascii="宋体" w:hAnsi="宋体"/>
          <w:kern w:val="0"/>
          <w:szCs w:val="21"/>
        </w:rPr>
        <w:t>；</w:t>
      </w:r>
      <w:r>
        <w:rPr>
          <w:rFonts w:ascii="宋体" w:hAnsi="宋体"/>
          <w:kern w:val="0"/>
          <w:szCs w:val="21"/>
        </w:rPr>
        <w:t>K</w:t>
      </w:r>
      <w:r>
        <w:rPr>
          <w:rFonts w:ascii="宋体" w:hAnsi="宋体"/>
          <w:kern w:val="0"/>
          <w:szCs w:val="21"/>
          <w:vertAlign w:val="subscript"/>
        </w:rPr>
        <w:t>d</w:t>
      </w:r>
      <w:r>
        <w:rPr>
          <w:rFonts w:hint="eastAsia" w:ascii="宋体" w:hAnsi="宋体"/>
          <w:kern w:val="0"/>
          <w:szCs w:val="21"/>
        </w:rPr>
        <w:t>为</w:t>
      </w:r>
      <w:r>
        <w:rPr>
          <w:rFonts w:ascii="宋体" w:hAnsi="宋体"/>
          <w:kern w:val="0"/>
          <w:szCs w:val="21"/>
        </w:rPr>
        <w:t>公司债务资本成本</w:t>
      </w:r>
      <w:r>
        <w:rPr>
          <w:rFonts w:hint="eastAsia" w:ascii="宋体" w:hAnsi="宋体"/>
          <w:kern w:val="0"/>
          <w:szCs w:val="21"/>
        </w:rPr>
        <w:t>；</w:t>
      </w:r>
      <w:r>
        <w:rPr>
          <w:rFonts w:ascii="宋体" w:hAnsi="宋体"/>
          <w:kern w:val="0"/>
          <w:szCs w:val="21"/>
        </w:rPr>
        <w:t>W</w:t>
      </w:r>
      <w:r>
        <w:rPr>
          <w:rFonts w:ascii="宋体" w:hAnsi="宋体"/>
          <w:kern w:val="0"/>
          <w:szCs w:val="21"/>
          <w:vertAlign w:val="subscript"/>
        </w:rPr>
        <w:t>e</w:t>
      </w:r>
      <w:r>
        <w:rPr>
          <w:rFonts w:hint="eastAsia" w:ascii="宋体" w:hAnsi="宋体"/>
          <w:kern w:val="0"/>
          <w:szCs w:val="21"/>
        </w:rPr>
        <w:t>为股东</w:t>
      </w:r>
      <w:r>
        <w:rPr>
          <w:rFonts w:ascii="宋体" w:hAnsi="宋体"/>
          <w:kern w:val="0"/>
          <w:szCs w:val="21"/>
        </w:rPr>
        <w:t>权益资本在资本结构中的百分比</w:t>
      </w:r>
      <w:r>
        <w:rPr>
          <w:rFonts w:hint="eastAsia" w:ascii="宋体" w:hAnsi="宋体"/>
          <w:kern w:val="0"/>
          <w:szCs w:val="21"/>
        </w:rPr>
        <w:t>；</w:t>
      </w:r>
      <w:r>
        <w:rPr>
          <w:rFonts w:ascii="宋体" w:hAnsi="宋体"/>
          <w:kern w:val="0"/>
          <w:szCs w:val="21"/>
        </w:rPr>
        <w:t>W</w:t>
      </w:r>
      <w:r>
        <w:rPr>
          <w:rFonts w:ascii="宋体" w:hAnsi="宋体"/>
          <w:kern w:val="0"/>
          <w:szCs w:val="21"/>
          <w:vertAlign w:val="subscript"/>
        </w:rPr>
        <w:t>d</w:t>
      </w:r>
      <w:r>
        <w:rPr>
          <w:rFonts w:hint="eastAsia" w:ascii="宋体" w:hAnsi="宋体"/>
          <w:kern w:val="0"/>
          <w:szCs w:val="21"/>
        </w:rPr>
        <w:t>为</w:t>
      </w:r>
      <w:r>
        <w:rPr>
          <w:rFonts w:ascii="宋体" w:hAnsi="宋体"/>
          <w:kern w:val="0"/>
          <w:szCs w:val="21"/>
        </w:rPr>
        <w:t>债务资本在资本结构中的百分比</w:t>
      </w:r>
      <w:r>
        <w:rPr>
          <w:rFonts w:hint="eastAsia" w:ascii="宋体" w:hAnsi="宋体"/>
          <w:kern w:val="0"/>
          <w:szCs w:val="21"/>
        </w:rPr>
        <w:t>；</w:t>
      </w:r>
      <w:r>
        <w:rPr>
          <w:rFonts w:ascii="宋体" w:hAnsi="宋体"/>
          <w:kern w:val="0"/>
          <w:szCs w:val="21"/>
        </w:rPr>
        <w:t>t</w:t>
      </w:r>
      <w:r>
        <w:rPr>
          <w:rFonts w:hint="eastAsia" w:ascii="宋体" w:hAnsi="宋体"/>
          <w:kern w:val="0"/>
          <w:szCs w:val="21"/>
        </w:rPr>
        <w:t>为</w:t>
      </w:r>
      <w:r>
        <w:rPr>
          <w:rFonts w:ascii="宋体" w:hAnsi="宋体"/>
          <w:kern w:val="0"/>
          <w:szCs w:val="21"/>
        </w:rPr>
        <w:t>公司所得税税率</w:t>
      </w:r>
      <w:r>
        <w:rPr>
          <w:rFonts w:hint="eastAsia" w:ascii="宋体" w:hAnsi="宋体"/>
          <w:kern w:val="0"/>
          <w:szCs w:val="21"/>
        </w:rPr>
        <w:t>。</w:t>
      </w:r>
    </w:p>
    <w:p w14:paraId="1EFD358E">
      <w:pPr>
        <w:tabs>
          <w:tab w:val="left" w:pos="1440"/>
        </w:tabs>
        <w:spacing w:beforeLines="25" w:afterLines="25" w:line="300" w:lineRule="auto"/>
        <w:ind w:right="-17" w:firstLine="420" w:firstLineChars="200"/>
        <w:rPr>
          <w:rFonts w:ascii="宋体" w:hAnsi="宋体"/>
          <w:kern w:val="0"/>
          <w:szCs w:val="21"/>
        </w:rPr>
      </w:pPr>
      <w:r>
        <w:rPr>
          <w:rFonts w:hint="eastAsia" w:ascii="宋体" w:hAnsi="宋体"/>
          <w:kern w:val="0"/>
          <w:szCs w:val="21"/>
        </w:rPr>
        <w:t>3.评估假设</w:t>
      </w:r>
    </w:p>
    <w:p w14:paraId="39F97887">
      <w:pPr>
        <w:tabs>
          <w:tab w:val="left" w:pos="1440"/>
        </w:tabs>
        <w:spacing w:beforeLines="25" w:afterLines="25" w:line="300" w:lineRule="auto"/>
        <w:ind w:right="-17" w:firstLine="420" w:firstLineChars="200"/>
        <w:rPr>
          <w:rFonts w:ascii="宋体" w:hAnsi="宋体"/>
          <w:kern w:val="0"/>
          <w:szCs w:val="21"/>
        </w:rPr>
      </w:pPr>
      <w:bookmarkStart w:id="4" w:name="_Toc170111362"/>
      <w:bookmarkStart w:id="5" w:name="_Toc162865466"/>
      <w:r>
        <w:rPr>
          <w:rFonts w:hint="eastAsia" w:ascii="宋体" w:hAnsi="宋体"/>
          <w:kern w:val="0"/>
          <w:szCs w:val="21"/>
        </w:rPr>
        <w:t>评估假设是评估结论成立的前提和基础，一般分为</w:t>
      </w:r>
      <w:r>
        <w:rPr>
          <w:rFonts w:ascii="宋体" w:hAnsi="宋体"/>
          <w:kern w:val="0"/>
          <w:szCs w:val="21"/>
        </w:rPr>
        <w:t>基本假设</w:t>
      </w:r>
      <w:r>
        <w:rPr>
          <w:rFonts w:hint="eastAsia" w:ascii="宋体" w:hAnsi="宋体"/>
          <w:kern w:val="0"/>
          <w:szCs w:val="21"/>
        </w:rPr>
        <w:t>、一般假设和具体假设。</w:t>
      </w:r>
    </w:p>
    <w:p w14:paraId="2083638A">
      <w:pPr>
        <w:tabs>
          <w:tab w:val="left" w:pos="420"/>
          <w:tab w:val="left" w:pos="540"/>
        </w:tabs>
        <w:spacing w:beforeLines="25" w:afterLines="25" w:line="300" w:lineRule="auto"/>
        <w:ind w:firstLine="420" w:firstLineChars="200"/>
        <w:rPr>
          <w:rFonts w:ascii="宋体" w:hAnsi="宋体"/>
          <w:szCs w:val="21"/>
        </w:rPr>
      </w:pPr>
      <w:r>
        <w:rPr>
          <w:rFonts w:hint="eastAsia" w:ascii="宋体" w:hAnsi="宋体"/>
          <w:szCs w:val="21"/>
        </w:rPr>
        <w:t>基本假设：一是</w:t>
      </w:r>
      <w:r>
        <w:rPr>
          <w:rFonts w:ascii="宋体" w:hAnsi="宋体"/>
          <w:szCs w:val="21"/>
        </w:rPr>
        <w:t>公开市场假设</w:t>
      </w:r>
      <w:r>
        <w:rPr>
          <w:rFonts w:hint="eastAsia" w:ascii="宋体" w:hAnsi="宋体"/>
          <w:szCs w:val="21"/>
        </w:rPr>
        <w:t>，</w:t>
      </w:r>
      <w:r>
        <w:rPr>
          <w:rFonts w:ascii="宋体" w:hAnsi="宋体"/>
          <w:szCs w:val="21"/>
        </w:rPr>
        <w:t>公开市场假设是对资产拟进入的市场条件以及资产在这样的市场条件下接受何种影响的一种假定说明或限定。</w:t>
      </w:r>
      <w:r>
        <w:rPr>
          <w:rFonts w:hint="eastAsia" w:ascii="宋体" w:hAnsi="宋体"/>
          <w:szCs w:val="21"/>
        </w:rPr>
        <w:t>二是</w:t>
      </w:r>
      <w:r>
        <w:rPr>
          <w:rFonts w:ascii="宋体" w:hAnsi="宋体"/>
          <w:szCs w:val="21"/>
        </w:rPr>
        <w:t>持续使用假设</w:t>
      </w:r>
      <w:r>
        <w:rPr>
          <w:rFonts w:hint="eastAsia" w:ascii="宋体" w:hAnsi="宋体"/>
          <w:szCs w:val="21"/>
        </w:rPr>
        <w:t>，</w:t>
      </w:r>
      <w:r>
        <w:rPr>
          <w:rFonts w:ascii="宋体" w:hAnsi="宋体"/>
          <w:szCs w:val="21"/>
        </w:rPr>
        <w:t>该假设设定被评估资产正处于使用状态，</w:t>
      </w:r>
      <w:r>
        <w:rPr>
          <w:rFonts w:hint="eastAsia" w:ascii="宋体" w:hAnsi="宋体"/>
          <w:szCs w:val="21"/>
        </w:rPr>
        <w:t>并</w:t>
      </w:r>
      <w:r>
        <w:rPr>
          <w:rFonts w:ascii="宋体" w:hAnsi="宋体"/>
          <w:szCs w:val="21"/>
        </w:rPr>
        <w:t>推断这些处于使用状态的资产还将继续使用下去。</w:t>
      </w:r>
    </w:p>
    <w:p w14:paraId="11728279">
      <w:pPr>
        <w:tabs>
          <w:tab w:val="left" w:pos="420"/>
          <w:tab w:val="left" w:pos="540"/>
        </w:tabs>
        <w:spacing w:beforeLines="25" w:afterLines="25" w:line="300" w:lineRule="auto"/>
        <w:ind w:firstLine="420" w:firstLineChars="200"/>
        <w:rPr>
          <w:rFonts w:ascii="宋体" w:hAnsi="宋体"/>
          <w:szCs w:val="21"/>
        </w:rPr>
      </w:pPr>
      <w:r>
        <w:rPr>
          <w:rFonts w:hint="eastAsia" w:ascii="宋体" w:hAnsi="宋体"/>
          <w:szCs w:val="21"/>
        </w:rPr>
        <w:t>一般假设：包括</w:t>
      </w:r>
      <w:r>
        <w:rPr>
          <w:rFonts w:ascii="宋体" w:hAnsi="宋体"/>
          <w:szCs w:val="21"/>
        </w:rPr>
        <w:t>国家对被评估单位所处行业的有关法律法规和政策在预</w:t>
      </w:r>
      <w:r>
        <w:rPr>
          <w:rFonts w:hint="eastAsia" w:ascii="宋体" w:hAnsi="宋体"/>
          <w:szCs w:val="21"/>
        </w:rPr>
        <w:t>测</w:t>
      </w:r>
      <w:r>
        <w:rPr>
          <w:rFonts w:ascii="宋体" w:hAnsi="宋体"/>
          <w:szCs w:val="21"/>
        </w:rPr>
        <w:t>期无重大变化</w:t>
      </w:r>
      <w:r>
        <w:rPr>
          <w:rFonts w:hint="eastAsia" w:ascii="宋体" w:hAnsi="宋体"/>
          <w:szCs w:val="21"/>
        </w:rPr>
        <w:t>；</w:t>
      </w:r>
      <w:r>
        <w:rPr>
          <w:rFonts w:ascii="宋体" w:hAnsi="宋体"/>
          <w:szCs w:val="21"/>
        </w:rPr>
        <w:t>社会经济环境及经济发展除社会公众已知变化外，在预</w:t>
      </w:r>
      <w:r>
        <w:rPr>
          <w:rFonts w:hint="eastAsia" w:ascii="宋体" w:hAnsi="宋体"/>
          <w:szCs w:val="21"/>
        </w:rPr>
        <w:t>测</w:t>
      </w:r>
      <w:r>
        <w:rPr>
          <w:rFonts w:ascii="宋体" w:hAnsi="宋体"/>
          <w:szCs w:val="21"/>
        </w:rPr>
        <w:t>期无其他重大变化</w:t>
      </w:r>
      <w:r>
        <w:rPr>
          <w:rFonts w:hint="eastAsia" w:ascii="宋体" w:hAnsi="宋体"/>
          <w:szCs w:val="21"/>
        </w:rPr>
        <w:t>；</w:t>
      </w:r>
      <w:r>
        <w:rPr>
          <w:rFonts w:ascii="宋体" w:hAnsi="宋体"/>
          <w:szCs w:val="21"/>
        </w:rPr>
        <w:t>国家现行银行信贷利率、外汇汇率的变动能保持在合理范围内</w:t>
      </w:r>
      <w:r>
        <w:rPr>
          <w:rFonts w:hint="eastAsia" w:ascii="宋体" w:hAnsi="宋体"/>
          <w:szCs w:val="21"/>
        </w:rPr>
        <w:t>；</w:t>
      </w:r>
      <w:r>
        <w:rPr>
          <w:rFonts w:ascii="宋体" w:hAnsi="宋体"/>
          <w:szCs w:val="21"/>
        </w:rPr>
        <w:t>国家目前的税收制度除社会公众已知变化外，无其他重大变化</w:t>
      </w:r>
      <w:r>
        <w:rPr>
          <w:rFonts w:hint="eastAsia" w:ascii="宋体" w:hAnsi="宋体"/>
          <w:szCs w:val="21"/>
        </w:rPr>
        <w:t>；</w:t>
      </w:r>
      <w:r>
        <w:rPr>
          <w:rFonts w:ascii="宋体" w:hAnsi="宋体"/>
          <w:szCs w:val="21"/>
        </w:rPr>
        <w:t>本次评估算算各项参数取值均未考虑通货膨胀因素</w:t>
      </w:r>
      <w:r>
        <w:rPr>
          <w:rFonts w:hint="eastAsia" w:ascii="宋体" w:hAnsi="宋体"/>
          <w:szCs w:val="21"/>
        </w:rPr>
        <w:t>；</w:t>
      </w:r>
      <w:r>
        <w:rPr>
          <w:rFonts w:ascii="宋体" w:hAnsi="宋体"/>
          <w:szCs w:val="21"/>
        </w:rPr>
        <w:t>被评估企业的经营模式、盈利模式没有发生重大变化。</w:t>
      </w:r>
    </w:p>
    <w:p w14:paraId="299B8EB7">
      <w:pPr>
        <w:tabs>
          <w:tab w:val="left" w:pos="420"/>
          <w:tab w:val="left" w:pos="540"/>
        </w:tabs>
        <w:spacing w:beforeLines="25" w:afterLines="25" w:line="300" w:lineRule="auto"/>
        <w:ind w:firstLine="420" w:firstLineChars="200"/>
        <w:rPr>
          <w:rFonts w:ascii="宋体" w:hAnsi="宋体"/>
          <w:szCs w:val="21"/>
        </w:rPr>
      </w:pPr>
      <w:r>
        <w:rPr>
          <w:rFonts w:ascii="宋体" w:hAnsi="宋体"/>
          <w:szCs w:val="21"/>
        </w:rPr>
        <w:t>具体假设</w:t>
      </w:r>
      <w:r>
        <w:rPr>
          <w:rFonts w:hint="eastAsia" w:ascii="宋体" w:hAnsi="宋体"/>
          <w:szCs w:val="21"/>
        </w:rPr>
        <w:t>：</w:t>
      </w:r>
      <w:bookmarkEnd w:id="4"/>
      <w:bookmarkEnd w:id="5"/>
      <w:r>
        <w:rPr>
          <w:rFonts w:hint="eastAsia" w:ascii="宋体" w:hAnsi="宋体"/>
          <w:szCs w:val="21"/>
        </w:rPr>
        <w:t>是</w:t>
      </w:r>
      <w:r>
        <w:rPr>
          <w:rFonts w:ascii="宋体" w:hAnsi="宋体"/>
          <w:szCs w:val="21"/>
        </w:rPr>
        <w:t>指由被评估单位提供的与评估相关的财务报表、会计凭证、资产清单及其他有关资料真实、完整</w:t>
      </w:r>
      <w:r>
        <w:rPr>
          <w:rFonts w:hint="eastAsia" w:ascii="宋体" w:hAnsi="宋体"/>
          <w:szCs w:val="21"/>
        </w:rPr>
        <w:t>；</w:t>
      </w:r>
      <w:r>
        <w:rPr>
          <w:rFonts w:ascii="宋体" w:hAnsi="宋体"/>
          <w:szCs w:val="21"/>
        </w:rPr>
        <w:t>被评估单位会计政策与核算方法</w:t>
      </w:r>
      <w:r>
        <w:rPr>
          <w:rFonts w:hint="eastAsia" w:ascii="宋体" w:hAnsi="宋体"/>
          <w:szCs w:val="21"/>
        </w:rPr>
        <w:t>在</w:t>
      </w:r>
      <w:r>
        <w:rPr>
          <w:rFonts w:ascii="宋体" w:hAnsi="宋体"/>
          <w:szCs w:val="21"/>
        </w:rPr>
        <w:t>评估基准日后无重大变化</w:t>
      </w:r>
      <w:r>
        <w:rPr>
          <w:rFonts w:hint="eastAsia" w:ascii="宋体" w:hAnsi="宋体"/>
          <w:szCs w:val="21"/>
        </w:rPr>
        <w:t>等内容。</w:t>
      </w:r>
    </w:p>
    <w:p w14:paraId="20C5E5B2">
      <w:pPr>
        <w:autoSpaceDE w:val="0"/>
        <w:autoSpaceDN w:val="0"/>
        <w:adjustRightInd w:val="0"/>
        <w:spacing w:beforeLines="25" w:afterLines="25" w:line="300" w:lineRule="auto"/>
        <w:ind w:firstLine="420" w:firstLineChars="200"/>
        <w:rPr>
          <w:rFonts w:ascii="宋体" w:hAnsi="宋体"/>
          <w:bCs/>
          <w:szCs w:val="21"/>
        </w:rPr>
      </w:pPr>
      <w:r>
        <w:rPr>
          <w:rFonts w:hint="eastAsia" w:ascii="宋体" w:hAnsi="宋体"/>
          <w:bCs/>
          <w:szCs w:val="21"/>
        </w:rPr>
        <w:t>4.</w:t>
      </w:r>
      <w:r>
        <w:rPr>
          <w:rFonts w:ascii="宋体" w:hAnsi="宋体"/>
          <w:bCs/>
          <w:szCs w:val="21"/>
        </w:rPr>
        <w:t>评估程序实施过程及情况</w:t>
      </w:r>
    </w:p>
    <w:p w14:paraId="17CF13A0">
      <w:pPr>
        <w:tabs>
          <w:tab w:val="left" w:pos="420"/>
          <w:tab w:val="left" w:pos="540"/>
        </w:tabs>
        <w:spacing w:beforeLines="25" w:afterLines="25" w:line="300" w:lineRule="auto"/>
        <w:ind w:firstLine="420" w:firstLineChars="200"/>
        <w:rPr>
          <w:rFonts w:ascii="宋体" w:hAnsi="宋体"/>
          <w:szCs w:val="21"/>
        </w:rPr>
      </w:pPr>
      <w:r>
        <w:rPr>
          <w:rFonts w:ascii="宋体" w:hAnsi="宋体"/>
          <w:szCs w:val="21"/>
        </w:rPr>
        <w:t>按照资产评估业务约定书，评估人员已实施了对被评估单位提供的法律性文件</w:t>
      </w:r>
      <w:r>
        <w:rPr>
          <w:rFonts w:hint="eastAsia" w:ascii="宋体" w:hAnsi="宋体"/>
          <w:szCs w:val="21"/>
        </w:rPr>
        <w:t>、</w:t>
      </w:r>
      <w:r>
        <w:rPr>
          <w:rFonts w:ascii="宋体" w:hAnsi="宋体"/>
          <w:szCs w:val="21"/>
        </w:rPr>
        <w:t>会计记录以及相关资料的核对，对资产进行实地查看，并取得了相关的产权证明文件复印件。资产评估的过程如下：</w:t>
      </w:r>
    </w:p>
    <w:p w14:paraId="2C7DB6E3">
      <w:pPr>
        <w:tabs>
          <w:tab w:val="left" w:pos="420"/>
          <w:tab w:val="left" w:pos="540"/>
        </w:tabs>
        <w:spacing w:beforeLines="25" w:afterLines="25" w:line="300" w:lineRule="auto"/>
        <w:ind w:firstLine="420" w:firstLineChars="200"/>
        <w:rPr>
          <w:rFonts w:ascii="宋体" w:hAnsi="宋体"/>
          <w:szCs w:val="21"/>
        </w:rPr>
      </w:pPr>
      <w:r>
        <w:rPr>
          <w:rFonts w:hint="eastAsia" w:ascii="宋体" w:hAnsi="宋体"/>
          <w:szCs w:val="21"/>
        </w:rPr>
        <w:t>（1）</w:t>
      </w:r>
      <w:r>
        <w:rPr>
          <w:rFonts w:ascii="宋体" w:hAnsi="宋体"/>
          <w:szCs w:val="21"/>
        </w:rPr>
        <w:t>接受委托阶段</w:t>
      </w:r>
      <w:r>
        <w:rPr>
          <w:rFonts w:hint="eastAsia" w:ascii="宋体" w:hAnsi="宋体"/>
          <w:szCs w:val="21"/>
        </w:rPr>
        <w:t>，</w:t>
      </w:r>
      <w:r>
        <w:rPr>
          <w:rFonts w:ascii="宋体" w:hAnsi="宋体"/>
          <w:szCs w:val="21"/>
        </w:rPr>
        <w:t>了解被评估单位组织架构</w:t>
      </w:r>
      <w:r>
        <w:rPr>
          <w:rFonts w:hint="eastAsia" w:ascii="宋体" w:hAnsi="宋体"/>
          <w:szCs w:val="21"/>
        </w:rPr>
        <w:t>、</w:t>
      </w:r>
      <w:r>
        <w:rPr>
          <w:rFonts w:ascii="宋体" w:hAnsi="宋体"/>
          <w:szCs w:val="21"/>
        </w:rPr>
        <w:t>机构分布</w:t>
      </w:r>
      <w:r>
        <w:rPr>
          <w:rFonts w:hint="eastAsia" w:ascii="宋体" w:hAnsi="宋体"/>
          <w:szCs w:val="21"/>
        </w:rPr>
        <w:t>和</w:t>
      </w:r>
      <w:r>
        <w:rPr>
          <w:rFonts w:ascii="宋体" w:hAnsi="宋体"/>
          <w:szCs w:val="21"/>
        </w:rPr>
        <w:t>经营业务特点，明确评估目的、评估对象及范围和评估基准日。</w:t>
      </w:r>
    </w:p>
    <w:p w14:paraId="4E247EF7">
      <w:pPr>
        <w:tabs>
          <w:tab w:val="left" w:pos="420"/>
          <w:tab w:val="left" w:pos="540"/>
        </w:tabs>
        <w:spacing w:beforeLines="25" w:afterLines="25" w:line="300" w:lineRule="auto"/>
        <w:ind w:firstLine="420" w:firstLineChars="200"/>
        <w:rPr>
          <w:rFonts w:ascii="宋体" w:hAnsi="宋体"/>
          <w:szCs w:val="21"/>
        </w:rPr>
      </w:pPr>
      <w:r>
        <w:rPr>
          <w:rFonts w:hint="eastAsia" w:ascii="宋体" w:hAnsi="宋体"/>
          <w:szCs w:val="21"/>
        </w:rPr>
        <w:t>（2）</w:t>
      </w:r>
      <w:r>
        <w:rPr>
          <w:rFonts w:ascii="宋体" w:hAnsi="宋体"/>
          <w:szCs w:val="21"/>
        </w:rPr>
        <w:t>清查核实阶段</w:t>
      </w:r>
      <w:r>
        <w:rPr>
          <w:rFonts w:hint="eastAsia" w:ascii="宋体" w:hAnsi="宋体"/>
          <w:szCs w:val="21"/>
        </w:rPr>
        <w:t>，首先</w:t>
      </w:r>
      <w:r>
        <w:rPr>
          <w:rFonts w:ascii="宋体" w:hAnsi="宋体"/>
          <w:szCs w:val="21"/>
        </w:rPr>
        <w:t>根据项目</w:t>
      </w:r>
      <w:r>
        <w:rPr>
          <w:rFonts w:hint="eastAsia" w:ascii="宋体" w:hAnsi="宋体"/>
          <w:szCs w:val="21"/>
        </w:rPr>
        <w:t>评估</w:t>
      </w:r>
      <w:r>
        <w:rPr>
          <w:rFonts w:ascii="宋体" w:hAnsi="宋体"/>
          <w:szCs w:val="21"/>
        </w:rPr>
        <w:t>要求指导被评估单位清查资产，填报资产评估申报表</w:t>
      </w:r>
      <w:r>
        <w:rPr>
          <w:rFonts w:hint="eastAsia" w:ascii="宋体" w:hAnsi="宋体"/>
          <w:szCs w:val="21"/>
        </w:rPr>
        <w:t>，</w:t>
      </w:r>
      <w:r>
        <w:rPr>
          <w:rFonts w:ascii="宋体" w:hAnsi="宋体"/>
          <w:szCs w:val="21"/>
        </w:rPr>
        <w:t>准备评估资料。</w:t>
      </w:r>
      <w:r>
        <w:rPr>
          <w:rFonts w:hint="eastAsia" w:ascii="宋体" w:hAnsi="宋体"/>
          <w:szCs w:val="21"/>
        </w:rPr>
        <w:t>然后</w:t>
      </w:r>
      <w:r>
        <w:rPr>
          <w:rFonts w:ascii="宋体" w:hAnsi="宋体"/>
          <w:szCs w:val="21"/>
        </w:rPr>
        <w:t>在企业如实申报资产并对委估资产进行全面自查的基础上，对纳入评估范围内的资产和负债进行了抽查核实</w:t>
      </w:r>
      <w:r>
        <w:rPr>
          <w:rFonts w:hint="eastAsia" w:ascii="宋体" w:hAnsi="宋体"/>
          <w:szCs w:val="21"/>
        </w:rPr>
        <w:t>，</w:t>
      </w:r>
      <w:r>
        <w:rPr>
          <w:rFonts w:ascii="宋体" w:hAnsi="宋体"/>
          <w:szCs w:val="21"/>
        </w:rPr>
        <w:t>包括评估对象真实性和合法性的查证</w:t>
      </w:r>
      <w:r>
        <w:rPr>
          <w:rFonts w:hint="eastAsia" w:ascii="宋体" w:hAnsi="宋体"/>
          <w:szCs w:val="21"/>
        </w:rPr>
        <w:t>、</w:t>
      </w:r>
      <w:r>
        <w:rPr>
          <w:rFonts w:ascii="宋体" w:hAnsi="宋体"/>
          <w:szCs w:val="21"/>
        </w:rPr>
        <w:t>账面价值构成的调查</w:t>
      </w:r>
      <w:r>
        <w:rPr>
          <w:rFonts w:hint="eastAsia" w:ascii="宋体" w:hAnsi="宋体"/>
          <w:szCs w:val="21"/>
        </w:rPr>
        <w:t>、</w:t>
      </w:r>
      <w:r>
        <w:rPr>
          <w:rFonts w:ascii="宋体" w:hAnsi="宋体"/>
          <w:szCs w:val="21"/>
        </w:rPr>
        <w:t>评估资料的收集</w:t>
      </w:r>
      <w:r>
        <w:rPr>
          <w:rFonts w:hint="eastAsia" w:ascii="宋体" w:hAnsi="宋体"/>
          <w:szCs w:val="21"/>
        </w:rPr>
        <w:t>以及了解并分析</w:t>
      </w:r>
      <w:r>
        <w:rPr>
          <w:rFonts w:ascii="宋体" w:hAnsi="宋体"/>
          <w:szCs w:val="21"/>
        </w:rPr>
        <w:t>企业的生产、管理和经营情况</w:t>
      </w:r>
      <w:r>
        <w:rPr>
          <w:rFonts w:hint="eastAsia" w:ascii="宋体" w:hAnsi="宋体"/>
          <w:szCs w:val="21"/>
        </w:rPr>
        <w:t>等</w:t>
      </w:r>
      <w:r>
        <w:rPr>
          <w:rFonts w:ascii="宋体" w:hAnsi="宋体"/>
          <w:szCs w:val="21"/>
        </w:rPr>
        <w:t>。</w:t>
      </w:r>
    </w:p>
    <w:p w14:paraId="07EF5F9D">
      <w:pPr>
        <w:tabs>
          <w:tab w:val="left" w:pos="420"/>
          <w:tab w:val="left" w:pos="540"/>
        </w:tabs>
        <w:spacing w:beforeLines="25" w:afterLines="25" w:line="300" w:lineRule="auto"/>
        <w:ind w:firstLine="420" w:firstLineChars="200"/>
        <w:rPr>
          <w:rFonts w:ascii="宋体" w:hAnsi="宋体"/>
          <w:szCs w:val="21"/>
        </w:rPr>
      </w:pPr>
      <w:r>
        <w:rPr>
          <w:rFonts w:hint="eastAsia" w:ascii="宋体" w:hAnsi="宋体"/>
          <w:szCs w:val="21"/>
        </w:rPr>
        <w:t>（3）</w:t>
      </w:r>
      <w:r>
        <w:rPr>
          <w:rFonts w:ascii="宋体" w:hAnsi="宋体"/>
          <w:szCs w:val="21"/>
        </w:rPr>
        <w:t>评定估算阶段</w:t>
      </w:r>
      <w:r>
        <w:rPr>
          <w:rFonts w:hint="eastAsia" w:ascii="宋体" w:hAnsi="宋体"/>
          <w:szCs w:val="21"/>
        </w:rPr>
        <w:t>，</w:t>
      </w:r>
      <w:r>
        <w:rPr>
          <w:rFonts w:ascii="宋体" w:hAnsi="宋体"/>
          <w:szCs w:val="21"/>
        </w:rPr>
        <w:t>依据评估准则及国家相关的法律法规，结合委估资产情况及评估资料收集情况确定</w:t>
      </w:r>
      <w:r>
        <w:rPr>
          <w:rFonts w:hint="eastAsia" w:ascii="宋体" w:hAnsi="宋体"/>
          <w:szCs w:val="21"/>
        </w:rPr>
        <w:t>采用的</w:t>
      </w:r>
      <w:r>
        <w:rPr>
          <w:rFonts w:ascii="宋体" w:hAnsi="宋体"/>
          <w:szCs w:val="21"/>
        </w:rPr>
        <w:t>评估方法，根据各类资产的作价方案，明确评估参数和价格标准，收集相关作价资料，进行评定估算工作。</w:t>
      </w:r>
    </w:p>
    <w:p w14:paraId="78E02C1B">
      <w:pPr>
        <w:tabs>
          <w:tab w:val="left" w:pos="420"/>
          <w:tab w:val="left" w:pos="540"/>
        </w:tabs>
        <w:spacing w:beforeLines="25" w:afterLines="25" w:line="300" w:lineRule="auto"/>
        <w:ind w:firstLine="420" w:firstLineChars="200"/>
        <w:rPr>
          <w:rFonts w:ascii="宋体" w:hAnsi="宋体"/>
          <w:szCs w:val="21"/>
        </w:rPr>
      </w:pPr>
      <w:r>
        <w:rPr>
          <w:rFonts w:hint="eastAsia" w:ascii="宋体" w:hAnsi="宋体" w:cs="宋体"/>
          <w:szCs w:val="21"/>
        </w:rPr>
        <w:t>（4）</w:t>
      </w:r>
      <w:r>
        <w:rPr>
          <w:rFonts w:ascii="宋体" w:hAnsi="宋体"/>
          <w:szCs w:val="21"/>
        </w:rPr>
        <w:t>汇总</w:t>
      </w:r>
      <w:r>
        <w:rPr>
          <w:rFonts w:hint="eastAsia" w:ascii="宋体" w:hAnsi="宋体"/>
          <w:szCs w:val="21"/>
        </w:rPr>
        <w:t>与审核</w:t>
      </w:r>
      <w:r>
        <w:rPr>
          <w:rFonts w:ascii="宋体" w:hAnsi="宋体"/>
          <w:szCs w:val="21"/>
        </w:rPr>
        <w:t>阶段</w:t>
      </w:r>
      <w:r>
        <w:rPr>
          <w:rFonts w:hint="eastAsia" w:ascii="宋体" w:hAnsi="宋体"/>
          <w:szCs w:val="21"/>
        </w:rPr>
        <w:t>，</w:t>
      </w:r>
      <w:r>
        <w:rPr>
          <w:rFonts w:ascii="宋体" w:hAnsi="宋体"/>
          <w:szCs w:val="21"/>
        </w:rPr>
        <w:t>项目组完成初稿，最终汇总确定评估结果</w:t>
      </w:r>
      <w:r>
        <w:rPr>
          <w:rFonts w:hint="eastAsia" w:ascii="宋体" w:hAnsi="宋体"/>
          <w:szCs w:val="21"/>
        </w:rPr>
        <w:t>，并</w:t>
      </w:r>
      <w:r>
        <w:rPr>
          <w:rFonts w:ascii="宋体" w:hAnsi="宋体"/>
          <w:szCs w:val="21"/>
        </w:rPr>
        <w:t>对项目组提供的评估明细表、评估说明、评估报告及相关的工作底稿进行了全面审核并提出具体的审核修改意见和建议</w:t>
      </w:r>
      <w:r>
        <w:rPr>
          <w:rFonts w:hint="eastAsia" w:ascii="宋体" w:hAnsi="宋体"/>
          <w:szCs w:val="21"/>
        </w:rPr>
        <w:t>，完善后</w:t>
      </w:r>
      <w:r>
        <w:rPr>
          <w:rFonts w:ascii="宋体" w:hAnsi="宋体"/>
          <w:szCs w:val="21"/>
        </w:rPr>
        <w:t>将评估报告征求意见稿提供给委托方交换意见。</w:t>
      </w:r>
    </w:p>
    <w:p w14:paraId="1E300617">
      <w:pPr>
        <w:tabs>
          <w:tab w:val="left" w:pos="420"/>
          <w:tab w:val="left" w:pos="540"/>
        </w:tabs>
        <w:spacing w:beforeLines="25" w:afterLines="25" w:line="300" w:lineRule="auto"/>
        <w:ind w:firstLine="420" w:firstLineChars="200"/>
        <w:rPr>
          <w:rFonts w:ascii="宋体" w:hAnsi="宋体"/>
          <w:szCs w:val="21"/>
        </w:rPr>
      </w:pPr>
      <w:r>
        <w:rPr>
          <w:rFonts w:hint="eastAsia" w:ascii="宋体" w:hAnsi="宋体" w:cs="宋体"/>
          <w:szCs w:val="21"/>
        </w:rPr>
        <w:t>（5）</w:t>
      </w:r>
      <w:r>
        <w:rPr>
          <w:rFonts w:ascii="宋体" w:hAnsi="宋体"/>
          <w:szCs w:val="21"/>
        </w:rPr>
        <w:t>出具报告阶段</w:t>
      </w:r>
      <w:r>
        <w:rPr>
          <w:rFonts w:hint="eastAsia" w:ascii="宋体" w:hAnsi="宋体"/>
          <w:szCs w:val="21"/>
        </w:rPr>
        <w:t>，</w:t>
      </w:r>
      <w:r>
        <w:rPr>
          <w:rFonts w:ascii="宋体" w:hAnsi="宋体"/>
          <w:szCs w:val="21"/>
        </w:rPr>
        <w:t>在将评估结果与委托方沟通后正式出具评估报告。</w:t>
      </w:r>
    </w:p>
    <w:p w14:paraId="190A5363">
      <w:pPr>
        <w:tabs>
          <w:tab w:val="left" w:pos="420"/>
          <w:tab w:val="left" w:pos="540"/>
        </w:tabs>
        <w:spacing w:beforeLines="25" w:afterLines="25" w:line="300" w:lineRule="auto"/>
        <w:ind w:firstLine="420" w:firstLineChars="200"/>
        <w:rPr>
          <w:rFonts w:ascii="宋体" w:hAnsi="宋体"/>
          <w:szCs w:val="21"/>
        </w:rPr>
      </w:pPr>
    </w:p>
    <w:p w14:paraId="17208F21">
      <w:pPr>
        <w:pStyle w:val="2"/>
        <w:ind w:firstLine="643"/>
      </w:pPr>
      <w:bookmarkStart w:id="6" w:name="_Toc451875489"/>
      <w:r>
        <w:rPr>
          <w:rFonts w:hint="eastAsia"/>
        </w:rPr>
        <w:t>五、评估值测算过程</w:t>
      </w:r>
      <w:bookmarkEnd w:id="6"/>
    </w:p>
    <w:p w14:paraId="35FD7B52">
      <w:pPr>
        <w:autoSpaceDE w:val="0"/>
        <w:autoSpaceDN w:val="0"/>
        <w:adjustRightInd w:val="0"/>
        <w:spacing w:beforeLines="25" w:afterLines="25" w:line="300" w:lineRule="auto"/>
        <w:ind w:firstLine="420" w:firstLineChars="200"/>
        <w:rPr>
          <w:rFonts w:ascii="宋体" w:hAnsi="宋体"/>
          <w:bCs/>
          <w:szCs w:val="21"/>
        </w:rPr>
      </w:pPr>
    </w:p>
    <w:p w14:paraId="6B8F28C9">
      <w:pPr>
        <w:autoSpaceDE w:val="0"/>
        <w:autoSpaceDN w:val="0"/>
        <w:adjustRightInd w:val="0"/>
        <w:spacing w:beforeLines="25" w:afterLines="25" w:line="300" w:lineRule="auto"/>
        <w:ind w:firstLine="420" w:firstLineChars="200"/>
        <w:rPr>
          <w:rFonts w:ascii="宋体" w:hAnsi="宋体"/>
          <w:bCs/>
          <w:szCs w:val="21"/>
        </w:rPr>
      </w:pPr>
      <w:r>
        <w:rPr>
          <w:rFonts w:hint="eastAsia" w:ascii="宋体" w:hAnsi="宋体"/>
          <w:bCs/>
          <w:szCs w:val="21"/>
        </w:rPr>
        <w:t>1.G公司历史经营概况</w:t>
      </w:r>
    </w:p>
    <w:p w14:paraId="0E18F0B0">
      <w:pPr>
        <w:tabs>
          <w:tab w:val="left" w:pos="420"/>
          <w:tab w:val="left" w:pos="540"/>
        </w:tabs>
        <w:spacing w:line="400" w:lineRule="exact"/>
        <w:ind w:firstLine="420" w:firstLineChars="200"/>
        <w:rPr>
          <w:rFonts w:ascii="宋体" w:hAnsi="宋体"/>
          <w:szCs w:val="21"/>
        </w:rPr>
      </w:pPr>
      <w:r>
        <w:rPr>
          <w:rFonts w:hint="eastAsia" w:ascii="宋体" w:hAnsi="宋体"/>
          <w:szCs w:val="21"/>
        </w:rPr>
        <w:t>G</w:t>
      </w:r>
      <w:r>
        <w:rPr>
          <w:rFonts w:ascii="宋体" w:hAnsi="宋体"/>
          <w:szCs w:val="21"/>
        </w:rPr>
        <w:t>公司创建于一九</w:t>
      </w:r>
      <w:r>
        <w:rPr>
          <w:rFonts w:hint="eastAsia" w:ascii="宋体" w:hAnsi="宋体"/>
          <w:szCs w:val="21"/>
        </w:rPr>
        <w:t>八</w:t>
      </w:r>
      <w:r>
        <w:rPr>
          <w:rFonts w:ascii="宋体" w:hAnsi="宋体"/>
          <w:szCs w:val="21"/>
        </w:rPr>
        <w:t>五年，现为国家二级企业</w:t>
      </w:r>
      <w:r>
        <w:rPr>
          <w:rFonts w:hint="eastAsia" w:ascii="宋体" w:hAnsi="宋体"/>
          <w:szCs w:val="21"/>
        </w:rPr>
        <w:t>，</w:t>
      </w:r>
      <w:r>
        <w:rPr>
          <w:rFonts w:ascii="宋体" w:hAnsi="宋体"/>
          <w:szCs w:val="21"/>
        </w:rPr>
        <w:t>下设三个全资子公司、二个中外合资控股公司、六个生产车间、二个辅助车间</w:t>
      </w:r>
      <w:r>
        <w:rPr>
          <w:rFonts w:hint="eastAsia" w:ascii="宋体" w:hAnsi="宋体"/>
          <w:szCs w:val="21"/>
        </w:rPr>
        <w:t>，</w:t>
      </w:r>
      <w:r>
        <w:rPr>
          <w:rFonts w:ascii="宋体" w:hAnsi="宋体"/>
          <w:szCs w:val="21"/>
        </w:rPr>
        <w:t>设有药物研究所、质监、技术、生产、设备、技改等处室。国药公司现有品种140余个，主要产品有发酵虫草菌粉(</w:t>
      </w:r>
      <w:r>
        <w:rPr>
          <w:rFonts w:hint="eastAsia" w:ascii="宋体" w:hAnsi="宋体"/>
          <w:szCs w:val="21"/>
        </w:rPr>
        <w:t>CS</w:t>
      </w:r>
      <w:r>
        <w:rPr>
          <w:rFonts w:ascii="宋体" w:hAnsi="宋体"/>
          <w:szCs w:val="21"/>
        </w:rPr>
        <w:t>-4)、盐酸林可霉素、盐酸土霉素、十三碳二元酸等原料药以及中成药</w:t>
      </w:r>
      <w:r>
        <w:rPr>
          <w:rFonts w:hint="eastAsia" w:ascii="宋体" w:hAnsi="宋体"/>
          <w:szCs w:val="21"/>
        </w:rPr>
        <w:t>（</w:t>
      </w:r>
      <w:r>
        <w:rPr>
          <w:rFonts w:ascii="宋体" w:hAnsi="宋体"/>
          <w:szCs w:val="21"/>
        </w:rPr>
        <w:t>片剂、胶囊剂、针剂、丸剂、糖浆剂、颗粒剂等</w:t>
      </w:r>
      <w:r>
        <w:rPr>
          <w:rFonts w:hint="eastAsia" w:ascii="宋体" w:hAnsi="宋体"/>
          <w:szCs w:val="21"/>
        </w:rPr>
        <w:t>）</w:t>
      </w:r>
      <w:r>
        <w:rPr>
          <w:rFonts w:ascii="宋体" w:hAnsi="宋体"/>
          <w:szCs w:val="21"/>
        </w:rPr>
        <w:t>、西药制剂等。</w:t>
      </w:r>
      <w:r>
        <w:rPr>
          <w:rFonts w:hint="eastAsia" w:ascii="宋体" w:hAnsi="宋体"/>
          <w:szCs w:val="21"/>
        </w:rPr>
        <w:t>公司</w:t>
      </w:r>
      <w:r>
        <w:rPr>
          <w:rFonts w:ascii="宋体" w:hAnsi="宋体"/>
          <w:szCs w:val="21"/>
        </w:rPr>
        <w:t>产品严格按“</w:t>
      </w:r>
      <w:r>
        <w:rPr>
          <w:rFonts w:hint="eastAsia" w:ascii="宋体" w:hAnsi="宋体"/>
          <w:szCs w:val="21"/>
        </w:rPr>
        <w:t>GMP</w:t>
      </w:r>
      <w:r>
        <w:rPr>
          <w:rFonts w:ascii="宋体" w:hAnsi="宋体"/>
          <w:szCs w:val="21"/>
        </w:rPr>
        <w:t>”要求、国家和国际标准</w:t>
      </w:r>
      <w:r>
        <w:rPr>
          <w:rFonts w:hint="eastAsia" w:ascii="宋体" w:hAnsi="宋体"/>
          <w:szCs w:val="21"/>
        </w:rPr>
        <w:t>（</w:t>
      </w:r>
      <w:r>
        <w:rPr>
          <w:rFonts w:ascii="宋体" w:hAnsi="宋体"/>
          <w:szCs w:val="21"/>
        </w:rPr>
        <w:t>bp98版、usp24版</w:t>
      </w:r>
      <w:r>
        <w:rPr>
          <w:rFonts w:hint="eastAsia" w:ascii="宋体" w:hAnsi="宋体"/>
          <w:szCs w:val="21"/>
        </w:rPr>
        <w:t>）</w:t>
      </w:r>
      <w:r>
        <w:rPr>
          <w:rFonts w:ascii="宋体" w:hAnsi="宋体"/>
          <w:szCs w:val="21"/>
        </w:rPr>
        <w:t>组织生产，产品质量好、信誉高，在国内外市场具有很强的竞争能力。公司现有两个国家银质产品，三个部优产品，八个省优产品</w:t>
      </w:r>
      <w:r>
        <w:rPr>
          <w:rFonts w:hint="eastAsia" w:ascii="宋体" w:hAnsi="宋体"/>
          <w:szCs w:val="21"/>
        </w:rPr>
        <w:t>，</w:t>
      </w:r>
      <w:r>
        <w:rPr>
          <w:rFonts w:ascii="宋体" w:hAnsi="宋体"/>
          <w:szCs w:val="21"/>
        </w:rPr>
        <w:t>特别是盐酸林可霉素、盐酸土霉素通过美国</w:t>
      </w:r>
      <w:r>
        <w:rPr>
          <w:rFonts w:hint="eastAsia" w:ascii="宋体" w:hAnsi="宋体"/>
          <w:szCs w:val="21"/>
        </w:rPr>
        <w:t>FDA</w:t>
      </w:r>
      <w:r>
        <w:rPr>
          <w:rFonts w:ascii="宋体" w:hAnsi="宋体"/>
          <w:szCs w:val="21"/>
        </w:rPr>
        <w:t>认证，发酵虫草菌粉</w:t>
      </w:r>
      <w:r>
        <w:rPr>
          <w:rFonts w:hint="eastAsia" w:ascii="宋体" w:hAnsi="宋体"/>
          <w:szCs w:val="21"/>
        </w:rPr>
        <w:t>（CS</w:t>
      </w:r>
      <w:r>
        <w:rPr>
          <w:rFonts w:ascii="宋体" w:hAnsi="宋体"/>
          <w:szCs w:val="21"/>
        </w:rPr>
        <w:t>-4</w:t>
      </w:r>
      <w:r>
        <w:rPr>
          <w:rFonts w:hint="eastAsia" w:ascii="宋体" w:hAnsi="宋体"/>
          <w:szCs w:val="21"/>
        </w:rPr>
        <w:t>）</w:t>
      </w:r>
      <w:r>
        <w:rPr>
          <w:rFonts w:ascii="宋体" w:hAnsi="宋体"/>
          <w:szCs w:val="21"/>
        </w:rPr>
        <w:t>为中国第一个一类新中药，完全能在国际市场上“以质取胜”</w:t>
      </w:r>
      <w:r>
        <w:rPr>
          <w:rFonts w:hint="eastAsia" w:ascii="宋体" w:hAnsi="宋体"/>
          <w:szCs w:val="21"/>
        </w:rPr>
        <w:t>，</w:t>
      </w:r>
      <w:r>
        <w:rPr>
          <w:rFonts w:ascii="宋体" w:hAnsi="宋体"/>
          <w:szCs w:val="21"/>
        </w:rPr>
        <w:t>公司小容量注射剂、盐酸林可霉素、盐酸土霉素通过国家</w:t>
      </w:r>
      <w:r>
        <w:rPr>
          <w:rFonts w:hint="eastAsia" w:ascii="宋体" w:hAnsi="宋体"/>
          <w:szCs w:val="21"/>
        </w:rPr>
        <w:t>GMP</w:t>
      </w:r>
      <w:r>
        <w:rPr>
          <w:rFonts w:ascii="宋体" w:hAnsi="宋体"/>
          <w:szCs w:val="21"/>
        </w:rPr>
        <w:t>认证。</w:t>
      </w:r>
      <w:r>
        <w:rPr>
          <w:rFonts w:hint="eastAsia" w:ascii="宋体" w:hAnsi="宋体"/>
          <w:szCs w:val="21"/>
        </w:rPr>
        <w:t>公司主营新药开发、化学原料药、生物原料药、中药及成品制剂生产、销售等，年产乙酰螺旋霉素居全国首位，共生产11个类型366个品种和规格的产品，产品销售网络覆盖全国各地以及西欧、东南亚等国家和地区。评估基准日G公司的资产负债情况如表1-1所示。</w:t>
      </w:r>
    </w:p>
    <w:p w14:paraId="10AB2049">
      <w:pPr>
        <w:tabs>
          <w:tab w:val="left" w:pos="420"/>
          <w:tab w:val="left" w:pos="540"/>
        </w:tabs>
        <w:spacing w:line="400" w:lineRule="exact"/>
        <w:ind w:firstLine="420" w:firstLineChars="200"/>
        <w:rPr>
          <w:rFonts w:ascii="宋体" w:hAnsi="宋体"/>
          <w:szCs w:val="21"/>
        </w:rPr>
      </w:pPr>
    </w:p>
    <w:p w14:paraId="64539A2C">
      <w:pPr>
        <w:spacing w:line="440" w:lineRule="exact"/>
        <w:ind w:firstLine="361" w:firstLineChars="200"/>
        <w:rPr>
          <w:rFonts w:ascii="黑体" w:hAnsi="黑体" w:eastAsia="黑体" w:cs="黑体"/>
          <w:szCs w:val="21"/>
        </w:rPr>
      </w:pPr>
      <w:r>
        <w:rPr>
          <w:rFonts w:hint="eastAsia" w:ascii="黑体" w:hAnsi="黑体" w:eastAsia="黑体" w:cs="黑体"/>
          <w:b/>
          <w:bCs/>
          <w:sz w:val="18"/>
          <w:szCs w:val="18"/>
        </w:rPr>
        <w:t xml:space="preserve">                           表1-1  评估基准日G公司资产负债表情况   </w:t>
      </w:r>
      <w:r>
        <w:rPr>
          <w:rFonts w:hint="eastAsia" w:ascii="黑体" w:hAnsi="黑体" w:eastAsia="黑体" w:cs="黑体"/>
          <w:szCs w:val="21"/>
        </w:rPr>
        <w:t xml:space="preserve">       </w:t>
      </w:r>
      <w:r>
        <w:rPr>
          <w:rFonts w:hint="eastAsia" w:ascii="黑体" w:hAnsi="黑体" w:eastAsia="黑体" w:cs="黑体"/>
          <w:b/>
          <w:bCs/>
          <w:sz w:val="18"/>
          <w:szCs w:val="18"/>
        </w:rPr>
        <w:t xml:space="preserve"> </w:t>
      </w:r>
      <w:r>
        <w:rPr>
          <w:rFonts w:hint="eastAsia" w:ascii="黑体" w:hAnsi="黑体" w:eastAsia="黑体" w:cs="黑体"/>
          <w:sz w:val="18"/>
          <w:szCs w:val="18"/>
        </w:rPr>
        <w:t>单位：元</w:t>
      </w:r>
    </w:p>
    <w:tbl>
      <w:tblPr>
        <w:tblStyle w:val="8"/>
        <w:tblW w:w="7900" w:type="dxa"/>
        <w:jc w:val="center"/>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3095"/>
        <w:gridCol w:w="1709"/>
        <w:gridCol w:w="3096"/>
      </w:tblGrid>
      <w:tr w14:paraId="1A0F65C2">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3095" w:type="dxa"/>
            <w:tcBorders>
              <w:top w:val="single" w:color="auto" w:sz="4" w:space="0"/>
              <w:left w:val="single" w:color="auto" w:sz="4" w:space="0"/>
            </w:tcBorders>
          </w:tcPr>
          <w:p w14:paraId="18893ACB">
            <w:pPr>
              <w:jc w:val="center"/>
              <w:rPr>
                <w:rFonts w:ascii="宋体" w:hAnsi="宋体"/>
                <w:bCs/>
                <w:sz w:val="18"/>
                <w:szCs w:val="18"/>
              </w:rPr>
            </w:pPr>
            <w:r>
              <w:rPr>
                <w:rFonts w:hint="eastAsia" w:ascii="宋体" w:hAnsi="宋体"/>
                <w:bCs/>
                <w:sz w:val="18"/>
                <w:szCs w:val="18"/>
              </w:rPr>
              <w:t>项    目</w:t>
            </w:r>
          </w:p>
        </w:tc>
        <w:tc>
          <w:tcPr>
            <w:tcW w:w="1709" w:type="dxa"/>
            <w:tcBorders>
              <w:top w:val="single" w:color="auto" w:sz="4" w:space="0"/>
            </w:tcBorders>
          </w:tcPr>
          <w:p w14:paraId="4B690C5C">
            <w:pPr>
              <w:jc w:val="center"/>
              <w:rPr>
                <w:rFonts w:ascii="宋体" w:hAnsi="宋体"/>
                <w:bCs/>
                <w:sz w:val="18"/>
                <w:szCs w:val="18"/>
              </w:rPr>
            </w:pPr>
            <w:r>
              <w:rPr>
                <w:rFonts w:hint="eastAsia" w:ascii="宋体" w:hAnsi="宋体"/>
                <w:bCs/>
                <w:sz w:val="18"/>
                <w:szCs w:val="18"/>
              </w:rPr>
              <w:t>账面值</w:t>
            </w:r>
          </w:p>
        </w:tc>
        <w:tc>
          <w:tcPr>
            <w:tcW w:w="3096" w:type="dxa"/>
            <w:tcBorders>
              <w:top w:val="single" w:color="auto" w:sz="4" w:space="0"/>
              <w:right w:val="single" w:color="auto" w:sz="4" w:space="0"/>
            </w:tcBorders>
          </w:tcPr>
          <w:p w14:paraId="6538D77C">
            <w:pPr>
              <w:jc w:val="center"/>
              <w:rPr>
                <w:rFonts w:ascii="宋体" w:hAnsi="宋体"/>
                <w:bCs/>
                <w:sz w:val="18"/>
                <w:szCs w:val="18"/>
              </w:rPr>
            </w:pPr>
            <w:r>
              <w:rPr>
                <w:rFonts w:hint="eastAsia" w:ascii="宋体" w:hAnsi="宋体"/>
                <w:bCs/>
                <w:sz w:val="18"/>
                <w:szCs w:val="18"/>
              </w:rPr>
              <w:t>备    注</w:t>
            </w:r>
          </w:p>
        </w:tc>
      </w:tr>
      <w:tr w14:paraId="2950DBF2">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3095" w:type="dxa"/>
            <w:tcBorders>
              <w:left w:val="single" w:color="auto" w:sz="4" w:space="0"/>
            </w:tcBorders>
          </w:tcPr>
          <w:p w14:paraId="30F15D9A">
            <w:pPr>
              <w:rPr>
                <w:rFonts w:ascii="宋体" w:hAnsi="宋体"/>
                <w:sz w:val="18"/>
                <w:szCs w:val="18"/>
              </w:rPr>
            </w:pPr>
            <w:r>
              <w:rPr>
                <w:rFonts w:hint="eastAsia" w:ascii="宋体" w:hAnsi="宋体"/>
                <w:sz w:val="18"/>
                <w:szCs w:val="18"/>
              </w:rPr>
              <w:t>一、流动资产合计</w:t>
            </w:r>
          </w:p>
        </w:tc>
        <w:tc>
          <w:tcPr>
            <w:tcW w:w="1709" w:type="dxa"/>
          </w:tcPr>
          <w:p w14:paraId="5C58D3BF">
            <w:pPr>
              <w:jc w:val="right"/>
              <w:rPr>
                <w:rFonts w:ascii="宋体" w:hAnsi="宋体"/>
                <w:sz w:val="18"/>
                <w:szCs w:val="18"/>
              </w:rPr>
            </w:pPr>
            <w:r>
              <w:rPr>
                <w:rFonts w:hint="eastAsia" w:ascii="宋体" w:hAnsi="宋体"/>
                <w:sz w:val="18"/>
                <w:szCs w:val="18"/>
              </w:rPr>
              <w:t xml:space="preserve">155,228,958.95 </w:t>
            </w:r>
          </w:p>
        </w:tc>
        <w:tc>
          <w:tcPr>
            <w:tcW w:w="3096" w:type="dxa"/>
            <w:tcBorders>
              <w:right w:val="single" w:color="auto" w:sz="4" w:space="0"/>
            </w:tcBorders>
          </w:tcPr>
          <w:p w14:paraId="5185181B">
            <w:pPr>
              <w:jc w:val="center"/>
              <w:rPr>
                <w:rFonts w:ascii="宋体" w:hAnsi="宋体"/>
                <w:sz w:val="18"/>
                <w:szCs w:val="18"/>
              </w:rPr>
            </w:pPr>
          </w:p>
        </w:tc>
      </w:tr>
      <w:tr w14:paraId="458D6F26">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3095" w:type="dxa"/>
            <w:tcBorders>
              <w:left w:val="single" w:color="auto" w:sz="4" w:space="0"/>
            </w:tcBorders>
          </w:tcPr>
          <w:p w14:paraId="7B8C1562">
            <w:pPr>
              <w:rPr>
                <w:rFonts w:ascii="宋体" w:hAnsi="宋体"/>
                <w:sz w:val="18"/>
                <w:szCs w:val="18"/>
              </w:rPr>
            </w:pPr>
            <w:r>
              <w:rPr>
                <w:rFonts w:hint="eastAsia" w:ascii="宋体" w:hAnsi="宋体"/>
                <w:sz w:val="18"/>
                <w:szCs w:val="18"/>
              </w:rPr>
              <w:t xml:space="preserve">    货币资金</w:t>
            </w:r>
          </w:p>
        </w:tc>
        <w:tc>
          <w:tcPr>
            <w:tcW w:w="1709" w:type="dxa"/>
          </w:tcPr>
          <w:p w14:paraId="3CA1F45B">
            <w:pPr>
              <w:jc w:val="right"/>
              <w:rPr>
                <w:rFonts w:ascii="宋体" w:hAnsi="宋体"/>
                <w:sz w:val="18"/>
                <w:szCs w:val="18"/>
              </w:rPr>
            </w:pPr>
            <w:r>
              <w:rPr>
                <w:rFonts w:hint="eastAsia" w:ascii="宋体" w:hAnsi="宋体"/>
                <w:sz w:val="18"/>
                <w:szCs w:val="18"/>
              </w:rPr>
              <w:t xml:space="preserve">606,508.95 </w:t>
            </w:r>
          </w:p>
        </w:tc>
        <w:tc>
          <w:tcPr>
            <w:tcW w:w="3096" w:type="dxa"/>
            <w:tcBorders>
              <w:right w:val="single" w:color="auto" w:sz="4" w:space="0"/>
            </w:tcBorders>
          </w:tcPr>
          <w:p w14:paraId="63D29D72">
            <w:pPr>
              <w:jc w:val="center"/>
              <w:rPr>
                <w:rFonts w:ascii="宋体" w:hAnsi="宋体"/>
                <w:sz w:val="18"/>
                <w:szCs w:val="18"/>
              </w:rPr>
            </w:pPr>
          </w:p>
        </w:tc>
      </w:tr>
      <w:tr w14:paraId="3A9088D8">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tcBorders>
              <w:left w:val="single" w:color="auto" w:sz="4" w:space="0"/>
            </w:tcBorders>
          </w:tcPr>
          <w:p w14:paraId="442F0DCA">
            <w:pPr>
              <w:rPr>
                <w:rFonts w:ascii="宋体" w:hAnsi="宋体"/>
                <w:sz w:val="18"/>
                <w:szCs w:val="18"/>
              </w:rPr>
            </w:pPr>
            <w:r>
              <w:rPr>
                <w:rFonts w:hint="eastAsia" w:ascii="宋体" w:hAnsi="宋体"/>
                <w:sz w:val="18"/>
                <w:szCs w:val="18"/>
              </w:rPr>
              <w:t xml:space="preserve">    交易性金融资产</w:t>
            </w:r>
          </w:p>
        </w:tc>
        <w:tc>
          <w:tcPr>
            <w:tcW w:w="1709" w:type="dxa"/>
          </w:tcPr>
          <w:p w14:paraId="021D7511">
            <w:pPr>
              <w:jc w:val="right"/>
              <w:rPr>
                <w:rFonts w:ascii="宋体" w:hAnsi="宋体"/>
                <w:sz w:val="18"/>
                <w:szCs w:val="18"/>
              </w:rPr>
            </w:pPr>
            <w:r>
              <w:rPr>
                <w:rFonts w:hint="eastAsia" w:ascii="宋体" w:hAnsi="宋体"/>
                <w:sz w:val="18"/>
                <w:szCs w:val="18"/>
              </w:rPr>
              <w:t xml:space="preserve">110,000.00 </w:t>
            </w:r>
          </w:p>
        </w:tc>
        <w:tc>
          <w:tcPr>
            <w:tcW w:w="3096" w:type="dxa"/>
            <w:tcBorders>
              <w:right w:val="single" w:color="auto" w:sz="4" w:space="0"/>
            </w:tcBorders>
          </w:tcPr>
          <w:p w14:paraId="1CB9DF4D">
            <w:pPr>
              <w:jc w:val="center"/>
              <w:rPr>
                <w:rFonts w:ascii="宋体" w:hAnsi="宋体"/>
                <w:sz w:val="18"/>
                <w:szCs w:val="18"/>
              </w:rPr>
            </w:pPr>
          </w:p>
        </w:tc>
      </w:tr>
      <w:tr w14:paraId="3202B944">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tcBorders>
              <w:left w:val="single" w:color="auto" w:sz="4" w:space="0"/>
            </w:tcBorders>
          </w:tcPr>
          <w:p w14:paraId="1FA9BA97">
            <w:pPr>
              <w:rPr>
                <w:rFonts w:ascii="宋体" w:hAnsi="宋体"/>
                <w:sz w:val="18"/>
                <w:szCs w:val="18"/>
              </w:rPr>
            </w:pPr>
            <w:r>
              <w:rPr>
                <w:rFonts w:hint="eastAsia" w:ascii="宋体" w:hAnsi="宋体"/>
                <w:sz w:val="18"/>
                <w:szCs w:val="18"/>
              </w:rPr>
              <w:t xml:space="preserve">    应收账款</w:t>
            </w:r>
          </w:p>
        </w:tc>
        <w:tc>
          <w:tcPr>
            <w:tcW w:w="1709" w:type="dxa"/>
          </w:tcPr>
          <w:p w14:paraId="57CA5165">
            <w:pPr>
              <w:jc w:val="right"/>
              <w:rPr>
                <w:rFonts w:ascii="宋体" w:hAnsi="宋体"/>
                <w:sz w:val="18"/>
                <w:szCs w:val="18"/>
              </w:rPr>
            </w:pPr>
            <w:r>
              <w:rPr>
                <w:rFonts w:hint="eastAsia" w:ascii="宋体" w:hAnsi="宋体"/>
                <w:sz w:val="18"/>
                <w:szCs w:val="18"/>
              </w:rPr>
              <w:t xml:space="preserve">8,779,238.44 </w:t>
            </w:r>
          </w:p>
        </w:tc>
        <w:tc>
          <w:tcPr>
            <w:tcW w:w="3096" w:type="dxa"/>
            <w:tcBorders>
              <w:right w:val="single" w:color="auto" w:sz="4" w:space="0"/>
            </w:tcBorders>
          </w:tcPr>
          <w:p w14:paraId="69F7CDCD">
            <w:pPr>
              <w:jc w:val="center"/>
              <w:rPr>
                <w:rFonts w:ascii="宋体" w:hAnsi="宋体"/>
                <w:sz w:val="18"/>
                <w:szCs w:val="18"/>
              </w:rPr>
            </w:pPr>
            <w:r>
              <w:rPr>
                <w:rFonts w:hint="eastAsia" w:ascii="宋体" w:hAnsi="宋体"/>
                <w:sz w:val="18"/>
                <w:szCs w:val="18"/>
              </w:rPr>
              <w:t>一年内应收账款</w:t>
            </w:r>
          </w:p>
        </w:tc>
      </w:tr>
      <w:tr w14:paraId="4410C8C9">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tcBorders>
              <w:left w:val="single" w:color="auto" w:sz="4" w:space="0"/>
            </w:tcBorders>
          </w:tcPr>
          <w:p w14:paraId="358DC00C">
            <w:pPr>
              <w:rPr>
                <w:rFonts w:ascii="宋体" w:hAnsi="宋体"/>
                <w:sz w:val="18"/>
                <w:szCs w:val="18"/>
              </w:rPr>
            </w:pPr>
            <w:r>
              <w:rPr>
                <w:rFonts w:hint="eastAsia" w:ascii="宋体" w:hAnsi="宋体"/>
                <w:sz w:val="18"/>
                <w:szCs w:val="18"/>
              </w:rPr>
              <w:t xml:space="preserve">    预付账款</w:t>
            </w:r>
          </w:p>
        </w:tc>
        <w:tc>
          <w:tcPr>
            <w:tcW w:w="1709" w:type="dxa"/>
          </w:tcPr>
          <w:p w14:paraId="055F25F3">
            <w:pPr>
              <w:jc w:val="right"/>
              <w:rPr>
                <w:rFonts w:ascii="宋体" w:hAnsi="宋体"/>
                <w:sz w:val="18"/>
                <w:szCs w:val="18"/>
              </w:rPr>
            </w:pPr>
            <w:r>
              <w:rPr>
                <w:rFonts w:hint="eastAsia" w:ascii="宋体" w:hAnsi="宋体"/>
                <w:sz w:val="18"/>
                <w:szCs w:val="18"/>
              </w:rPr>
              <w:t xml:space="preserve">4,237,141.60 </w:t>
            </w:r>
          </w:p>
        </w:tc>
        <w:tc>
          <w:tcPr>
            <w:tcW w:w="3096" w:type="dxa"/>
            <w:tcBorders>
              <w:right w:val="single" w:color="auto" w:sz="4" w:space="0"/>
            </w:tcBorders>
          </w:tcPr>
          <w:p w14:paraId="6032C049">
            <w:pPr>
              <w:jc w:val="center"/>
              <w:rPr>
                <w:rFonts w:ascii="宋体" w:hAnsi="宋体"/>
                <w:sz w:val="18"/>
                <w:szCs w:val="18"/>
              </w:rPr>
            </w:pPr>
            <w:r>
              <w:rPr>
                <w:rFonts w:hint="eastAsia" w:ascii="宋体" w:hAnsi="宋体"/>
                <w:sz w:val="18"/>
                <w:szCs w:val="18"/>
              </w:rPr>
              <w:t>一年内预付账款</w:t>
            </w:r>
          </w:p>
        </w:tc>
      </w:tr>
      <w:tr w14:paraId="1E546177">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3095" w:type="dxa"/>
            <w:tcBorders>
              <w:left w:val="single" w:color="auto" w:sz="4" w:space="0"/>
            </w:tcBorders>
          </w:tcPr>
          <w:p w14:paraId="4E038C29">
            <w:pPr>
              <w:rPr>
                <w:rFonts w:ascii="宋体" w:hAnsi="宋体"/>
                <w:sz w:val="18"/>
                <w:szCs w:val="18"/>
              </w:rPr>
            </w:pPr>
            <w:r>
              <w:rPr>
                <w:rFonts w:hint="eastAsia" w:ascii="宋体" w:hAnsi="宋体"/>
                <w:sz w:val="18"/>
                <w:szCs w:val="18"/>
              </w:rPr>
              <w:t xml:space="preserve">    其他应收款</w:t>
            </w:r>
          </w:p>
        </w:tc>
        <w:tc>
          <w:tcPr>
            <w:tcW w:w="1709" w:type="dxa"/>
          </w:tcPr>
          <w:p w14:paraId="3819E538">
            <w:pPr>
              <w:jc w:val="right"/>
              <w:rPr>
                <w:rFonts w:ascii="宋体" w:hAnsi="宋体"/>
                <w:sz w:val="18"/>
                <w:szCs w:val="18"/>
              </w:rPr>
            </w:pPr>
            <w:r>
              <w:rPr>
                <w:rFonts w:hint="eastAsia" w:ascii="宋体" w:hAnsi="宋体"/>
                <w:sz w:val="18"/>
                <w:szCs w:val="18"/>
              </w:rPr>
              <w:t xml:space="preserve">10,441,227.81 </w:t>
            </w:r>
          </w:p>
        </w:tc>
        <w:tc>
          <w:tcPr>
            <w:tcW w:w="3096" w:type="dxa"/>
            <w:tcBorders>
              <w:right w:val="single" w:color="auto" w:sz="4" w:space="0"/>
            </w:tcBorders>
          </w:tcPr>
          <w:p w14:paraId="519EF6AF">
            <w:pPr>
              <w:jc w:val="center"/>
              <w:rPr>
                <w:rFonts w:ascii="宋体" w:hAnsi="宋体"/>
                <w:sz w:val="18"/>
                <w:szCs w:val="18"/>
              </w:rPr>
            </w:pPr>
          </w:p>
        </w:tc>
      </w:tr>
      <w:tr w14:paraId="096C88DF">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tcBorders>
              <w:left w:val="single" w:color="auto" w:sz="4" w:space="0"/>
            </w:tcBorders>
          </w:tcPr>
          <w:p w14:paraId="64BD635C">
            <w:pPr>
              <w:rPr>
                <w:rFonts w:ascii="宋体" w:hAnsi="宋体"/>
                <w:sz w:val="18"/>
                <w:szCs w:val="18"/>
              </w:rPr>
            </w:pPr>
            <w:r>
              <w:rPr>
                <w:rFonts w:hint="eastAsia" w:ascii="宋体" w:hAnsi="宋体"/>
                <w:sz w:val="18"/>
                <w:szCs w:val="18"/>
              </w:rPr>
              <w:t xml:space="preserve">    存货</w:t>
            </w:r>
          </w:p>
        </w:tc>
        <w:tc>
          <w:tcPr>
            <w:tcW w:w="1709" w:type="dxa"/>
          </w:tcPr>
          <w:p w14:paraId="393619F3">
            <w:pPr>
              <w:jc w:val="right"/>
              <w:rPr>
                <w:rFonts w:ascii="宋体" w:hAnsi="宋体"/>
                <w:sz w:val="18"/>
                <w:szCs w:val="18"/>
              </w:rPr>
            </w:pPr>
            <w:r>
              <w:rPr>
                <w:rFonts w:hint="eastAsia" w:ascii="宋体" w:hAnsi="宋体"/>
                <w:sz w:val="18"/>
                <w:szCs w:val="18"/>
              </w:rPr>
              <w:t xml:space="preserve">21,464,842.15 </w:t>
            </w:r>
          </w:p>
        </w:tc>
        <w:tc>
          <w:tcPr>
            <w:tcW w:w="3096" w:type="dxa"/>
            <w:tcBorders>
              <w:right w:val="single" w:color="auto" w:sz="4" w:space="0"/>
            </w:tcBorders>
          </w:tcPr>
          <w:p w14:paraId="6134F66C">
            <w:pPr>
              <w:jc w:val="center"/>
              <w:rPr>
                <w:rFonts w:ascii="宋体" w:hAnsi="宋体"/>
                <w:sz w:val="18"/>
                <w:szCs w:val="18"/>
              </w:rPr>
            </w:pPr>
            <w:r>
              <w:rPr>
                <w:rFonts w:hint="eastAsia" w:ascii="宋体" w:hAnsi="宋体"/>
                <w:sz w:val="18"/>
                <w:szCs w:val="18"/>
              </w:rPr>
              <w:t>原材料、在产品、产成品</w:t>
            </w:r>
          </w:p>
        </w:tc>
      </w:tr>
      <w:tr w14:paraId="1519751E">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tcBorders>
              <w:left w:val="single" w:color="auto" w:sz="4" w:space="0"/>
            </w:tcBorders>
          </w:tcPr>
          <w:p w14:paraId="43CF9205">
            <w:pPr>
              <w:rPr>
                <w:rFonts w:ascii="宋体" w:hAnsi="宋体"/>
                <w:sz w:val="18"/>
                <w:szCs w:val="18"/>
              </w:rPr>
            </w:pPr>
            <w:r>
              <w:rPr>
                <w:rFonts w:hint="eastAsia" w:ascii="宋体" w:hAnsi="宋体"/>
                <w:sz w:val="18"/>
                <w:szCs w:val="18"/>
              </w:rPr>
              <w:t>二、非流动资产</w:t>
            </w:r>
          </w:p>
        </w:tc>
        <w:tc>
          <w:tcPr>
            <w:tcW w:w="1709" w:type="dxa"/>
          </w:tcPr>
          <w:p w14:paraId="4262806E">
            <w:pPr>
              <w:jc w:val="right"/>
              <w:rPr>
                <w:rFonts w:ascii="宋体" w:hAnsi="宋体"/>
                <w:sz w:val="18"/>
                <w:szCs w:val="18"/>
              </w:rPr>
            </w:pPr>
            <w:r>
              <w:rPr>
                <w:rFonts w:hint="eastAsia" w:ascii="宋体" w:hAnsi="宋体"/>
                <w:sz w:val="18"/>
                <w:szCs w:val="18"/>
              </w:rPr>
              <w:t xml:space="preserve">12,336,476.98 </w:t>
            </w:r>
          </w:p>
        </w:tc>
        <w:tc>
          <w:tcPr>
            <w:tcW w:w="3096" w:type="dxa"/>
            <w:tcBorders>
              <w:right w:val="single" w:color="auto" w:sz="4" w:space="0"/>
            </w:tcBorders>
          </w:tcPr>
          <w:p w14:paraId="51E34C03">
            <w:pPr>
              <w:jc w:val="center"/>
              <w:rPr>
                <w:rFonts w:ascii="宋体" w:hAnsi="宋体"/>
                <w:sz w:val="18"/>
                <w:szCs w:val="18"/>
              </w:rPr>
            </w:pPr>
          </w:p>
        </w:tc>
      </w:tr>
      <w:tr w14:paraId="0F2E5384">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tcBorders>
              <w:left w:val="single" w:color="auto" w:sz="4" w:space="0"/>
            </w:tcBorders>
          </w:tcPr>
          <w:p w14:paraId="5B1E82B3">
            <w:pPr>
              <w:rPr>
                <w:rFonts w:ascii="宋体" w:hAnsi="宋体"/>
                <w:sz w:val="18"/>
                <w:szCs w:val="18"/>
              </w:rPr>
            </w:pPr>
            <w:r>
              <w:rPr>
                <w:rFonts w:hint="eastAsia" w:ascii="宋体" w:hAnsi="宋体"/>
                <w:sz w:val="18"/>
                <w:szCs w:val="18"/>
              </w:rPr>
              <w:t xml:space="preserve">    长期股权投资</w:t>
            </w:r>
          </w:p>
        </w:tc>
        <w:tc>
          <w:tcPr>
            <w:tcW w:w="1709" w:type="dxa"/>
          </w:tcPr>
          <w:p w14:paraId="1BB57D70">
            <w:pPr>
              <w:jc w:val="right"/>
              <w:rPr>
                <w:rFonts w:ascii="宋体" w:hAnsi="宋体"/>
                <w:sz w:val="18"/>
                <w:szCs w:val="18"/>
              </w:rPr>
            </w:pPr>
            <w:r>
              <w:rPr>
                <w:rFonts w:hint="eastAsia" w:ascii="宋体" w:hAnsi="宋体"/>
                <w:sz w:val="18"/>
                <w:szCs w:val="18"/>
              </w:rPr>
              <w:t xml:space="preserve">375,000.00 </w:t>
            </w:r>
          </w:p>
        </w:tc>
        <w:tc>
          <w:tcPr>
            <w:tcW w:w="3096" w:type="dxa"/>
            <w:tcBorders>
              <w:right w:val="single" w:color="auto" w:sz="4" w:space="0"/>
            </w:tcBorders>
          </w:tcPr>
          <w:p w14:paraId="0B7BCC9E">
            <w:pPr>
              <w:jc w:val="center"/>
              <w:rPr>
                <w:rFonts w:ascii="宋体" w:hAnsi="宋体"/>
                <w:sz w:val="18"/>
                <w:szCs w:val="18"/>
              </w:rPr>
            </w:pPr>
          </w:p>
        </w:tc>
      </w:tr>
      <w:tr w14:paraId="16373071">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tcBorders>
              <w:left w:val="single" w:color="auto" w:sz="4" w:space="0"/>
            </w:tcBorders>
          </w:tcPr>
          <w:p w14:paraId="6331D4F2">
            <w:pPr>
              <w:rPr>
                <w:rFonts w:ascii="宋体" w:hAnsi="宋体"/>
                <w:sz w:val="18"/>
                <w:szCs w:val="18"/>
              </w:rPr>
            </w:pPr>
            <w:r>
              <w:rPr>
                <w:rFonts w:hint="eastAsia" w:ascii="宋体" w:hAnsi="宋体"/>
                <w:sz w:val="18"/>
                <w:szCs w:val="18"/>
              </w:rPr>
              <w:t xml:space="preserve">    固定资产</w:t>
            </w:r>
          </w:p>
        </w:tc>
        <w:tc>
          <w:tcPr>
            <w:tcW w:w="1709" w:type="dxa"/>
          </w:tcPr>
          <w:p w14:paraId="0AD7F4E1">
            <w:pPr>
              <w:jc w:val="right"/>
              <w:rPr>
                <w:rFonts w:ascii="宋体" w:hAnsi="宋体"/>
                <w:sz w:val="18"/>
                <w:szCs w:val="18"/>
              </w:rPr>
            </w:pPr>
            <w:r>
              <w:rPr>
                <w:rFonts w:hint="eastAsia" w:ascii="宋体" w:hAnsi="宋体"/>
                <w:sz w:val="18"/>
                <w:szCs w:val="18"/>
              </w:rPr>
              <w:t xml:space="preserve">4,587,426.21 </w:t>
            </w:r>
          </w:p>
        </w:tc>
        <w:tc>
          <w:tcPr>
            <w:tcW w:w="3096" w:type="dxa"/>
            <w:tcBorders>
              <w:right w:val="single" w:color="auto" w:sz="4" w:space="0"/>
            </w:tcBorders>
          </w:tcPr>
          <w:p w14:paraId="7751ECB0">
            <w:pPr>
              <w:jc w:val="center"/>
              <w:rPr>
                <w:rFonts w:ascii="宋体" w:hAnsi="宋体"/>
                <w:sz w:val="18"/>
                <w:szCs w:val="18"/>
              </w:rPr>
            </w:pPr>
          </w:p>
        </w:tc>
      </w:tr>
      <w:tr w14:paraId="3CC21074">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tcBorders>
              <w:left w:val="single" w:color="auto" w:sz="4" w:space="0"/>
            </w:tcBorders>
          </w:tcPr>
          <w:p w14:paraId="1856DC87">
            <w:pPr>
              <w:rPr>
                <w:rFonts w:ascii="宋体" w:hAnsi="宋体"/>
                <w:sz w:val="18"/>
                <w:szCs w:val="18"/>
              </w:rPr>
            </w:pPr>
            <w:r>
              <w:rPr>
                <w:rFonts w:hint="eastAsia" w:ascii="宋体" w:hAnsi="宋体"/>
                <w:sz w:val="18"/>
                <w:szCs w:val="18"/>
              </w:rPr>
              <w:t xml:space="preserve">    无形资产</w:t>
            </w:r>
          </w:p>
        </w:tc>
        <w:tc>
          <w:tcPr>
            <w:tcW w:w="1709" w:type="dxa"/>
          </w:tcPr>
          <w:p w14:paraId="6EF47499">
            <w:pPr>
              <w:jc w:val="right"/>
              <w:rPr>
                <w:rFonts w:ascii="宋体" w:hAnsi="宋体"/>
                <w:sz w:val="18"/>
                <w:szCs w:val="18"/>
              </w:rPr>
            </w:pPr>
            <w:r>
              <w:rPr>
                <w:rFonts w:hint="eastAsia" w:ascii="宋体" w:hAnsi="宋体"/>
                <w:sz w:val="18"/>
                <w:szCs w:val="18"/>
              </w:rPr>
              <w:t xml:space="preserve">7,374,050.77 </w:t>
            </w:r>
          </w:p>
        </w:tc>
        <w:tc>
          <w:tcPr>
            <w:tcW w:w="3096" w:type="dxa"/>
            <w:tcBorders>
              <w:right w:val="single" w:color="auto" w:sz="4" w:space="0"/>
            </w:tcBorders>
          </w:tcPr>
          <w:p w14:paraId="3B2D928B">
            <w:pPr>
              <w:jc w:val="center"/>
              <w:rPr>
                <w:rFonts w:ascii="宋体" w:hAnsi="宋体"/>
                <w:sz w:val="18"/>
                <w:szCs w:val="18"/>
              </w:rPr>
            </w:pPr>
            <w:r>
              <w:rPr>
                <w:rFonts w:hint="eastAsia" w:ascii="宋体" w:hAnsi="宋体"/>
                <w:sz w:val="18"/>
                <w:szCs w:val="18"/>
              </w:rPr>
              <w:t>专利</w:t>
            </w:r>
          </w:p>
        </w:tc>
      </w:tr>
      <w:tr w14:paraId="3FCE0680">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tcBorders>
              <w:left w:val="single" w:color="auto" w:sz="4" w:space="0"/>
            </w:tcBorders>
          </w:tcPr>
          <w:p w14:paraId="5E8CB596">
            <w:pPr>
              <w:rPr>
                <w:rFonts w:ascii="宋体" w:hAnsi="宋体"/>
                <w:sz w:val="18"/>
                <w:szCs w:val="18"/>
              </w:rPr>
            </w:pPr>
            <w:r>
              <w:rPr>
                <w:rFonts w:hint="eastAsia" w:ascii="宋体" w:hAnsi="宋体"/>
                <w:sz w:val="18"/>
                <w:szCs w:val="18"/>
              </w:rPr>
              <w:t>三、资产总计</w:t>
            </w:r>
          </w:p>
        </w:tc>
        <w:tc>
          <w:tcPr>
            <w:tcW w:w="1709" w:type="dxa"/>
          </w:tcPr>
          <w:p w14:paraId="60948607">
            <w:pPr>
              <w:jc w:val="right"/>
              <w:rPr>
                <w:rFonts w:ascii="宋体" w:hAnsi="宋体"/>
                <w:sz w:val="18"/>
                <w:szCs w:val="18"/>
              </w:rPr>
            </w:pPr>
            <w:r>
              <w:rPr>
                <w:rFonts w:hint="eastAsia" w:ascii="宋体" w:hAnsi="宋体"/>
                <w:sz w:val="18"/>
                <w:szCs w:val="18"/>
              </w:rPr>
              <w:t xml:space="preserve">158,775,435.93 </w:t>
            </w:r>
          </w:p>
        </w:tc>
        <w:tc>
          <w:tcPr>
            <w:tcW w:w="3096" w:type="dxa"/>
            <w:tcBorders>
              <w:right w:val="single" w:color="auto" w:sz="4" w:space="0"/>
            </w:tcBorders>
          </w:tcPr>
          <w:p w14:paraId="6C4D00E5">
            <w:pPr>
              <w:jc w:val="center"/>
              <w:rPr>
                <w:rFonts w:ascii="宋体" w:hAnsi="宋体"/>
                <w:sz w:val="18"/>
                <w:szCs w:val="18"/>
              </w:rPr>
            </w:pPr>
          </w:p>
        </w:tc>
      </w:tr>
      <w:tr w14:paraId="46866109">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tcBorders>
              <w:left w:val="single" w:color="auto" w:sz="4" w:space="0"/>
            </w:tcBorders>
          </w:tcPr>
          <w:p w14:paraId="70D9F500">
            <w:pPr>
              <w:rPr>
                <w:rFonts w:ascii="宋体" w:hAnsi="宋体"/>
                <w:sz w:val="18"/>
                <w:szCs w:val="18"/>
              </w:rPr>
            </w:pPr>
            <w:r>
              <w:rPr>
                <w:rFonts w:hint="eastAsia" w:ascii="宋体" w:hAnsi="宋体"/>
                <w:sz w:val="18"/>
                <w:szCs w:val="18"/>
              </w:rPr>
              <w:t>四、流动负债合计</w:t>
            </w:r>
          </w:p>
        </w:tc>
        <w:tc>
          <w:tcPr>
            <w:tcW w:w="1709" w:type="dxa"/>
          </w:tcPr>
          <w:p w14:paraId="63671349">
            <w:pPr>
              <w:jc w:val="right"/>
              <w:rPr>
                <w:rFonts w:ascii="宋体" w:hAnsi="宋体"/>
                <w:sz w:val="18"/>
                <w:szCs w:val="18"/>
              </w:rPr>
            </w:pPr>
            <w:r>
              <w:rPr>
                <w:rFonts w:hint="eastAsia" w:ascii="宋体" w:hAnsi="宋体"/>
                <w:sz w:val="18"/>
                <w:szCs w:val="18"/>
              </w:rPr>
              <w:t xml:space="preserve">28,465,804.14 </w:t>
            </w:r>
          </w:p>
        </w:tc>
        <w:tc>
          <w:tcPr>
            <w:tcW w:w="3096" w:type="dxa"/>
            <w:tcBorders>
              <w:right w:val="single" w:color="auto" w:sz="4" w:space="0"/>
            </w:tcBorders>
          </w:tcPr>
          <w:p w14:paraId="6CB44D9D">
            <w:pPr>
              <w:jc w:val="center"/>
              <w:rPr>
                <w:rFonts w:ascii="宋体" w:hAnsi="宋体"/>
                <w:sz w:val="18"/>
                <w:szCs w:val="18"/>
              </w:rPr>
            </w:pPr>
          </w:p>
        </w:tc>
      </w:tr>
      <w:tr w14:paraId="694B55C6">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tcBorders>
              <w:left w:val="single" w:color="auto" w:sz="4" w:space="0"/>
            </w:tcBorders>
          </w:tcPr>
          <w:p w14:paraId="44BDFABF">
            <w:pPr>
              <w:rPr>
                <w:rFonts w:ascii="宋体" w:hAnsi="宋体"/>
                <w:sz w:val="18"/>
                <w:szCs w:val="18"/>
              </w:rPr>
            </w:pPr>
            <w:r>
              <w:rPr>
                <w:rFonts w:hint="eastAsia" w:ascii="宋体" w:hAnsi="宋体"/>
                <w:sz w:val="18"/>
                <w:szCs w:val="18"/>
              </w:rPr>
              <w:t xml:space="preserve">    短期借款</w:t>
            </w:r>
          </w:p>
        </w:tc>
        <w:tc>
          <w:tcPr>
            <w:tcW w:w="1709" w:type="dxa"/>
          </w:tcPr>
          <w:p w14:paraId="7C5247F9">
            <w:pPr>
              <w:jc w:val="right"/>
              <w:rPr>
                <w:rFonts w:ascii="宋体" w:hAnsi="宋体"/>
                <w:sz w:val="18"/>
                <w:szCs w:val="18"/>
              </w:rPr>
            </w:pPr>
            <w:r>
              <w:rPr>
                <w:rFonts w:hint="eastAsia" w:ascii="宋体" w:hAnsi="宋体"/>
                <w:sz w:val="18"/>
                <w:szCs w:val="18"/>
              </w:rPr>
              <w:t xml:space="preserve">15,000,000.00 </w:t>
            </w:r>
          </w:p>
        </w:tc>
        <w:tc>
          <w:tcPr>
            <w:tcW w:w="3096" w:type="dxa"/>
            <w:tcBorders>
              <w:right w:val="single" w:color="auto" w:sz="4" w:space="0"/>
            </w:tcBorders>
          </w:tcPr>
          <w:p w14:paraId="13DB70A9">
            <w:pPr>
              <w:jc w:val="center"/>
              <w:rPr>
                <w:rFonts w:ascii="宋体" w:hAnsi="宋体"/>
                <w:sz w:val="18"/>
                <w:szCs w:val="18"/>
              </w:rPr>
            </w:pPr>
            <w:r>
              <w:rPr>
                <w:rFonts w:hint="eastAsia" w:ascii="宋体" w:hAnsi="宋体"/>
                <w:sz w:val="18"/>
                <w:szCs w:val="18"/>
              </w:rPr>
              <w:t>农业银行借款</w:t>
            </w:r>
          </w:p>
        </w:tc>
      </w:tr>
      <w:tr w14:paraId="6600AF9C">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tcBorders>
              <w:left w:val="single" w:color="auto" w:sz="4" w:space="0"/>
            </w:tcBorders>
          </w:tcPr>
          <w:p w14:paraId="4F67FB09">
            <w:pPr>
              <w:rPr>
                <w:rFonts w:ascii="宋体" w:hAnsi="宋体"/>
                <w:sz w:val="18"/>
                <w:szCs w:val="18"/>
              </w:rPr>
            </w:pPr>
            <w:r>
              <w:rPr>
                <w:rFonts w:hint="eastAsia" w:ascii="宋体" w:hAnsi="宋体"/>
                <w:sz w:val="18"/>
                <w:szCs w:val="18"/>
              </w:rPr>
              <w:t xml:space="preserve">    应付帐款</w:t>
            </w:r>
          </w:p>
        </w:tc>
        <w:tc>
          <w:tcPr>
            <w:tcW w:w="1709" w:type="dxa"/>
          </w:tcPr>
          <w:p w14:paraId="3F7EA988">
            <w:pPr>
              <w:jc w:val="right"/>
              <w:rPr>
                <w:rFonts w:ascii="宋体" w:hAnsi="宋体"/>
                <w:sz w:val="18"/>
                <w:szCs w:val="18"/>
              </w:rPr>
            </w:pPr>
            <w:r>
              <w:rPr>
                <w:rFonts w:hint="eastAsia" w:ascii="宋体" w:hAnsi="宋体"/>
                <w:sz w:val="18"/>
                <w:szCs w:val="18"/>
              </w:rPr>
              <w:t xml:space="preserve">2,217,515.46 </w:t>
            </w:r>
          </w:p>
        </w:tc>
        <w:tc>
          <w:tcPr>
            <w:tcW w:w="3096" w:type="dxa"/>
            <w:tcBorders>
              <w:right w:val="single" w:color="auto" w:sz="4" w:space="0"/>
            </w:tcBorders>
          </w:tcPr>
          <w:p w14:paraId="0C58ED45">
            <w:pPr>
              <w:jc w:val="center"/>
              <w:rPr>
                <w:rFonts w:ascii="宋体" w:hAnsi="宋体"/>
                <w:sz w:val="18"/>
                <w:szCs w:val="18"/>
              </w:rPr>
            </w:pPr>
          </w:p>
        </w:tc>
      </w:tr>
      <w:tr w14:paraId="62E7A6A9">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tcBorders>
              <w:left w:val="single" w:color="auto" w:sz="4" w:space="0"/>
            </w:tcBorders>
          </w:tcPr>
          <w:p w14:paraId="11F60CFB">
            <w:pPr>
              <w:rPr>
                <w:rFonts w:ascii="宋体" w:hAnsi="宋体"/>
                <w:sz w:val="18"/>
                <w:szCs w:val="18"/>
              </w:rPr>
            </w:pPr>
            <w:r>
              <w:rPr>
                <w:rFonts w:hint="eastAsia" w:ascii="宋体" w:hAnsi="宋体"/>
                <w:sz w:val="18"/>
                <w:szCs w:val="18"/>
              </w:rPr>
              <w:t xml:space="preserve">    应付职工薪酬</w:t>
            </w:r>
          </w:p>
        </w:tc>
        <w:tc>
          <w:tcPr>
            <w:tcW w:w="1709" w:type="dxa"/>
          </w:tcPr>
          <w:p w14:paraId="22831C93">
            <w:pPr>
              <w:jc w:val="right"/>
              <w:rPr>
                <w:rFonts w:ascii="宋体" w:hAnsi="宋体"/>
                <w:sz w:val="18"/>
                <w:szCs w:val="18"/>
              </w:rPr>
            </w:pPr>
            <w:r>
              <w:rPr>
                <w:rFonts w:hint="eastAsia" w:ascii="宋体" w:hAnsi="宋体"/>
                <w:sz w:val="18"/>
                <w:szCs w:val="18"/>
              </w:rPr>
              <w:t xml:space="preserve">716,496.96 </w:t>
            </w:r>
          </w:p>
        </w:tc>
        <w:tc>
          <w:tcPr>
            <w:tcW w:w="3096" w:type="dxa"/>
            <w:tcBorders>
              <w:right w:val="single" w:color="auto" w:sz="4" w:space="0"/>
            </w:tcBorders>
          </w:tcPr>
          <w:p w14:paraId="547E31EE">
            <w:pPr>
              <w:jc w:val="center"/>
              <w:rPr>
                <w:rFonts w:ascii="宋体" w:hAnsi="宋体"/>
                <w:sz w:val="18"/>
                <w:szCs w:val="18"/>
              </w:rPr>
            </w:pPr>
          </w:p>
        </w:tc>
      </w:tr>
      <w:tr w14:paraId="590CC014">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tcBorders>
              <w:left w:val="single" w:color="auto" w:sz="4" w:space="0"/>
            </w:tcBorders>
          </w:tcPr>
          <w:p w14:paraId="41CF3284">
            <w:pPr>
              <w:rPr>
                <w:rFonts w:ascii="宋体" w:hAnsi="宋体"/>
                <w:sz w:val="18"/>
                <w:szCs w:val="18"/>
              </w:rPr>
            </w:pPr>
            <w:r>
              <w:rPr>
                <w:rFonts w:hint="eastAsia" w:ascii="宋体" w:hAnsi="宋体"/>
                <w:sz w:val="18"/>
                <w:szCs w:val="18"/>
              </w:rPr>
              <w:t xml:space="preserve">    应交税费</w:t>
            </w:r>
          </w:p>
        </w:tc>
        <w:tc>
          <w:tcPr>
            <w:tcW w:w="1709" w:type="dxa"/>
          </w:tcPr>
          <w:p w14:paraId="7760AB23">
            <w:pPr>
              <w:jc w:val="right"/>
              <w:rPr>
                <w:rFonts w:ascii="宋体" w:hAnsi="宋体"/>
                <w:sz w:val="18"/>
                <w:szCs w:val="18"/>
              </w:rPr>
            </w:pPr>
            <w:r>
              <w:rPr>
                <w:rFonts w:hint="eastAsia" w:ascii="宋体" w:hAnsi="宋体"/>
                <w:sz w:val="18"/>
                <w:szCs w:val="18"/>
              </w:rPr>
              <w:t xml:space="preserve">294,597.18 </w:t>
            </w:r>
          </w:p>
        </w:tc>
        <w:tc>
          <w:tcPr>
            <w:tcW w:w="3096" w:type="dxa"/>
            <w:tcBorders>
              <w:right w:val="single" w:color="auto" w:sz="4" w:space="0"/>
            </w:tcBorders>
          </w:tcPr>
          <w:p w14:paraId="7617CDA9">
            <w:pPr>
              <w:jc w:val="center"/>
              <w:rPr>
                <w:rFonts w:ascii="宋体" w:hAnsi="宋体"/>
                <w:sz w:val="18"/>
                <w:szCs w:val="18"/>
              </w:rPr>
            </w:pPr>
          </w:p>
        </w:tc>
      </w:tr>
      <w:tr w14:paraId="0F056B5A">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tcBorders>
              <w:left w:val="single" w:color="auto" w:sz="4" w:space="0"/>
            </w:tcBorders>
          </w:tcPr>
          <w:p w14:paraId="28AF7A14">
            <w:pPr>
              <w:rPr>
                <w:rFonts w:ascii="宋体" w:hAnsi="宋体"/>
                <w:sz w:val="18"/>
                <w:szCs w:val="18"/>
              </w:rPr>
            </w:pPr>
            <w:r>
              <w:rPr>
                <w:rFonts w:hint="eastAsia" w:ascii="宋体" w:hAnsi="宋体"/>
                <w:sz w:val="18"/>
                <w:szCs w:val="18"/>
              </w:rPr>
              <w:t xml:space="preserve">    应付利息</w:t>
            </w:r>
          </w:p>
        </w:tc>
        <w:tc>
          <w:tcPr>
            <w:tcW w:w="1709" w:type="dxa"/>
          </w:tcPr>
          <w:p w14:paraId="72157E44">
            <w:pPr>
              <w:jc w:val="right"/>
              <w:rPr>
                <w:rFonts w:ascii="宋体" w:hAnsi="宋体"/>
                <w:sz w:val="18"/>
                <w:szCs w:val="18"/>
              </w:rPr>
            </w:pPr>
            <w:r>
              <w:rPr>
                <w:rFonts w:hint="eastAsia" w:ascii="宋体" w:hAnsi="宋体"/>
                <w:sz w:val="18"/>
                <w:szCs w:val="18"/>
              </w:rPr>
              <w:t xml:space="preserve">590,492.59 </w:t>
            </w:r>
          </w:p>
        </w:tc>
        <w:tc>
          <w:tcPr>
            <w:tcW w:w="3096" w:type="dxa"/>
            <w:tcBorders>
              <w:right w:val="single" w:color="auto" w:sz="4" w:space="0"/>
            </w:tcBorders>
          </w:tcPr>
          <w:p w14:paraId="16D9C520">
            <w:pPr>
              <w:jc w:val="center"/>
              <w:rPr>
                <w:rFonts w:ascii="宋体" w:hAnsi="宋体"/>
                <w:sz w:val="18"/>
                <w:szCs w:val="18"/>
              </w:rPr>
            </w:pPr>
          </w:p>
        </w:tc>
      </w:tr>
      <w:tr w14:paraId="40305621">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tcBorders>
              <w:left w:val="single" w:color="auto" w:sz="4" w:space="0"/>
            </w:tcBorders>
          </w:tcPr>
          <w:p w14:paraId="31A01F48">
            <w:pPr>
              <w:rPr>
                <w:rFonts w:ascii="宋体" w:hAnsi="宋体"/>
                <w:sz w:val="18"/>
                <w:szCs w:val="18"/>
              </w:rPr>
            </w:pPr>
            <w:r>
              <w:rPr>
                <w:rFonts w:hint="eastAsia" w:ascii="宋体" w:hAnsi="宋体"/>
                <w:sz w:val="18"/>
                <w:szCs w:val="18"/>
              </w:rPr>
              <w:t xml:space="preserve">    其他应付款</w:t>
            </w:r>
          </w:p>
        </w:tc>
        <w:tc>
          <w:tcPr>
            <w:tcW w:w="1709" w:type="dxa"/>
          </w:tcPr>
          <w:p w14:paraId="03C286A1">
            <w:pPr>
              <w:jc w:val="right"/>
              <w:rPr>
                <w:rFonts w:ascii="宋体" w:hAnsi="宋体"/>
                <w:sz w:val="18"/>
                <w:szCs w:val="18"/>
              </w:rPr>
            </w:pPr>
            <w:r>
              <w:rPr>
                <w:rFonts w:hint="eastAsia" w:ascii="宋体" w:hAnsi="宋体"/>
                <w:sz w:val="18"/>
                <w:szCs w:val="18"/>
              </w:rPr>
              <w:t xml:space="preserve">9,646,701.95 </w:t>
            </w:r>
          </w:p>
        </w:tc>
        <w:tc>
          <w:tcPr>
            <w:tcW w:w="3096" w:type="dxa"/>
            <w:tcBorders>
              <w:right w:val="single" w:color="auto" w:sz="4" w:space="0"/>
            </w:tcBorders>
          </w:tcPr>
          <w:p w14:paraId="368C8614">
            <w:pPr>
              <w:jc w:val="center"/>
              <w:rPr>
                <w:rFonts w:ascii="宋体" w:hAnsi="宋体"/>
                <w:sz w:val="18"/>
                <w:szCs w:val="18"/>
              </w:rPr>
            </w:pPr>
          </w:p>
        </w:tc>
      </w:tr>
      <w:tr w14:paraId="6157910B">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tcBorders>
              <w:left w:val="single" w:color="auto" w:sz="4" w:space="0"/>
            </w:tcBorders>
          </w:tcPr>
          <w:p w14:paraId="69B8A9A5">
            <w:pPr>
              <w:rPr>
                <w:rFonts w:ascii="宋体" w:hAnsi="宋体"/>
                <w:sz w:val="18"/>
                <w:szCs w:val="18"/>
              </w:rPr>
            </w:pPr>
            <w:r>
              <w:rPr>
                <w:rFonts w:hint="eastAsia" w:ascii="宋体" w:hAnsi="宋体"/>
                <w:sz w:val="18"/>
                <w:szCs w:val="18"/>
              </w:rPr>
              <w:t>五、非流动负债</w:t>
            </w:r>
          </w:p>
        </w:tc>
        <w:tc>
          <w:tcPr>
            <w:tcW w:w="1709" w:type="dxa"/>
          </w:tcPr>
          <w:p w14:paraId="0C104085">
            <w:pPr>
              <w:jc w:val="right"/>
              <w:rPr>
                <w:rFonts w:ascii="宋体" w:hAnsi="宋体"/>
                <w:sz w:val="18"/>
                <w:szCs w:val="18"/>
              </w:rPr>
            </w:pPr>
            <w:r>
              <w:rPr>
                <w:rFonts w:hint="eastAsia" w:ascii="宋体" w:hAnsi="宋体"/>
                <w:sz w:val="18"/>
                <w:szCs w:val="18"/>
              </w:rPr>
              <w:t xml:space="preserve">0.00 </w:t>
            </w:r>
          </w:p>
        </w:tc>
        <w:tc>
          <w:tcPr>
            <w:tcW w:w="3096" w:type="dxa"/>
            <w:tcBorders>
              <w:right w:val="single" w:color="auto" w:sz="4" w:space="0"/>
            </w:tcBorders>
          </w:tcPr>
          <w:p w14:paraId="62E2B1CD">
            <w:pPr>
              <w:jc w:val="center"/>
              <w:rPr>
                <w:rFonts w:ascii="宋体" w:hAnsi="宋体"/>
                <w:sz w:val="18"/>
                <w:szCs w:val="18"/>
              </w:rPr>
            </w:pPr>
          </w:p>
        </w:tc>
      </w:tr>
      <w:tr w14:paraId="21F966FE">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tcBorders>
              <w:left w:val="single" w:color="auto" w:sz="4" w:space="0"/>
            </w:tcBorders>
          </w:tcPr>
          <w:p w14:paraId="60649835">
            <w:pPr>
              <w:rPr>
                <w:rFonts w:ascii="宋体" w:hAnsi="宋体"/>
                <w:sz w:val="18"/>
                <w:szCs w:val="18"/>
              </w:rPr>
            </w:pPr>
            <w:r>
              <w:rPr>
                <w:rFonts w:hint="eastAsia" w:ascii="宋体" w:hAnsi="宋体"/>
                <w:sz w:val="18"/>
                <w:szCs w:val="18"/>
              </w:rPr>
              <w:t>六、负债总计</w:t>
            </w:r>
          </w:p>
        </w:tc>
        <w:tc>
          <w:tcPr>
            <w:tcW w:w="1709" w:type="dxa"/>
          </w:tcPr>
          <w:p w14:paraId="7AA06CCB">
            <w:pPr>
              <w:jc w:val="right"/>
              <w:rPr>
                <w:rFonts w:ascii="宋体" w:hAnsi="宋体"/>
                <w:sz w:val="18"/>
                <w:szCs w:val="18"/>
              </w:rPr>
            </w:pPr>
            <w:r>
              <w:rPr>
                <w:rFonts w:hint="eastAsia" w:ascii="宋体" w:hAnsi="宋体"/>
                <w:sz w:val="18"/>
                <w:szCs w:val="18"/>
              </w:rPr>
              <w:t xml:space="preserve">28,465,804.14 </w:t>
            </w:r>
          </w:p>
        </w:tc>
        <w:tc>
          <w:tcPr>
            <w:tcW w:w="3096" w:type="dxa"/>
            <w:tcBorders>
              <w:right w:val="single" w:color="auto" w:sz="4" w:space="0"/>
            </w:tcBorders>
          </w:tcPr>
          <w:p w14:paraId="6DC190AE">
            <w:pPr>
              <w:jc w:val="center"/>
              <w:rPr>
                <w:rFonts w:ascii="宋体" w:hAnsi="宋体"/>
                <w:sz w:val="18"/>
                <w:szCs w:val="18"/>
              </w:rPr>
            </w:pPr>
          </w:p>
        </w:tc>
      </w:tr>
      <w:tr w14:paraId="53621620">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tcBorders>
              <w:left w:val="single" w:color="auto" w:sz="4" w:space="0"/>
              <w:bottom w:val="single" w:color="auto" w:sz="4" w:space="0"/>
            </w:tcBorders>
          </w:tcPr>
          <w:p w14:paraId="0BF4A18F">
            <w:pPr>
              <w:rPr>
                <w:rFonts w:ascii="宋体" w:hAnsi="宋体"/>
                <w:sz w:val="18"/>
                <w:szCs w:val="18"/>
              </w:rPr>
            </w:pPr>
            <w:r>
              <w:rPr>
                <w:rFonts w:hint="eastAsia" w:ascii="宋体" w:hAnsi="宋体"/>
                <w:sz w:val="18"/>
                <w:szCs w:val="18"/>
              </w:rPr>
              <w:t>七、净资产（所有者权益）</w:t>
            </w:r>
          </w:p>
        </w:tc>
        <w:tc>
          <w:tcPr>
            <w:tcW w:w="1709" w:type="dxa"/>
            <w:tcBorders>
              <w:bottom w:val="single" w:color="auto" w:sz="4" w:space="0"/>
            </w:tcBorders>
          </w:tcPr>
          <w:p w14:paraId="47A72AE9">
            <w:pPr>
              <w:jc w:val="right"/>
              <w:rPr>
                <w:rFonts w:ascii="宋体" w:hAnsi="宋体"/>
                <w:sz w:val="18"/>
                <w:szCs w:val="18"/>
              </w:rPr>
            </w:pPr>
            <w:r>
              <w:rPr>
                <w:rFonts w:hint="eastAsia" w:ascii="宋体" w:hAnsi="宋体"/>
                <w:sz w:val="18"/>
                <w:szCs w:val="18"/>
              </w:rPr>
              <w:t xml:space="preserve">130,309,631.79 </w:t>
            </w:r>
          </w:p>
        </w:tc>
        <w:tc>
          <w:tcPr>
            <w:tcW w:w="3096" w:type="dxa"/>
            <w:tcBorders>
              <w:bottom w:val="single" w:color="auto" w:sz="4" w:space="0"/>
              <w:right w:val="single" w:color="auto" w:sz="4" w:space="0"/>
            </w:tcBorders>
          </w:tcPr>
          <w:p w14:paraId="7AFF680A">
            <w:pPr>
              <w:jc w:val="center"/>
              <w:rPr>
                <w:rFonts w:ascii="宋体" w:hAnsi="宋体"/>
                <w:sz w:val="18"/>
                <w:szCs w:val="18"/>
              </w:rPr>
            </w:pPr>
          </w:p>
        </w:tc>
      </w:tr>
    </w:tbl>
    <w:p w14:paraId="0228E891">
      <w:pPr>
        <w:tabs>
          <w:tab w:val="left" w:pos="420"/>
          <w:tab w:val="left" w:pos="540"/>
        </w:tabs>
        <w:spacing w:line="400" w:lineRule="exact"/>
        <w:ind w:firstLine="420" w:firstLineChars="200"/>
        <w:rPr>
          <w:rFonts w:ascii="宋体" w:hAnsi="宋体"/>
          <w:szCs w:val="21"/>
        </w:rPr>
      </w:pPr>
    </w:p>
    <w:p w14:paraId="3783EB63">
      <w:pPr>
        <w:tabs>
          <w:tab w:val="left" w:pos="420"/>
          <w:tab w:val="left" w:pos="540"/>
        </w:tabs>
        <w:spacing w:line="400" w:lineRule="exact"/>
        <w:ind w:firstLine="420" w:firstLineChars="200"/>
        <w:rPr>
          <w:rFonts w:ascii="宋体" w:hAnsi="宋体"/>
          <w:szCs w:val="21"/>
        </w:rPr>
      </w:pPr>
      <w:r>
        <w:rPr>
          <w:rFonts w:hint="eastAsia" w:ascii="宋体" w:hAnsi="宋体"/>
          <w:szCs w:val="21"/>
        </w:rPr>
        <w:t>评估基准日前三年的经营状况如表1-2所示。</w:t>
      </w:r>
    </w:p>
    <w:p w14:paraId="667BAC9C">
      <w:pPr>
        <w:tabs>
          <w:tab w:val="left" w:pos="420"/>
          <w:tab w:val="left" w:pos="540"/>
        </w:tabs>
        <w:spacing w:line="400" w:lineRule="exact"/>
        <w:ind w:firstLine="420" w:firstLineChars="200"/>
        <w:rPr>
          <w:rFonts w:ascii="宋体" w:hAnsi="宋体"/>
          <w:szCs w:val="21"/>
        </w:rPr>
      </w:pPr>
    </w:p>
    <w:p w14:paraId="7D2DB75E">
      <w:pPr>
        <w:spacing w:line="440" w:lineRule="exact"/>
        <w:ind w:firstLine="632" w:firstLineChars="350"/>
        <w:rPr>
          <w:rFonts w:ascii="宋体" w:hAnsi="宋体"/>
          <w:szCs w:val="21"/>
        </w:rPr>
      </w:pPr>
      <w:r>
        <w:rPr>
          <w:rFonts w:hint="eastAsia" w:ascii="黑体" w:hAnsi="黑体" w:eastAsia="黑体" w:cs="黑体"/>
          <w:b/>
          <w:bCs/>
          <w:sz w:val="18"/>
          <w:szCs w:val="18"/>
        </w:rPr>
        <w:t xml:space="preserve">                     表1-2   G公司前3年的经营情况                   </w:t>
      </w:r>
      <w:r>
        <w:rPr>
          <w:rFonts w:hint="eastAsia" w:ascii="黑体" w:hAnsi="黑体" w:eastAsia="黑体" w:cs="黑体"/>
          <w:sz w:val="18"/>
          <w:szCs w:val="18"/>
        </w:rPr>
        <w:t>单位：十万元</w:t>
      </w:r>
    </w:p>
    <w:tbl>
      <w:tblPr>
        <w:tblStyle w:val="8"/>
        <w:tblW w:w="7908" w:type="dxa"/>
        <w:jc w:val="center"/>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895"/>
        <w:gridCol w:w="1671"/>
        <w:gridCol w:w="1671"/>
        <w:gridCol w:w="1671"/>
      </w:tblGrid>
      <w:tr w14:paraId="0C1CAD43">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895" w:type="dxa"/>
            <w:tcBorders>
              <w:top w:val="single" w:color="auto" w:sz="4" w:space="0"/>
              <w:left w:val="single" w:color="auto" w:sz="4" w:space="0"/>
            </w:tcBorders>
          </w:tcPr>
          <w:p w14:paraId="26BF837C">
            <w:pPr>
              <w:jc w:val="center"/>
              <w:rPr>
                <w:rFonts w:ascii="宋体" w:hAnsi="宋体"/>
                <w:bCs/>
                <w:sz w:val="18"/>
                <w:szCs w:val="18"/>
              </w:rPr>
            </w:pPr>
            <w:r>
              <w:rPr>
                <w:rFonts w:ascii="宋体" w:hAnsi="宋体"/>
                <w:bCs/>
                <w:sz w:val="18"/>
                <w:szCs w:val="18"/>
              </w:rPr>
              <w:t>项目</w:t>
            </w:r>
          </w:p>
        </w:tc>
        <w:tc>
          <w:tcPr>
            <w:tcW w:w="1671" w:type="dxa"/>
            <w:tcBorders>
              <w:top w:val="single" w:color="auto" w:sz="4" w:space="0"/>
            </w:tcBorders>
          </w:tcPr>
          <w:p w14:paraId="530102D1">
            <w:pPr>
              <w:jc w:val="center"/>
              <w:rPr>
                <w:rFonts w:ascii="宋体" w:hAnsi="宋体"/>
                <w:bCs/>
                <w:sz w:val="18"/>
                <w:szCs w:val="18"/>
              </w:rPr>
            </w:pPr>
            <w:r>
              <w:rPr>
                <w:rFonts w:ascii="宋体" w:hAnsi="宋体"/>
                <w:bCs/>
                <w:sz w:val="18"/>
                <w:szCs w:val="18"/>
              </w:rPr>
              <w:t>20</w:t>
            </w:r>
            <w:r>
              <w:rPr>
                <w:rFonts w:hint="eastAsia" w:ascii="宋体" w:hAnsi="宋体"/>
                <w:bCs/>
                <w:sz w:val="18"/>
                <w:szCs w:val="18"/>
              </w:rPr>
              <w:t>10</w:t>
            </w:r>
            <w:r>
              <w:rPr>
                <w:rFonts w:ascii="宋体" w:hAnsi="宋体"/>
                <w:bCs/>
                <w:sz w:val="18"/>
                <w:szCs w:val="18"/>
              </w:rPr>
              <w:t>年</w:t>
            </w:r>
          </w:p>
        </w:tc>
        <w:tc>
          <w:tcPr>
            <w:tcW w:w="1671" w:type="dxa"/>
            <w:tcBorders>
              <w:top w:val="single" w:color="auto" w:sz="4" w:space="0"/>
            </w:tcBorders>
          </w:tcPr>
          <w:p w14:paraId="2B4660C1">
            <w:pPr>
              <w:jc w:val="center"/>
              <w:rPr>
                <w:rFonts w:ascii="宋体" w:hAnsi="宋体"/>
                <w:bCs/>
                <w:sz w:val="18"/>
                <w:szCs w:val="18"/>
              </w:rPr>
            </w:pPr>
            <w:r>
              <w:rPr>
                <w:rFonts w:ascii="宋体" w:hAnsi="宋体"/>
                <w:bCs/>
                <w:sz w:val="18"/>
                <w:szCs w:val="18"/>
              </w:rPr>
              <w:t>20</w:t>
            </w:r>
            <w:r>
              <w:rPr>
                <w:rFonts w:hint="eastAsia" w:ascii="宋体" w:hAnsi="宋体"/>
                <w:bCs/>
                <w:sz w:val="18"/>
                <w:szCs w:val="18"/>
              </w:rPr>
              <w:t>11</w:t>
            </w:r>
            <w:r>
              <w:rPr>
                <w:rFonts w:ascii="宋体" w:hAnsi="宋体"/>
                <w:bCs/>
                <w:sz w:val="18"/>
                <w:szCs w:val="18"/>
              </w:rPr>
              <w:t>年</w:t>
            </w:r>
          </w:p>
        </w:tc>
        <w:tc>
          <w:tcPr>
            <w:tcW w:w="1671" w:type="dxa"/>
            <w:tcBorders>
              <w:top w:val="single" w:color="auto" w:sz="4" w:space="0"/>
              <w:right w:val="single" w:color="auto" w:sz="4" w:space="0"/>
            </w:tcBorders>
          </w:tcPr>
          <w:p w14:paraId="59593589">
            <w:pPr>
              <w:jc w:val="center"/>
              <w:rPr>
                <w:rFonts w:ascii="宋体" w:hAnsi="宋体"/>
                <w:bCs/>
                <w:sz w:val="18"/>
                <w:szCs w:val="18"/>
              </w:rPr>
            </w:pPr>
            <w:r>
              <w:rPr>
                <w:rFonts w:ascii="宋体" w:hAnsi="宋体"/>
                <w:bCs/>
                <w:sz w:val="18"/>
                <w:szCs w:val="18"/>
              </w:rPr>
              <w:t>20</w:t>
            </w:r>
            <w:r>
              <w:rPr>
                <w:rFonts w:hint="eastAsia" w:ascii="宋体" w:hAnsi="宋体"/>
                <w:bCs/>
                <w:sz w:val="18"/>
                <w:szCs w:val="18"/>
              </w:rPr>
              <w:t>12</w:t>
            </w:r>
            <w:r>
              <w:rPr>
                <w:rFonts w:ascii="宋体" w:hAnsi="宋体"/>
                <w:bCs/>
                <w:sz w:val="18"/>
                <w:szCs w:val="18"/>
              </w:rPr>
              <w:t>年</w:t>
            </w:r>
          </w:p>
        </w:tc>
      </w:tr>
      <w:tr w14:paraId="42AF9F34">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895" w:type="dxa"/>
            <w:tcBorders>
              <w:left w:val="single" w:color="auto" w:sz="4" w:space="0"/>
            </w:tcBorders>
          </w:tcPr>
          <w:p w14:paraId="54D6F929">
            <w:pPr>
              <w:rPr>
                <w:rFonts w:ascii="宋体" w:hAnsi="宋体"/>
                <w:bCs/>
                <w:sz w:val="18"/>
                <w:szCs w:val="18"/>
              </w:rPr>
            </w:pPr>
            <w:r>
              <w:rPr>
                <w:rFonts w:ascii="宋体" w:hAnsi="宋体"/>
                <w:bCs/>
                <w:sz w:val="18"/>
                <w:szCs w:val="18"/>
              </w:rPr>
              <w:t>一、主营业务收入</w:t>
            </w:r>
          </w:p>
        </w:tc>
        <w:tc>
          <w:tcPr>
            <w:tcW w:w="1671" w:type="dxa"/>
          </w:tcPr>
          <w:p w14:paraId="7A574783">
            <w:pPr>
              <w:ind w:right="162" w:rightChars="77"/>
              <w:jc w:val="center"/>
              <w:rPr>
                <w:rFonts w:ascii="宋体" w:hAnsi="宋体"/>
                <w:bCs/>
                <w:sz w:val="18"/>
                <w:szCs w:val="18"/>
              </w:rPr>
            </w:pPr>
            <w:r>
              <w:rPr>
                <w:rFonts w:ascii="宋体" w:hAnsi="宋体"/>
                <w:bCs/>
                <w:sz w:val="18"/>
                <w:szCs w:val="18"/>
              </w:rPr>
              <w:t>3632.28</w:t>
            </w:r>
          </w:p>
        </w:tc>
        <w:tc>
          <w:tcPr>
            <w:tcW w:w="1671" w:type="dxa"/>
          </w:tcPr>
          <w:p w14:paraId="5B18EAA8">
            <w:pPr>
              <w:ind w:right="162" w:rightChars="77"/>
              <w:jc w:val="center"/>
              <w:rPr>
                <w:rFonts w:ascii="宋体" w:hAnsi="宋体"/>
                <w:bCs/>
                <w:sz w:val="18"/>
                <w:szCs w:val="18"/>
              </w:rPr>
            </w:pPr>
            <w:r>
              <w:rPr>
                <w:rFonts w:ascii="宋体" w:hAnsi="宋体"/>
                <w:bCs/>
                <w:sz w:val="18"/>
                <w:szCs w:val="18"/>
              </w:rPr>
              <w:t>4452.81</w:t>
            </w:r>
          </w:p>
        </w:tc>
        <w:tc>
          <w:tcPr>
            <w:tcW w:w="1671" w:type="dxa"/>
            <w:tcBorders>
              <w:right w:val="single" w:color="auto" w:sz="4" w:space="0"/>
            </w:tcBorders>
          </w:tcPr>
          <w:p w14:paraId="10B2C00E">
            <w:pPr>
              <w:ind w:right="162" w:rightChars="77"/>
              <w:jc w:val="center"/>
              <w:rPr>
                <w:rFonts w:ascii="宋体" w:hAnsi="宋体"/>
                <w:bCs/>
                <w:sz w:val="18"/>
                <w:szCs w:val="18"/>
              </w:rPr>
            </w:pPr>
            <w:r>
              <w:rPr>
                <w:rFonts w:ascii="宋体" w:hAnsi="宋体"/>
                <w:bCs/>
                <w:sz w:val="18"/>
                <w:szCs w:val="18"/>
              </w:rPr>
              <w:t>4720.80</w:t>
            </w:r>
          </w:p>
        </w:tc>
      </w:tr>
      <w:tr w14:paraId="40283923">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895" w:type="dxa"/>
            <w:tcBorders>
              <w:left w:val="single" w:color="auto" w:sz="4" w:space="0"/>
            </w:tcBorders>
          </w:tcPr>
          <w:p w14:paraId="5D54C6FA">
            <w:pPr>
              <w:rPr>
                <w:rFonts w:ascii="宋体" w:hAnsi="宋体"/>
                <w:bCs/>
                <w:sz w:val="18"/>
                <w:szCs w:val="18"/>
              </w:rPr>
            </w:pPr>
            <w:r>
              <w:rPr>
                <w:rFonts w:ascii="宋体" w:hAnsi="宋体"/>
                <w:bCs/>
                <w:sz w:val="18"/>
                <w:szCs w:val="18"/>
              </w:rPr>
              <w:t xml:space="preserve">  减:主营业务成本</w:t>
            </w:r>
          </w:p>
        </w:tc>
        <w:tc>
          <w:tcPr>
            <w:tcW w:w="1671" w:type="dxa"/>
          </w:tcPr>
          <w:p w14:paraId="0818B581">
            <w:pPr>
              <w:ind w:right="162" w:rightChars="77"/>
              <w:jc w:val="center"/>
              <w:rPr>
                <w:rFonts w:ascii="宋体" w:hAnsi="宋体"/>
                <w:bCs/>
                <w:sz w:val="18"/>
                <w:szCs w:val="18"/>
              </w:rPr>
            </w:pPr>
            <w:r>
              <w:rPr>
                <w:rFonts w:ascii="宋体" w:hAnsi="宋体"/>
                <w:bCs/>
                <w:sz w:val="18"/>
                <w:szCs w:val="18"/>
              </w:rPr>
              <w:t>2657.73</w:t>
            </w:r>
          </w:p>
        </w:tc>
        <w:tc>
          <w:tcPr>
            <w:tcW w:w="1671" w:type="dxa"/>
          </w:tcPr>
          <w:p w14:paraId="30C68CF2">
            <w:pPr>
              <w:ind w:right="162" w:rightChars="77"/>
              <w:jc w:val="center"/>
              <w:rPr>
                <w:rFonts w:ascii="宋体" w:hAnsi="宋体"/>
                <w:bCs/>
                <w:sz w:val="18"/>
                <w:szCs w:val="18"/>
              </w:rPr>
            </w:pPr>
            <w:r>
              <w:rPr>
                <w:rFonts w:ascii="宋体" w:hAnsi="宋体"/>
                <w:bCs/>
                <w:sz w:val="18"/>
                <w:szCs w:val="18"/>
              </w:rPr>
              <w:t>2362.77</w:t>
            </w:r>
          </w:p>
        </w:tc>
        <w:tc>
          <w:tcPr>
            <w:tcW w:w="1671" w:type="dxa"/>
            <w:tcBorders>
              <w:right w:val="single" w:color="auto" w:sz="4" w:space="0"/>
            </w:tcBorders>
          </w:tcPr>
          <w:p w14:paraId="537E881C">
            <w:pPr>
              <w:ind w:right="162" w:rightChars="77"/>
              <w:jc w:val="center"/>
              <w:rPr>
                <w:rFonts w:ascii="宋体" w:hAnsi="宋体"/>
                <w:bCs/>
                <w:sz w:val="18"/>
                <w:szCs w:val="18"/>
              </w:rPr>
            </w:pPr>
            <w:r>
              <w:rPr>
                <w:rFonts w:ascii="宋体" w:hAnsi="宋体"/>
                <w:bCs/>
                <w:sz w:val="18"/>
                <w:szCs w:val="18"/>
              </w:rPr>
              <w:t>2108.11</w:t>
            </w:r>
          </w:p>
        </w:tc>
      </w:tr>
      <w:tr w14:paraId="2B4126A8">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895" w:type="dxa"/>
            <w:tcBorders>
              <w:left w:val="single" w:color="auto" w:sz="4" w:space="0"/>
            </w:tcBorders>
          </w:tcPr>
          <w:p w14:paraId="4AADA11F">
            <w:pPr>
              <w:rPr>
                <w:rFonts w:ascii="宋体" w:hAnsi="宋体"/>
                <w:bCs/>
                <w:sz w:val="18"/>
                <w:szCs w:val="18"/>
              </w:rPr>
            </w:pPr>
            <w:r>
              <w:rPr>
                <w:rFonts w:ascii="宋体" w:hAnsi="宋体"/>
                <w:bCs/>
                <w:sz w:val="18"/>
                <w:szCs w:val="18"/>
              </w:rPr>
              <w:t xml:space="preserve">     主营业务税金及附加</w:t>
            </w:r>
          </w:p>
        </w:tc>
        <w:tc>
          <w:tcPr>
            <w:tcW w:w="1671" w:type="dxa"/>
          </w:tcPr>
          <w:p w14:paraId="286B35A1">
            <w:pPr>
              <w:ind w:right="162" w:rightChars="77"/>
              <w:jc w:val="center"/>
              <w:rPr>
                <w:rFonts w:ascii="宋体" w:hAnsi="宋体"/>
                <w:bCs/>
                <w:sz w:val="18"/>
                <w:szCs w:val="18"/>
              </w:rPr>
            </w:pPr>
            <w:r>
              <w:rPr>
                <w:rFonts w:ascii="宋体" w:hAnsi="宋体"/>
                <w:bCs/>
                <w:sz w:val="18"/>
                <w:szCs w:val="18"/>
              </w:rPr>
              <w:t>0</w:t>
            </w:r>
            <w:r>
              <w:rPr>
                <w:rFonts w:hint="eastAsia" w:ascii="宋体" w:hAnsi="宋体"/>
                <w:bCs/>
                <w:sz w:val="18"/>
                <w:szCs w:val="18"/>
              </w:rPr>
              <w:t>.00</w:t>
            </w:r>
          </w:p>
        </w:tc>
        <w:tc>
          <w:tcPr>
            <w:tcW w:w="1671" w:type="dxa"/>
          </w:tcPr>
          <w:p w14:paraId="4E33DBAD">
            <w:pPr>
              <w:ind w:right="162" w:rightChars="77"/>
              <w:jc w:val="center"/>
              <w:rPr>
                <w:rFonts w:ascii="宋体" w:hAnsi="宋体"/>
                <w:bCs/>
                <w:sz w:val="18"/>
                <w:szCs w:val="18"/>
              </w:rPr>
            </w:pPr>
            <w:r>
              <w:rPr>
                <w:rFonts w:ascii="宋体" w:hAnsi="宋体"/>
                <w:bCs/>
                <w:sz w:val="18"/>
                <w:szCs w:val="18"/>
              </w:rPr>
              <w:t>0</w:t>
            </w:r>
            <w:r>
              <w:rPr>
                <w:rFonts w:hint="eastAsia" w:ascii="宋体" w:hAnsi="宋体"/>
                <w:bCs/>
                <w:sz w:val="18"/>
                <w:szCs w:val="18"/>
              </w:rPr>
              <w:t>.00</w:t>
            </w:r>
          </w:p>
        </w:tc>
        <w:tc>
          <w:tcPr>
            <w:tcW w:w="1671" w:type="dxa"/>
            <w:tcBorders>
              <w:right w:val="single" w:color="auto" w:sz="4" w:space="0"/>
            </w:tcBorders>
          </w:tcPr>
          <w:p w14:paraId="30B759C3">
            <w:pPr>
              <w:ind w:right="162" w:rightChars="77"/>
              <w:jc w:val="center"/>
              <w:rPr>
                <w:rFonts w:ascii="宋体" w:hAnsi="宋体"/>
                <w:bCs/>
                <w:sz w:val="18"/>
                <w:szCs w:val="18"/>
              </w:rPr>
            </w:pPr>
            <w:r>
              <w:rPr>
                <w:rFonts w:hint="eastAsia" w:ascii="宋体" w:hAnsi="宋体"/>
                <w:bCs/>
                <w:sz w:val="18"/>
                <w:szCs w:val="18"/>
              </w:rPr>
              <w:t>0.00</w:t>
            </w:r>
          </w:p>
        </w:tc>
      </w:tr>
      <w:tr w14:paraId="4FD096DD">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895" w:type="dxa"/>
            <w:tcBorders>
              <w:left w:val="single" w:color="auto" w:sz="4" w:space="0"/>
            </w:tcBorders>
          </w:tcPr>
          <w:p w14:paraId="08D9679F">
            <w:pPr>
              <w:rPr>
                <w:rFonts w:ascii="宋体" w:hAnsi="宋体"/>
                <w:bCs/>
                <w:sz w:val="18"/>
                <w:szCs w:val="18"/>
              </w:rPr>
            </w:pPr>
            <w:r>
              <w:rPr>
                <w:rFonts w:ascii="宋体" w:hAnsi="宋体"/>
                <w:bCs/>
                <w:sz w:val="18"/>
                <w:szCs w:val="18"/>
              </w:rPr>
              <w:t xml:space="preserve">     营业费用</w:t>
            </w:r>
          </w:p>
        </w:tc>
        <w:tc>
          <w:tcPr>
            <w:tcW w:w="1671" w:type="dxa"/>
          </w:tcPr>
          <w:p w14:paraId="72F8DA66">
            <w:pPr>
              <w:ind w:right="162" w:rightChars="77"/>
              <w:jc w:val="center"/>
              <w:rPr>
                <w:rFonts w:ascii="宋体" w:hAnsi="宋体"/>
                <w:bCs/>
                <w:sz w:val="18"/>
                <w:szCs w:val="18"/>
              </w:rPr>
            </w:pPr>
            <w:r>
              <w:rPr>
                <w:rFonts w:ascii="宋体" w:hAnsi="宋体"/>
                <w:bCs/>
                <w:sz w:val="18"/>
                <w:szCs w:val="18"/>
              </w:rPr>
              <w:t>354.72</w:t>
            </w:r>
          </w:p>
        </w:tc>
        <w:tc>
          <w:tcPr>
            <w:tcW w:w="1671" w:type="dxa"/>
          </w:tcPr>
          <w:p w14:paraId="2487274B">
            <w:pPr>
              <w:ind w:right="162" w:rightChars="77"/>
              <w:jc w:val="center"/>
              <w:rPr>
                <w:rFonts w:ascii="宋体" w:hAnsi="宋体"/>
                <w:bCs/>
                <w:sz w:val="18"/>
                <w:szCs w:val="18"/>
              </w:rPr>
            </w:pPr>
            <w:r>
              <w:rPr>
                <w:rFonts w:ascii="宋体" w:hAnsi="宋体"/>
                <w:bCs/>
                <w:sz w:val="18"/>
                <w:szCs w:val="18"/>
              </w:rPr>
              <w:t>286.58</w:t>
            </w:r>
          </w:p>
        </w:tc>
        <w:tc>
          <w:tcPr>
            <w:tcW w:w="1671" w:type="dxa"/>
            <w:tcBorders>
              <w:right w:val="single" w:color="auto" w:sz="4" w:space="0"/>
            </w:tcBorders>
          </w:tcPr>
          <w:p w14:paraId="59F7CF7C">
            <w:pPr>
              <w:ind w:right="162" w:rightChars="77"/>
              <w:jc w:val="center"/>
              <w:rPr>
                <w:rFonts w:ascii="宋体" w:hAnsi="宋体"/>
                <w:bCs/>
                <w:sz w:val="18"/>
                <w:szCs w:val="18"/>
              </w:rPr>
            </w:pPr>
            <w:r>
              <w:rPr>
                <w:rFonts w:ascii="宋体" w:hAnsi="宋体"/>
                <w:bCs/>
                <w:sz w:val="18"/>
                <w:szCs w:val="18"/>
              </w:rPr>
              <w:t>530.59</w:t>
            </w:r>
          </w:p>
        </w:tc>
      </w:tr>
      <w:tr w14:paraId="7B6A490A">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895" w:type="dxa"/>
            <w:tcBorders>
              <w:left w:val="single" w:color="auto" w:sz="4" w:space="0"/>
            </w:tcBorders>
          </w:tcPr>
          <w:p w14:paraId="2783F8F5">
            <w:pPr>
              <w:rPr>
                <w:rFonts w:ascii="宋体" w:hAnsi="宋体"/>
                <w:bCs/>
                <w:sz w:val="18"/>
                <w:szCs w:val="18"/>
              </w:rPr>
            </w:pPr>
            <w:r>
              <w:rPr>
                <w:rFonts w:ascii="宋体" w:hAnsi="宋体"/>
                <w:bCs/>
                <w:sz w:val="18"/>
                <w:szCs w:val="18"/>
              </w:rPr>
              <w:t>二、主营业务利润</w:t>
            </w:r>
          </w:p>
        </w:tc>
        <w:tc>
          <w:tcPr>
            <w:tcW w:w="1671" w:type="dxa"/>
          </w:tcPr>
          <w:p w14:paraId="3EA67B1A">
            <w:pPr>
              <w:ind w:right="162" w:rightChars="77"/>
              <w:jc w:val="center"/>
              <w:rPr>
                <w:rFonts w:ascii="宋体" w:hAnsi="宋体"/>
                <w:bCs/>
                <w:sz w:val="18"/>
                <w:szCs w:val="18"/>
              </w:rPr>
            </w:pPr>
            <w:r>
              <w:rPr>
                <w:rFonts w:ascii="宋体" w:hAnsi="宋体"/>
                <w:bCs/>
                <w:sz w:val="18"/>
                <w:szCs w:val="18"/>
              </w:rPr>
              <w:t>619.83</w:t>
            </w:r>
          </w:p>
        </w:tc>
        <w:tc>
          <w:tcPr>
            <w:tcW w:w="1671" w:type="dxa"/>
          </w:tcPr>
          <w:p w14:paraId="08254549">
            <w:pPr>
              <w:ind w:right="162" w:rightChars="77"/>
              <w:jc w:val="center"/>
              <w:rPr>
                <w:rFonts w:ascii="宋体" w:hAnsi="宋体"/>
                <w:bCs/>
                <w:sz w:val="18"/>
                <w:szCs w:val="18"/>
              </w:rPr>
            </w:pPr>
            <w:r>
              <w:rPr>
                <w:rFonts w:ascii="宋体" w:hAnsi="宋体"/>
                <w:bCs/>
                <w:sz w:val="18"/>
                <w:szCs w:val="18"/>
              </w:rPr>
              <w:t>1803.46</w:t>
            </w:r>
          </w:p>
        </w:tc>
        <w:tc>
          <w:tcPr>
            <w:tcW w:w="1671" w:type="dxa"/>
            <w:tcBorders>
              <w:right w:val="single" w:color="auto" w:sz="4" w:space="0"/>
            </w:tcBorders>
          </w:tcPr>
          <w:p w14:paraId="51EE8A91">
            <w:pPr>
              <w:ind w:right="162" w:rightChars="77"/>
              <w:jc w:val="center"/>
              <w:rPr>
                <w:rFonts w:ascii="宋体" w:hAnsi="宋体"/>
                <w:bCs/>
                <w:sz w:val="18"/>
                <w:szCs w:val="18"/>
              </w:rPr>
            </w:pPr>
            <w:r>
              <w:rPr>
                <w:rFonts w:ascii="宋体" w:hAnsi="宋体"/>
                <w:bCs/>
                <w:sz w:val="18"/>
                <w:szCs w:val="18"/>
              </w:rPr>
              <w:t>2082.1</w:t>
            </w:r>
          </w:p>
        </w:tc>
      </w:tr>
      <w:tr w14:paraId="79438A5F">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895" w:type="dxa"/>
            <w:tcBorders>
              <w:left w:val="single" w:color="auto" w:sz="4" w:space="0"/>
            </w:tcBorders>
          </w:tcPr>
          <w:p w14:paraId="356E0A6F">
            <w:pPr>
              <w:rPr>
                <w:rFonts w:ascii="宋体" w:hAnsi="宋体"/>
                <w:bCs/>
                <w:sz w:val="18"/>
                <w:szCs w:val="18"/>
              </w:rPr>
            </w:pPr>
            <w:r>
              <w:rPr>
                <w:rFonts w:ascii="宋体" w:hAnsi="宋体"/>
                <w:bCs/>
                <w:sz w:val="18"/>
                <w:szCs w:val="18"/>
              </w:rPr>
              <w:t xml:space="preserve">  减:管理费用</w:t>
            </w:r>
          </w:p>
        </w:tc>
        <w:tc>
          <w:tcPr>
            <w:tcW w:w="1671" w:type="dxa"/>
          </w:tcPr>
          <w:p w14:paraId="1FDAB9D5">
            <w:pPr>
              <w:ind w:right="162" w:rightChars="77"/>
              <w:jc w:val="center"/>
              <w:rPr>
                <w:rFonts w:ascii="宋体" w:hAnsi="宋体"/>
                <w:bCs/>
                <w:sz w:val="18"/>
                <w:szCs w:val="18"/>
              </w:rPr>
            </w:pPr>
            <w:r>
              <w:rPr>
                <w:rFonts w:ascii="宋体" w:hAnsi="宋体"/>
                <w:bCs/>
                <w:sz w:val="18"/>
                <w:szCs w:val="18"/>
              </w:rPr>
              <w:t>723.97</w:t>
            </w:r>
          </w:p>
        </w:tc>
        <w:tc>
          <w:tcPr>
            <w:tcW w:w="1671" w:type="dxa"/>
          </w:tcPr>
          <w:p w14:paraId="3F6850AC">
            <w:pPr>
              <w:ind w:right="162" w:rightChars="77"/>
              <w:jc w:val="center"/>
              <w:rPr>
                <w:rFonts w:ascii="宋体" w:hAnsi="宋体"/>
                <w:bCs/>
                <w:sz w:val="18"/>
                <w:szCs w:val="18"/>
              </w:rPr>
            </w:pPr>
            <w:r>
              <w:rPr>
                <w:rFonts w:ascii="宋体" w:hAnsi="宋体"/>
                <w:bCs/>
                <w:sz w:val="18"/>
                <w:szCs w:val="18"/>
              </w:rPr>
              <w:t>795.27</w:t>
            </w:r>
          </w:p>
        </w:tc>
        <w:tc>
          <w:tcPr>
            <w:tcW w:w="1671" w:type="dxa"/>
            <w:tcBorders>
              <w:right w:val="single" w:color="auto" w:sz="4" w:space="0"/>
            </w:tcBorders>
          </w:tcPr>
          <w:p w14:paraId="4CB0213A">
            <w:pPr>
              <w:ind w:right="162" w:rightChars="77"/>
              <w:jc w:val="center"/>
              <w:rPr>
                <w:rFonts w:ascii="宋体" w:hAnsi="宋体"/>
                <w:bCs/>
                <w:sz w:val="18"/>
                <w:szCs w:val="18"/>
              </w:rPr>
            </w:pPr>
            <w:r>
              <w:rPr>
                <w:rFonts w:ascii="宋体" w:hAnsi="宋体"/>
                <w:bCs/>
                <w:sz w:val="18"/>
                <w:szCs w:val="18"/>
              </w:rPr>
              <w:t>1062.06</w:t>
            </w:r>
          </w:p>
        </w:tc>
      </w:tr>
      <w:tr w14:paraId="0004776B">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895" w:type="dxa"/>
            <w:tcBorders>
              <w:left w:val="single" w:color="auto" w:sz="4" w:space="0"/>
            </w:tcBorders>
          </w:tcPr>
          <w:p w14:paraId="39D9AAFF">
            <w:pPr>
              <w:rPr>
                <w:rFonts w:ascii="宋体" w:hAnsi="宋体"/>
                <w:bCs/>
                <w:sz w:val="18"/>
                <w:szCs w:val="18"/>
              </w:rPr>
            </w:pPr>
            <w:r>
              <w:rPr>
                <w:rFonts w:ascii="宋体" w:hAnsi="宋体"/>
                <w:bCs/>
                <w:sz w:val="18"/>
                <w:szCs w:val="18"/>
              </w:rPr>
              <w:t xml:space="preserve">     财务费用</w:t>
            </w:r>
          </w:p>
        </w:tc>
        <w:tc>
          <w:tcPr>
            <w:tcW w:w="1671" w:type="dxa"/>
          </w:tcPr>
          <w:p w14:paraId="1DFCFFA7">
            <w:pPr>
              <w:ind w:right="162" w:rightChars="77"/>
              <w:jc w:val="center"/>
              <w:rPr>
                <w:rFonts w:ascii="宋体" w:hAnsi="宋体"/>
                <w:bCs/>
                <w:sz w:val="18"/>
                <w:szCs w:val="18"/>
              </w:rPr>
            </w:pPr>
            <w:r>
              <w:rPr>
                <w:rFonts w:ascii="宋体" w:hAnsi="宋体"/>
                <w:bCs/>
                <w:sz w:val="18"/>
                <w:szCs w:val="18"/>
              </w:rPr>
              <w:t>139.33</w:t>
            </w:r>
          </w:p>
        </w:tc>
        <w:tc>
          <w:tcPr>
            <w:tcW w:w="1671" w:type="dxa"/>
          </w:tcPr>
          <w:p w14:paraId="31F8F782">
            <w:pPr>
              <w:ind w:right="162" w:rightChars="77"/>
              <w:jc w:val="center"/>
              <w:rPr>
                <w:rFonts w:ascii="宋体" w:hAnsi="宋体"/>
                <w:bCs/>
                <w:sz w:val="18"/>
                <w:szCs w:val="18"/>
              </w:rPr>
            </w:pPr>
            <w:r>
              <w:rPr>
                <w:rFonts w:ascii="宋体" w:hAnsi="宋体"/>
                <w:bCs/>
                <w:sz w:val="18"/>
                <w:szCs w:val="18"/>
              </w:rPr>
              <w:t>208.10</w:t>
            </w:r>
          </w:p>
        </w:tc>
        <w:tc>
          <w:tcPr>
            <w:tcW w:w="1671" w:type="dxa"/>
            <w:tcBorders>
              <w:right w:val="single" w:color="auto" w:sz="4" w:space="0"/>
            </w:tcBorders>
          </w:tcPr>
          <w:p w14:paraId="6524941C">
            <w:pPr>
              <w:ind w:right="162" w:rightChars="77"/>
              <w:jc w:val="center"/>
              <w:rPr>
                <w:rFonts w:ascii="宋体" w:hAnsi="宋体"/>
                <w:bCs/>
                <w:sz w:val="18"/>
                <w:szCs w:val="18"/>
              </w:rPr>
            </w:pPr>
            <w:r>
              <w:rPr>
                <w:rFonts w:ascii="宋体" w:hAnsi="宋体"/>
                <w:bCs/>
                <w:sz w:val="18"/>
                <w:szCs w:val="18"/>
              </w:rPr>
              <w:t>91.68</w:t>
            </w:r>
          </w:p>
        </w:tc>
      </w:tr>
      <w:tr w14:paraId="741FE14C">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895" w:type="dxa"/>
            <w:tcBorders>
              <w:left w:val="single" w:color="auto" w:sz="4" w:space="0"/>
            </w:tcBorders>
          </w:tcPr>
          <w:p w14:paraId="52FDD3B0">
            <w:pPr>
              <w:rPr>
                <w:rFonts w:ascii="宋体" w:hAnsi="宋体"/>
                <w:bCs/>
                <w:sz w:val="18"/>
                <w:szCs w:val="18"/>
              </w:rPr>
            </w:pPr>
            <w:r>
              <w:rPr>
                <w:rFonts w:ascii="宋体" w:hAnsi="宋体"/>
                <w:bCs/>
                <w:sz w:val="18"/>
                <w:szCs w:val="18"/>
              </w:rPr>
              <w:t>三、营业利润</w:t>
            </w:r>
          </w:p>
        </w:tc>
        <w:tc>
          <w:tcPr>
            <w:tcW w:w="1671" w:type="dxa"/>
          </w:tcPr>
          <w:p w14:paraId="66C593DC">
            <w:pPr>
              <w:ind w:right="162" w:rightChars="77"/>
              <w:jc w:val="center"/>
              <w:rPr>
                <w:rFonts w:ascii="宋体" w:hAnsi="宋体"/>
                <w:bCs/>
                <w:sz w:val="18"/>
                <w:szCs w:val="18"/>
              </w:rPr>
            </w:pPr>
            <w:r>
              <w:rPr>
                <w:rFonts w:ascii="宋体" w:hAnsi="宋体"/>
                <w:bCs/>
                <w:sz w:val="18"/>
                <w:szCs w:val="18"/>
              </w:rPr>
              <w:t>-243.48</w:t>
            </w:r>
          </w:p>
        </w:tc>
        <w:tc>
          <w:tcPr>
            <w:tcW w:w="1671" w:type="dxa"/>
          </w:tcPr>
          <w:p w14:paraId="7BE72DB2">
            <w:pPr>
              <w:ind w:right="162" w:rightChars="77"/>
              <w:jc w:val="center"/>
              <w:rPr>
                <w:rFonts w:ascii="宋体" w:hAnsi="宋体"/>
                <w:bCs/>
                <w:sz w:val="18"/>
                <w:szCs w:val="18"/>
              </w:rPr>
            </w:pPr>
            <w:r>
              <w:rPr>
                <w:rFonts w:ascii="宋体" w:hAnsi="宋体"/>
                <w:bCs/>
                <w:sz w:val="18"/>
                <w:szCs w:val="18"/>
              </w:rPr>
              <w:t>800.09</w:t>
            </w:r>
          </w:p>
        </w:tc>
        <w:tc>
          <w:tcPr>
            <w:tcW w:w="1671" w:type="dxa"/>
            <w:tcBorders>
              <w:right w:val="single" w:color="auto" w:sz="4" w:space="0"/>
            </w:tcBorders>
          </w:tcPr>
          <w:p w14:paraId="5C511E8D">
            <w:pPr>
              <w:ind w:right="162" w:rightChars="77"/>
              <w:jc w:val="center"/>
              <w:rPr>
                <w:rFonts w:ascii="宋体" w:hAnsi="宋体"/>
                <w:bCs/>
                <w:sz w:val="18"/>
                <w:szCs w:val="18"/>
              </w:rPr>
            </w:pPr>
            <w:r>
              <w:rPr>
                <w:rFonts w:ascii="宋体" w:hAnsi="宋体"/>
                <w:bCs/>
                <w:sz w:val="18"/>
                <w:szCs w:val="18"/>
              </w:rPr>
              <w:t>928.36</w:t>
            </w:r>
          </w:p>
        </w:tc>
      </w:tr>
      <w:tr w14:paraId="2A19A004">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895" w:type="dxa"/>
            <w:tcBorders>
              <w:left w:val="single" w:color="auto" w:sz="4" w:space="0"/>
            </w:tcBorders>
          </w:tcPr>
          <w:p w14:paraId="33B50175">
            <w:pPr>
              <w:rPr>
                <w:rFonts w:ascii="宋体" w:hAnsi="宋体"/>
                <w:bCs/>
                <w:sz w:val="18"/>
                <w:szCs w:val="18"/>
              </w:rPr>
            </w:pPr>
            <w:r>
              <w:rPr>
                <w:rFonts w:ascii="宋体" w:hAnsi="宋体"/>
                <w:bCs/>
                <w:sz w:val="18"/>
                <w:szCs w:val="18"/>
              </w:rPr>
              <w:t xml:space="preserve">  加:营业外收入</w:t>
            </w:r>
          </w:p>
        </w:tc>
        <w:tc>
          <w:tcPr>
            <w:tcW w:w="1671" w:type="dxa"/>
          </w:tcPr>
          <w:p w14:paraId="6F486F03">
            <w:pPr>
              <w:ind w:right="162" w:rightChars="77"/>
              <w:jc w:val="center"/>
              <w:rPr>
                <w:rFonts w:ascii="宋体" w:hAnsi="宋体"/>
                <w:bCs/>
                <w:sz w:val="18"/>
                <w:szCs w:val="18"/>
              </w:rPr>
            </w:pPr>
            <w:r>
              <w:rPr>
                <w:rFonts w:ascii="宋体" w:hAnsi="宋体"/>
                <w:bCs/>
                <w:sz w:val="18"/>
                <w:szCs w:val="18"/>
              </w:rPr>
              <w:t>1232.82</w:t>
            </w:r>
          </w:p>
        </w:tc>
        <w:tc>
          <w:tcPr>
            <w:tcW w:w="1671" w:type="dxa"/>
          </w:tcPr>
          <w:p w14:paraId="68C01140">
            <w:pPr>
              <w:ind w:right="162" w:rightChars="77"/>
              <w:jc w:val="center"/>
              <w:rPr>
                <w:rFonts w:ascii="宋体" w:hAnsi="宋体"/>
                <w:bCs/>
                <w:sz w:val="18"/>
                <w:szCs w:val="18"/>
              </w:rPr>
            </w:pPr>
            <w:r>
              <w:rPr>
                <w:rFonts w:ascii="宋体" w:hAnsi="宋体"/>
                <w:bCs/>
                <w:sz w:val="18"/>
                <w:szCs w:val="18"/>
              </w:rPr>
              <w:t>38.31</w:t>
            </w:r>
          </w:p>
        </w:tc>
        <w:tc>
          <w:tcPr>
            <w:tcW w:w="1671" w:type="dxa"/>
            <w:tcBorders>
              <w:right w:val="single" w:color="auto" w:sz="4" w:space="0"/>
            </w:tcBorders>
          </w:tcPr>
          <w:p w14:paraId="032279B8">
            <w:pPr>
              <w:ind w:right="162" w:rightChars="77"/>
              <w:jc w:val="center"/>
              <w:rPr>
                <w:rFonts w:ascii="宋体" w:hAnsi="宋体"/>
                <w:bCs/>
                <w:sz w:val="18"/>
                <w:szCs w:val="18"/>
              </w:rPr>
            </w:pPr>
            <w:r>
              <w:rPr>
                <w:rFonts w:ascii="宋体" w:hAnsi="宋体"/>
                <w:bCs/>
                <w:sz w:val="18"/>
                <w:szCs w:val="18"/>
              </w:rPr>
              <w:t>0.35</w:t>
            </w:r>
          </w:p>
        </w:tc>
      </w:tr>
      <w:tr w14:paraId="124A495C">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895" w:type="dxa"/>
            <w:tcBorders>
              <w:left w:val="single" w:color="auto" w:sz="4" w:space="0"/>
            </w:tcBorders>
          </w:tcPr>
          <w:p w14:paraId="0BCA0656">
            <w:pPr>
              <w:rPr>
                <w:rFonts w:ascii="宋体" w:hAnsi="宋体"/>
                <w:bCs/>
                <w:sz w:val="18"/>
                <w:szCs w:val="18"/>
              </w:rPr>
            </w:pPr>
            <w:r>
              <w:rPr>
                <w:rFonts w:ascii="宋体" w:hAnsi="宋体"/>
                <w:bCs/>
                <w:sz w:val="18"/>
                <w:szCs w:val="18"/>
              </w:rPr>
              <w:t xml:space="preserve">  减:营业外支出</w:t>
            </w:r>
          </w:p>
        </w:tc>
        <w:tc>
          <w:tcPr>
            <w:tcW w:w="1671" w:type="dxa"/>
          </w:tcPr>
          <w:p w14:paraId="23D74FD1">
            <w:pPr>
              <w:ind w:right="162" w:rightChars="77"/>
              <w:jc w:val="center"/>
              <w:rPr>
                <w:rFonts w:ascii="宋体" w:hAnsi="宋体"/>
                <w:bCs/>
                <w:sz w:val="18"/>
                <w:szCs w:val="18"/>
              </w:rPr>
            </w:pPr>
            <w:r>
              <w:rPr>
                <w:rFonts w:ascii="宋体" w:hAnsi="宋体"/>
                <w:bCs/>
                <w:sz w:val="18"/>
                <w:szCs w:val="18"/>
              </w:rPr>
              <w:t>3.90</w:t>
            </w:r>
          </w:p>
        </w:tc>
        <w:tc>
          <w:tcPr>
            <w:tcW w:w="1671" w:type="dxa"/>
          </w:tcPr>
          <w:p w14:paraId="009E1814">
            <w:pPr>
              <w:ind w:right="162" w:rightChars="77"/>
              <w:jc w:val="center"/>
              <w:rPr>
                <w:rFonts w:ascii="宋体" w:hAnsi="宋体"/>
                <w:bCs/>
                <w:sz w:val="18"/>
                <w:szCs w:val="18"/>
              </w:rPr>
            </w:pPr>
            <w:r>
              <w:rPr>
                <w:rFonts w:ascii="宋体" w:hAnsi="宋体"/>
                <w:bCs/>
                <w:sz w:val="18"/>
                <w:szCs w:val="18"/>
              </w:rPr>
              <w:t>15.37</w:t>
            </w:r>
          </w:p>
        </w:tc>
        <w:tc>
          <w:tcPr>
            <w:tcW w:w="1671" w:type="dxa"/>
            <w:tcBorders>
              <w:right w:val="single" w:color="auto" w:sz="4" w:space="0"/>
            </w:tcBorders>
          </w:tcPr>
          <w:p w14:paraId="7C02ED8F">
            <w:pPr>
              <w:ind w:right="162" w:rightChars="77"/>
              <w:jc w:val="center"/>
              <w:rPr>
                <w:rFonts w:ascii="宋体" w:hAnsi="宋体"/>
                <w:bCs/>
                <w:sz w:val="18"/>
                <w:szCs w:val="18"/>
              </w:rPr>
            </w:pPr>
            <w:r>
              <w:rPr>
                <w:rFonts w:ascii="宋体" w:hAnsi="宋体"/>
                <w:bCs/>
                <w:sz w:val="18"/>
                <w:szCs w:val="18"/>
              </w:rPr>
              <w:t>0</w:t>
            </w:r>
            <w:r>
              <w:rPr>
                <w:rFonts w:hint="eastAsia" w:ascii="宋体" w:hAnsi="宋体"/>
                <w:bCs/>
                <w:sz w:val="18"/>
                <w:szCs w:val="18"/>
              </w:rPr>
              <w:t>.00</w:t>
            </w:r>
          </w:p>
        </w:tc>
      </w:tr>
      <w:tr w14:paraId="47B18A21">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895" w:type="dxa"/>
            <w:tcBorders>
              <w:left w:val="single" w:color="auto" w:sz="4" w:space="0"/>
            </w:tcBorders>
          </w:tcPr>
          <w:p w14:paraId="765151CB">
            <w:pPr>
              <w:rPr>
                <w:rFonts w:ascii="宋体" w:hAnsi="宋体"/>
                <w:bCs/>
                <w:sz w:val="18"/>
                <w:szCs w:val="18"/>
              </w:rPr>
            </w:pPr>
            <w:r>
              <w:rPr>
                <w:rFonts w:ascii="宋体" w:hAnsi="宋体"/>
                <w:bCs/>
                <w:sz w:val="18"/>
                <w:szCs w:val="18"/>
              </w:rPr>
              <w:t>四、利润总额</w:t>
            </w:r>
          </w:p>
        </w:tc>
        <w:tc>
          <w:tcPr>
            <w:tcW w:w="1671" w:type="dxa"/>
          </w:tcPr>
          <w:p w14:paraId="27BB3E48">
            <w:pPr>
              <w:ind w:right="162" w:rightChars="77"/>
              <w:jc w:val="center"/>
              <w:rPr>
                <w:rFonts w:ascii="宋体" w:hAnsi="宋体"/>
                <w:bCs/>
                <w:sz w:val="18"/>
                <w:szCs w:val="18"/>
              </w:rPr>
            </w:pPr>
            <w:r>
              <w:rPr>
                <w:rFonts w:ascii="宋体" w:hAnsi="宋体"/>
                <w:bCs/>
                <w:sz w:val="18"/>
                <w:szCs w:val="18"/>
              </w:rPr>
              <w:t>985.44</w:t>
            </w:r>
          </w:p>
        </w:tc>
        <w:tc>
          <w:tcPr>
            <w:tcW w:w="1671" w:type="dxa"/>
          </w:tcPr>
          <w:p w14:paraId="65DA3C3A">
            <w:pPr>
              <w:ind w:right="162" w:rightChars="77"/>
              <w:jc w:val="center"/>
              <w:rPr>
                <w:rFonts w:ascii="宋体" w:hAnsi="宋体"/>
                <w:bCs/>
                <w:sz w:val="18"/>
                <w:szCs w:val="18"/>
              </w:rPr>
            </w:pPr>
            <w:r>
              <w:rPr>
                <w:rFonts w:ascii="宋体" w:hAnsi="宋体"/>
                <w:bCs/>
                <w:sz w:val="18"/>
                <w:szCs w:val="18"/>
              </w:rPr>
              <w:t>823.03</w:t>
            </w:r>
          </w:p>
        </w:tc>
        <w:tc>
          <w:tcPr>
            <w:tcW w:w="1671" w:type="dxa"/>
            <w:tcBorders>
              <w:right w:val="single" w:color="auto" w:sz="4" w:space="0"/>
            </w:tcBorders>
          </w:tcPr>
          <w:p w14:paraId="6D600F90">
            <w:pPr>
              <w:ind w:right="162" w:rightChars="77"/>
              <w:jc w:val="center"/>
              <w:rPr>
                <w:rFonts w:ascii="宋体" w:hAnsi="宋体"/>
                <w:bCs/>
                <w:sz w:val="18"/>
                <w:szCs w:val="18"/>
              </w:rPr>
            </w:pPr>
            <w:r>
              <w:rPr>
                <w:rFonts w:ascii="宋体" w:hAnsi="宋体"/>
                <w:bCs/>
                <w:sz w:val="18"/>
                <w:szCs w:val="18"/>
              </w:rPr>
              <w:t>928.71</w:t>
            </w:r>
          </w:p>
        </w:tc>
      </w:tr>
      <w:tr w14:paraId="6B0431B2">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895" w:type="dxa"/>
            <w:tcBorders>
              <w:left w:val="single" w:color="auto" w:sz="4" w:space="0"/>
            </w:tcBorders>
          </w:tcPr>
          <w:p w14:paraId="4AE724DB">
            <w:pPr>
              <w:ind w:firstLine="180" w:firstLineChars="100"/>
              <w:rPr>
                <w:rFonts w:ascii="宋体" w:hAnsi="宋体"/>
                <w:bCs/>
                <w:sz w:val="18"/>
                <w:szCs w:val="18"/>
              </w:rPr>
            </w:pPr>
            <w:r>
              <w:rPr>
                <w:rFonts w:ascii="宋体" w:hAnsi="宋体"/>
                <w:bCs/>
                <w:sz w:val="18"/>
                <w:szCs w:val="18"/>
              </w:rPr>
              <w:t>减:所得税</w:t>
            </w:r>
          </w:p>
        </w:tc>
        <w:tc>
          <w:tcPr>
            <w:tcW w:w="1671" w:type="dxa"/>
          </w:tcPr>
          <w:p w14:paraId="7CA6CC38">
            <w:pPr>
              <w:ind w:right="162" w:rightChars="77"/>
              <w:jc w:val="center"/>
              <w:rPr>
                <w:rFonts w:ascii="宋体" w:hAnsi="宋体"/>
                <w:bCs/>
                <w:sz w:val="18"/>
                <w:szCs w:val="18"/>
              </w:rPr>
            </w:pPr>
            <w:r>
              <w:rPr>
                <w:rFonts w:ascii="宋体" w:hAnsi="宋体"/>
                <w:bCs/>
                <w:sz w:val="18"/>
                <w:szCs w:val="18"/>
              </w:rPr>
              <w:t>10.00</w:t>
            </w:r>
          </w:p>
        </w:tc>
        <w:tc>
          <w:tcPr>
            <w:tcW w:w="1671" w:type="dxa"/>
          </w:tcPr>
          <w:p w14:paraId="7E4D4B2D">
            <w:pPr>
              <w:ind w:right="162" w:rightChars="77"/>
              <w:jc w:val="center"/>
              <w:rPr>
                <w:rFonts w:ascii="宋体" w:hAnsi="宋体"/>
                <w:bCs/>
                <w:sz w:val="18"/>
                <w:szCs w:val="18"/>
              </w:rPr>
            </w:pPr>
            <w:r>
              <w:rPr>
                <w:rFonts w:ascii="宋体" w:hAnsi="宋体"/>
                <w:bCs/>
                <w:sz w:val="18"/>
                <w:szCs w:val="18"/>
              </w:rPr>
              <w:t>0</w:t>
            </w:r>
            <w:r>
              <w:rPr>
                <w:rFonts w:hint="eastAsia" w:ascii="宋体" w:hAnsi="宋体"/>
                <w:bCs/>
                <w:sz w:val="18"/>
                <w:szCs w:val="18"/>
              </w:rPr>
              <w:t>.00</w:t>
            </w:r>
          </w:p>
        </w:tc>
        <w:tc>
          <w:tcPr>
            <w:tcW w:w="1671" w:type="dxa"/>
            <w:tcBorders>
              <w:right w:val="single" w:color="auto" w:sz="4" w:space="0"/>
            </w:tcBorders>
          </w:tcPr>
          <w:p w14:paraId="6226930E">
            <w:pPr>
              <w:ind w:right="162" w:rightChars="77"/>
              <w:jc w:val="center"/>
              <w:rPr>
                <w:rFonts w:ascii="宋体" w:hAnsi="宋体"/>
                <w:bCs/>
                <w:sz w:val="18"/>
                <w:szCs w:val="18"/>
              </w:rPr>
            </w:pPr>
            <w:r>
              <w:rPr>
                <w:rFonts w:ascii="宋体" w:hAnsi="宋体"/>
                <w:bCs/>
                <w:sz w:val="18"/>
                <w:szCs w:val="18"/>
              </w:rPr>
              <w:t>0</w:t>
            </w:r>
            <w:r>
              <w:rPr>
                <w:rFonts w:hint="eastAsia" w:ascii="宋体" w:hAnsi="宋体"/>
                <w:bCs/>
                <w:sz w:val="18"/>
                <w:szCs w:val="18"/>
              </w:rPr>
              <w:t>.00</w:t>
            </w:r>
          </w:p>
        </w:tc>
      </w:tr>
      <w:tr w14:paraId="1115C13C">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895" w:type="dxa"/>
            <w:tcBorders>
              <w:left w:val="single" w:color="auto" w:sz="4" w:space="0"/>
            </w:tcBorders>
          </w:tcPr>
          <w:p w14:paraId="770E908B">
            <w:pPr>
              <w:rPr>
                <w:rFonts w:ascii="宋体" w:hAnsi="宋体"/>
                <w:bCs/>
                <w:sz w:val="18"/>
                <w:szCs w:val="18"/>
              </w:rPr>
            </w:pPr>
            <w:r>
              <w:rPr>
                <w:rFonts w:ascii="宋体" w:hAnsi="宋体"/>
                <w:bCs/>
                <w:sz w:val="18"/>
                <w:szCs w:val="18"/>
              </w:rPr>
              <w:t>五、净利润</w:t>
            </w:r>
          </w:p>
        </w:tc>
        <w:tc>
          <w:tcPr>
            <w:tcW w:w="1671" w:type="dxa"/>
          </w:tcPr>
          <w:p w14:paraId="2AF52643">
            <w:pPr>
              <w:ind w:right="162" w:rightChars="77"/>
              <w:jc w:val="center"/>
              <w:rPr>
                <w:rFonts w:ascii="宋体" w:hAnsi="宋体"/>
                <w:bCs/>
                <w:sz w:val="18"/>
                <w:szCs w:val="18"/>
              </w:rPr>
            </w:pPr>
            <w:r>
              <w:rPr>
                <w:rFonts w:ascii="宋体" w:hAnsi="宋体"/>
                <w:bCs/>
                <w:sz w:val="18"/>
                <w:szCs w:val="18"/>
              </w:rPr>
              <w:t>975.44</w:t>
            </w:r>
          </w:p>
        </w:tc>
        <w:tc>
          <w:tcPr>
            <w:tcW w:w="1671" w:type="dxa"/>
          </w:tcPr>
          <w:p w14:paraId="45D00900">
            <w:pPr>
              <w:ind w:right="162" w:rightChars="77"/>
              <w:jc w:val="center"/>
              <w:rPr>
                <w:rFonts w:ascii="宋体" w:hAnsi="宋体"/>
                <w:bCs/>
                <w:sz w:val="18"/>
                <w:szCs w:val="18"/>
              </w:rPr>
            </w:pPr>
            <w:r>
              <w:rPr>
                <w:rFonts w:ascii="宋体" w:hAnsi="宋体"/>
                <w:bCs/>
                <w:sz w:val="18"/>
                <w:szCs w:val="18"/>
              </w:rPr>
              <w:t>823.03</w:t>
            </w:r>
          </w:p>
        </w:tc>
        <w:tc>
          <w:tcPr>
            <w:tcW w:w="1671" w:type="dxa"/>
            <w:tcBorders>
              <w:right w:val="single" w:color="auto" w:sz="4" w:space="0"/>
            </w:tcBorders>
          </w:tcPr>
          <w:p w14:paraId="584ADA32">
            <w:pPr>
              <w:ind w:right="162" w:rightChars="77"/>
              <w:jc w:val="center"/>
              <w:rPr>
                <w:rFonts w:ascii="宋体" w:hAnsi="宋体"/>
                <w:bCs/>
                <w:sz w:val="18"/>
                <w:szCs w:val="18"/>
              </w:rPr>
            </w:pPr>
            <w:r>
              <w:rPr>
                <w:rFonts w:ascii="宋体" w:hAnsi="宋体"/>
                <w:bCs/>
                <w:sz w:val="18"/>
                <w:szCs w:val="18"/>
              </w:rPr>
              <w:t>928.71</w:t>
            </w:r>
          </w:p>
        </w:tc>
      </w:tr>
      <w:tr w14:paraId="725DCC31">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895" w:type="dxa"/>
            <w:tcBorders>
              <w:left w:val="single" w:color="auto" w:sz="4" w:space="0"/>
            </w:tcBorders>
          </w:tcPr>
          <w:p w14:paraId="46FA1A12">
            <w:pPr>
              <w:rPr>
                <w:rFonts w:ascii="宋体" w:hAnsi="宋体"/>
                <w:bCs/>
                <w:sz w:val="18"/>
                <w:szCs w:val="18"/>
              </w:rPr>
            </w:pPr>
            <w:r>
              <w:rPr>
                <w:rFonts w:hint="eastAsia" w:ascii="宋体" w:hAnsi="宋体"/>
                <w:bCs/>
                <w:sz w:val="18"/>
                <w:szCs w:val="18"/>
              </w:rPr>
              <w:t xml:space="preserve">  销售利润率（%）</w:t>
            </w:r>
          </w:p>
        </w:tc>
        <w:tc>
          <w:tcPr>
            <w:tcW w:w="1671" w:type="dxa"/>
          </w:tcPr>
          <w:p w14:paraId="539455EF">
            <w:pPr>
              <w:ind w:right="162" w:rightChars="77"/>
              <w:jc w:val="center"/>
              <w:rPr>
                <w:rFonts w:ascii="宋体" w:hAnsi="宋体"/>
                <w:bCs/>
                <w:sz w:val="18"/>
                <w:szCs w:val="18"/>
              </w:rPr>
            </w:pPr>
            <w:r>
              <w:rPr>
                <w:rFonts w:hint="eastAsia" w:ascii="宋体" w:hAnsi="宋体"/>
                <w:bCs/>
                <w:sz w:val="18"/>
                <w:szCs w:val="18"/>
              </w:rPr>
              <w:t>7.9</w:t>
            </w:r>
          </w:p>
        </w:tc>
        <w:tc>
          <w:tcPr>
            <w:tcW w:w="1671" w:type="dxa"/>
          </w:tcPr>
          <w:p w14:paraId="2673946A">
            <w:pPr>
              <w:ind w:right="162" w:rightChars="77"/>
              <w:jc w:val="center"/>
              <w:rPr>
                <w:rFonts w:ascii="宋体" w:hAnsi="宋体"/>
                <w:bCs/>
                <w:sz w:val="18"/>
                <w:szCs w:val="18"/>
              </w:rPr>
            </w:pPr>
            <w:r>
              <w:rPr>
                <w:rFonts w:hint="eastAsia" w:ascii="宋体" w:hAnsi="宋体"/>
                <w:bCs/>
                <w:sz w:val="18"/>
                <w:szCs w:val="18"/>
              </w:rPr>
              <w:t>8.1</w:t>
            </w:r>
          </w:p>
        </w:tc>
        <w:tc>
          <w:tcPr>
            <w:tcW w:w="1671" w:type="dxa"/>
            <w:tcBorders>
              <w:right w:val="single" w:color="auto" w:sz="4" w:space="0"/>
            </w:tcBorders>
          </w:tcPr>
          <w:p w14:paraId="4177DC4B">
            <w:pPr>
              <w:ind w:right="162" w:rightChars="77"/>
              <w:jc w:val="center"/>
              <w:rPr>
                <w:rFonts w:ascii="宋体" w:hAnsi="宋体"/>
                <w:bCs/>
                <w:sz w:val="18"/>
                <w:szCs w:val="18"/>
              </w:rPr>
            </w:pPr>
            <w:r>
              <w:rPr>
                <w:rFonts w:hint="eastAsia" w:ascii="宋体" w:hAnsi="宋体"/>
                <w:bCs/>
                <w:sz w:val="18"/>
                <w:szCs w:val="18"/>
              </w:rPr>
              <w:t>8.0</w:t>
            </w:r>
          </w:p>
        </w:tc>
      </w:tr>
      <w:tr w14:paraId="6FA45016">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895" w:type="dxa"/>
            <w:tcBorders>
              <w:left w:val="single" w:color="auto" w:sz="4" w:space="0"/>
            </w:tcBorders>
          </w:tcPr>
          <w:p w14:paraId="6482CD34">
            <w:pPr>
              <w:rPr>
                <w:rFonts w:ascii="宋体" w:hAnsi="宋体"/>
                <w:bCs/>
                <w:sz w:val="18"/>
                <w:szCs w:val="18"/>
              </w:rPr>
            </w:pPr>
            <w:r>
              <w:rPr>
                <w:rFonts w:ascii="宋体" w:hAnsi="宋体"/>
                <w:bCs/>
                <w:sz w:val="18"/>
                <w:szCs w:val="18"/>
              </w:rPr>
              <w:t>六、资产总额（期末）</w:t>
            </w:r>
          </w:p>
        </w:tc>
        <w:tc>
          <w:tcPr>
            <w:tcW w:w="1671" w:type="dxa"/>
          </w:tcPr>
          <w:p w14:paraId="036441B9">
            <w:pPr>
              <w:ind w:right="162" w:rightChars="77"/>
              <w:jc w:val="center"/>
              <w:rPr>
                <w:rFonts w:ascii="宋体" w:hAnsi="宋体"/>
                <w:bCs/>
                <w:sz w:val="18"/>
                <w:szCs w:val="18"/>
              </w:rPr>
            </w:pPr>
            <w:r>
              <w:rPr>
                <w:rFonts w:ascii="宋体" w:hAnsi="宋体"/>
                <w:bCs/>
                <w:sz w:val="18"/>
                <w:szCs w:val="18"/>
              </w:rPr>
              <w:t>4994.34</w:t>
            </w:r>
          </w:p>
        </w:tc>
        <w:tc>
          <w:tcPr>
            <w:tcW w:w="1671" w:type="dxa"/>
          </w:tcPr>
          <w:p w14:paraId="05EC8D55">
            <w:pPr>
              <w:ind w:right="162" w:rightChars="77"/>
              <w:jc w:val="center"/>
              <w:rPr>
                <w:rFonts w:ascii="宋体" w:hAnsi="宋体"/>
                <w:bCs/>
                <w:sz w:val="18"/>
                <w:szCs w:val="18"/>
              </w:rPr>
            </w:pPr>
            <w:r>
              <w:rPr>
                <w:rFonts w:ascii="宋体" w:hAnsi="宋体"/>
                <w:bCs/>
                <w:sz w:val="18"/>
                <w:szCs w:val="18"/>
              </w:rPr>
              <w:t>5221.19</w:t>
            </w:r>
          </w:p>
        </w:tc>
        <w:tc>
          <w:tcPr>
            <w:tcW w:w="1671" w:type="dxa"/>
            <w:tcBorders>
              <w:right w:val="single" w:color="auto" w:sz="4" w:space="0"/>
            </w:tcBorders>
          </w:tcPr>
          <w:p w14:paraId="064776BD">
            <w:pPr>
              <w:ind w:right="162" w:rightChars="77"/>
              <w:jc w:val="center"/>
              <w:rPr>
                <w:rFonts w:ascii="宋体" w:hAnsi="宋体"/>
                <w:bCs/>
                <w:sz w:val="18"/>
                <w:szCs w:val="18"/>
              </w:rPr>
            </w:pPr>
            <w:r>
              <w:rPr>
                <w:rFonts w:ascii="宋体" w:hAnsi="宋体"/>
                <w:bCs/>
                <w:sz w:val="18"/>
                <w:szCs w:val="18"/>
              </w:rPr>
              <w:t>5877.55</w:t>
            </w:r>
          </w:p>
        </w:tc>
      </w:tr>
      <w:tr w14:paraId="33E48A3A">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895" w:type="dxa"/>
            <w:tcBorders>
              <w:left w:val="single" w:color="auto" w:sz="4" w:space="0"/>
            </w:tcBorders>
          </w:tcPr>
          <w:p w14:paraId="2BEEC36A">
            <w:pPr>
              <w:rPr>
                <w:rFonts w:ascii="宋体" w:hAnsi="宋体"/>
                <w:bCs/>
                <w:sz w:val="18"/>
                <w:szCs w:val="18"/>
              </w:rPr>
            </w:pPr>
            <w:r>
              <w:rPr>
                <w:rFonts w:ascii="宋体" w:hAnsi="宋体"/>
                <w:bCs/>
                <w:sz w:val="18"/>
                <w:szCs w:val="18"/>
              </w:rPr>
              <w:t>七、负债总额（期末）</w:t>
            </w:r>
          </w:p>
        </w:tc>
        <w:tc>
          <w:tcPr>
            <w:tcW w:w="1671" w:type="dxa"/>
          </w:tcPr>
          <w:p w14:paraId="3E1FEDE4">
            <w:pPr>
              <w:ind w:right="162" w:rightChars="77"/>
              <w:jc w:val="center"/>
              <w:rPr>
                <w:rFonts w:ascii="宋体" w:hAnsi="宋体"/>
                <w:bCs/>
                <w:sz w:val="18"/>
                <w:szCs w:val="18"/>
              </w:rPr>
            </w:pPr>
            <w:r>
              <w:rPr>
                <w:rFonts w:ascii="宋体" w:hAnsi="宋体"/>
                <w:bCs/>
                <w:sz w:val="18"/>
                <w:szCs w:val="18"/>
              </w:rPr>
              <w:t>3449.35</w:t>
            </w:r>
          </w:p>
        </w:tc>
        <w:tc>
          <w:tcPr>
            <w:tcW w:w="1671" w:type="dxa"/>
          </w:tcPr>
          <w:p w14:paraId="5C7D59F6">
            <w:pPr>
              <w:ind w:right="162" w:rightChars="77"/>
              <w:jc w:val="center"/>
              <w:rPr>
                <w:rFonts w:ascii="宋体" w:hAnsi="宋体"/>
                <w:bCs/>
                <w:sz w:val="18"/>
                <w:szCs w:val="18"/>
              </w:rPr>
            </w:pPr>
            <w:r>
              <w:rPr>
                <w:rFonts w:ascii="宋体" w:hAnsi="宋体"/>
                <w:bCs/>
                <w:sz w:val="18"/>
                <w:szCs w:val="18"/>
              </w:rPr>
              <w:t>3193.99</w:t>
            </w:r>
          </w:p>
        </w:tc>
        <w:tc>
          <w:tcPr>
            <w:tcW w:w="1671" w:type="dxa"/>
            <w:tcBorders>
              <w:right w:val="single" w:color="auto" w:sz="4" w:space="0"/>
            </w:tcBorders>
          </w:tcPr>
          <w:p w14:paraId="44F02FA0">
            <w:pPr>
              <w:ind w:right="162" w:rightChars="77"/>
              <w:jc w:val="center"/>
              <w:rPr>
                <w:rFonts w:ascii="宋体" w:hAnsi="宋体"/>
                <w:bCs/>
                <w:sz w:val="18"/>
                <w:szCs w:val="18"/>
              </w:rPr>
            </w:pPr>
            <w:r>
              <w:rPr>
                <w:rFonts w:ascii="宋体" w:hAnsi="宋体"/>
                <w:bCs/>
                <w:sz w:val="18"/>
                <w:szCs w:val="18"/>
              </w:rPr>
              <w:t>2846.58</w:t>
            </w:r>
          </w:p>
        </w:tc>
      </w:tr>
      <w:tr w14:paraId="15E4E6B8">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895" w:type="dxa"/>
            <w:tcBorders>
              <w:left w:val="single" w:color="auto" w:sz="4" w:space="0"/>
            </w:tcBorders>
          </w:tcPr>
          <w:p w14:paraId="0F33F1C4">
            <w:pPr>
              <w:ind w:firstLine="360" w:firstLineChars="200"/>
              <w:rPr>
                <w:rFonts w:ascii="宋体" w:hAnsi="宋体"/>
                <w:bCs/>
                <w:sz w:val="18"/>
                <w:szCs w:val="18"/>
              </w:rPr>
            </w:pPr>
            <w:r>
              <w:rPr>
                <w:rFonts w:ascii="宋体" w:hAnsi="宋体"/>
                <w:bCs/>
                <w:sz w:val="18"/>
                <w:szCs w:val="18"/>
              </w:rPr>
              <w:t>其中：付息债务</w:t>
            </w:r>
          </w:p>
        </w:tc>
        <w:tc>
          <w:tcPr>
            <w:tcW w:w="1671" w:type="dxa"/>
          </w:tcPr>
          <w:p w14:paraId="6D9D14E1">
            <w:pPr>
              <w:ind w:right="162" w:rightChars="77"/>
              <w:jc w:val="center"/>
              <w:rPr>
                <w:rFonts w:ascii="宋体" w:hAnsi="宋体"/>
                <w:bCs/>
                <w:sz w:val="18"/>
                <w:szCs w:val="18"/>
              </w:rPr>
            </w:pPr>
            <w:r>
              <w:rPr>
                <w:rFonts w:ascii="宋体" w:hAnsi="宋体"/>
                <w:bCs/>
                <w:sz w:val="18"/>
                <w:szCs w:val="18"/>
              </w:rPr>
              <w:t>575.78</w:t>
            </w:r>
          </w:p>
        </w:tc>
        <w:tc>
          <w:tcPr>
            <w:tcW w:w="1671" w:type="dxa"/>
          </w:tcPr>
          <w:p w14:paraId="7076C96E">
            <w:pPr>
              <w:ind w:right="162" w:rightChars="77"/>
              <w:jc w:val="center"/>
              <w:rPr>
                <w:rFonts w:ascii="宋体" w:hAnsi="宋体"/>
                <w:bCs/>
                <w:sz w:val="18"/>
                <w:szCs w:val="18"/>
              </w:rPr>
            </w:pPr>
            <w:r>
              <w:rPr>
                <w:rFonts w:ascii="宋体" w:hAnsi="宋体"/>
                <w:bCs/>
                <w:sz w:val="18"/>
                <w:szCs w:val="18"/>
              </w:rPr>
              <w:t>571.63</w:t>
            </w:r>
          </w:p>
        </w:tc>
        <w:tc>
          <w:tcPr>
            <w:tcW w:w="1671" w:type="dxa"/>
            <w:tcBorders>
              <w:right w:val="single" w:color="auto" w:sz="4" w:space="0"/>
            </w:tcBorders>
          </w:tcPr>
          <w:p w14:paraId="1BDB2601">
            <w:pPr>
              <w:ind w:right="162" w:rightChars="77"/>
              <w:jc w:val="center"/>
              <w:rPr>
                <w:rFonts w:ascii="宋体" w:hAnsi="宋体"/>
                <w:bCs/>
                <w:sz w:val="18"/>
                <w:szCs w:val="18"/>
              </w:rPr>
            </w:pPr>
            <w:r>
              <w:rPr>
                <w:rFonts w:ascii="宋体" w:hAnsi="宋体"/>
                <w:bCs/>
                <w:sz w:val="18"/>
                <w:szCs w:val="18"/>
              </w:rPr>
              <w:t>1500.00</w:t>
            </w:r>
          </w:p>
        </w:tc>
      </w:tr>
      <w:tr w14:paraId="1B3B8CB8">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895" w:type="dxa"/>
            <w:tcBorders>
              <w:left w:val="single" w:color="auto" w:sz="4" w:space="0"/>
              <w:bottom w:val="single" w:color="auto" w:sz="4" w:space="0"/>
            </w:tcBorders>
          </w:tcPr>
          <w:p w14:paraId="629A5965">
            <w:pPr>
              <w:rPr>
                <w:rFonts w:ascii="宋体" w:hAnsi="宋体"/>
                <w:bCs/>
                <w:sz w:val="18"/>
                <w:szCs w:val="18"/>
              </w:rPr>
            </w:pPr>
            <w:r>
              <w:rPr>
                <w:rFonts w:ascii="宋体" w:hAnsi="宋体"/>
                <w:bCs/>
                <w:sz w:val="18"/>
                <w:szCs w:val="18"/>
              </w:rPr>
              <w:t>十、净资产（期末）</w:t>
            </w:r>
          </w:p>
        </w:tc>
        <w:tc>
          <w:tcPr>
            <w:tcW w:w="1671" w:type="dxa"/>
            <w:tcBorders>
              <w:bottom w:val="single" w:color="auto" w:sz="4" w:space="0"/>
            </w:tcBorders>
          </w:tcPr>
          <w:p w14:paraId="6085A150">
            <w:pPr>
              <w:ind w:right="162" w:rightChars="77"/>
              <w:jc w:val="center"/>
              <w:rPr>
                <w:rFonts w:ascii="宋体" w:hAnsi="宋体"/>
                <w:bCs/>
                <w:sz w:val="18"/>
                <w:szCs w:val="18"/>
              </w:rPr>
            </w:pPr>
            <w:r>
              <w:rPr>
                <w:rFonts w:ascii="宋体" w:hAnsi="宋体"/>
                <w:bCs/>
                <w:sz w:val="18"/>
                <w:szCs w:val="18"/>
              </w:rPr>
              <w:t>1544.99</w:t>
            </w:r>
          </w:p>
        </w:tc>
        <w:tc>
          <w:tcPr>
            <w:tcW w:w="1671" w:type="dxa"/>
            <w:tcBorders>
              <w:bottom w:val="single" w:color="auto" w:sz="4" w:space="0"/>
            </w:tcBorders>
          </w:tcPr>
          <w:p w14:paraId="5EF1C07F">
            <w:pPr>
              <w:ind w:right="162" w:rightChars="77"/>
              <w:jc w:val="center"/>
              <w:rPr>
                <w:rFonts w:ascii="宋体" w:hAnsi="宋体"/>
                <w:bCs/>
                <w:sz w:val="18"/>
                <w:szCs w:val="18"/>
              </w:rPr>
            </w:pPr>
            <w:r>
              <w:rPr>
                <w:rFonts w:ascii="宋体" w:hAnsi="宋体"/>
                <w:bCs/>
                <w:sz w:val="18"/>
                <w:szCs w:val="18"/>
              </w:rPr>
              <w:t>2027.20</w:t>
            </w:r>
          </w:p>
        </w:tc>
        <w:tc>
          <w:tcPr>
            <w:tcW w:w="1671" w:type="dxa"/>
            <w:tcBorders>
              <w:bottom w:val="single" w:color="auto" w:sz="4" w:space="0"/>
              <w:right w:val="single" w:color="auto" w:sz="4" w:space="0"/>
            </w:tcBorders>
          </w:tcPr>
          <w:p w14:paraId="18CC9748">
            <w:pPr>
              <w:ind w:right="162" w:rightChars="77"/>
              <w:jc w:val="center"/>
              <w:rPr>
                <w:rFonts w:ascii="宋体" w:hAnsi="宋体"/>
                <w:bCs/>
                <w:sz w:val="18"/>
                <w:szCs w:val="18"/>
              </w:rPr>
            </w:pPr>
            <w:r>
              <w:rPr>
                <w:rFonts w:ascii="宋体" w:hAnsi="宋体"/>
                <w:bCs/>
                <w:sz w:val="18"/>
                <w:szCs w:val="18"/>
              </w:rPr>
              <w:t>3030.97</w:t>
            </w:r>
          </w:p>
        </w:tc>
      </w:tr>
    </w:tbl>
    <w:p w14:paraId="3FAF2831">
      <w:pPr>
        <w:autoSpaceDE w:val="0"/>
        <w:autoSpaceDN w:val="0"/>
        <w:adjustRightInd w:val="0"/>
        <w:snapToGrid w:val="0"/>
        <w:ind w:firstLine="480" w:firstLineChars="200"/>
        <w:rPr>
          <w:rFonts w:ascii="宋体" w:hAnsi="宋体"/>
          <w:sz w:val="24"/>
          <w:szCs w:val="24"/>
        </w:rPr>
      </w:pPr>
    </w:p>
    <w:p w14:paraId="4BEAFA7C">
      <w:pPr>
        <w:autoSpaceDE w:val="0"/>
        <w:autoSpaceDN w:val="0"/>
        <w:adjustRightInd w:val="0"/>
        <w:spacing w:beforeLines="25" w:afterLines="25" w:line="300" w:lineRule="auto"/>
        <w:ind w:firstLine="420" w:firstLineChars="200"/>
        <w:rPr>
          <w:rFonts w:ascii="宋体" w:hAnsi="宋体"/>
          <w:bCs/>
          <w:szCs w:val="21"/>
        </w:rPr>
      </w:pPr>
      <w:r>
        <w:rPr>
          <w:rFonts w:hint="eastAsia" w:ascii="宋体" w:hAnsi="宋体"/>
          <w:bCs/>
          <w:szCs w:val="21"/>
        </w:rPr>
        <w:t>2.预测</w:t>
      </w:r>
      <w:r>
        <w:rPr>
          <w:rFonts w:ascii="宋体" w:hAnsi="宋体"/>
          <w:bCs/>
          <w:szCs w:val="21"/>
        </w:rPr>
        <w:t>盐酸林可霉素</w:t>
      </w:r>
      <w:r>
        <w:rPr>
          <w:rFonts w:hint="eastAsia" w:ascii="宋体" w:hAnsi="宋体"/>
          <w:bCs/>
          <w:szCs w:val="21"/>
        </w:rPr>
        <w:t>产品的销售收入</w:t>
      </w:r>
    </w:p>
    <w:p w14:paraId="0B532502">
      <w:pPr>
        <w:spacing w:line="400" w:lineRule="exact"/>
        <w:ind w:firstLine="315" w:firstLineChars="150"/>
        <w:rPr>
          <w:rFonts w:ascii="宋体" w:hAnsi="宋体"/>
          <w:szCs w:val="21"/>
        </w:rPr>
      </w:pPr>
      <w:r>
        <w:rPr>
          <w:rFonts w:hint="eastAsia" w:ascii="宋体" w:hAnsi="宋体"/>
          <w:szCs w:val="21"/>
        </w:rPr>
        <w:t>（1）</w:t>
      </w:r>
      <w:r>
        <w:rPr>
          <w:rFonts w:ascii="宋体" w:hAnsi="宋体"/>
          <w:szCs w:val="21"/>
        </w:rPr>
        <w:t>收益预测</w:t>
      </w:r>
      <w:r>
        <w:rPr>
          <w:rFonts w:hint="eastAsia" w:ascii="宋体" w:hAnsi="宋体"/>
          <w:szCs w:val="21"/>
        </w:rPr>
        <w:t>分析</w:t>
      </w:r>
    </w:p>
    <w:p w14:paraId="2A285250">
      <w:pPr>
        <w:spacing w:line="400" w:lineRule="exact"/>
        <w:ind w:firstLine="420" w:firstLineChars="200"/>
        <w:rPr>
          <w:rFonts w:ascii="宋体" w:hAnsi="宋体"/>
          <w:szCs w:val="21"/>
        </w:rPr>
      </w:pPr>
      <w:r>
        <w:rPr>
          <w:rFonts w:ascii="宋体" w:hAnsi="宋体"/>
          <w:szCs w:val="21"/>
        </w:rPr>
        <w:t>委估无形资产收入</w:t>
      </w:r>
      <w:r>
        <w:rPr>
          <w:rFonts w:hint="eastAsia" w:ascii="宋体" w:hAnsi="宋体"/>
          <w:szCs w:val="21"/>
        </w:rPr>
        <w:t>是指</w:t>
      </w:r>
      <w:r>
        <w:rPr>
          <w:rFonts w:ascii="宋体" w:hAnsi="宋体"/>
          <w:szCs w:val="21"/>
        </w:rPr>
        <w:t>盐酸林可霉素销售收入</w:t>
      </w:r>
      <w:r>
        <w:rPr>
          <w:rFonts w:hint="eastAsia" w:ascii="宋体" w:hAnsi="宋体"/>
          <w:szCs w:val="21"/>
        </w:rPr>
        <w:t>中所包含的由专利带来的收入，具体是指</w:t>
      </w:r>
      <w:r>
        <w:rPr>
          <w:rFonts w:ascii="宋体" w:hAnsi="宋体"/>
          <w:szCs w:val="21"/>
        </w:rPr>
        <w:t>盐酸林可霉素</w:t>
      </w:r>
      <w:r>
        <w:rPr>
          <w:rFonts w:hint="eastAsia" w:ascii="宋体" w:hAnsi="宋体"/>
          <w:szCs w:val="21"/>
        </w:rPr>
        <w:t>的液体、片剂、胶囊等各项收入的合计收入。</w:t>
      </w:r>
    </w:p>
    <w:p w14:paraId="23470D0B">
      <w:pPr>
        <w:widowControl/>
        <w:spacing w:line="276" w:lineRule="auto"/>
        <w:ind w:firstLine="480"/>
        <w:jc w:val="left"/>
        <w:rPr>
          <w:rFonts w:ascii="宋体" w:hAnsi="宋体"/>
          <w:szCs w:val="21"/>
        </w:rPr>
      </w:pPr>
      <w:bookmarkStart w:id="7" w:name="_Toc339525542"/>
      <w:r>
        <w:rPr>
          <w:rFonts w:ascii="宋体" w:hAnsi="宋体"/>
          <w:szCs w:val="21"/>
        </w:rPr>
        <w:t>2013年我国抗生素产量达12.12万吨，出口3.43万吨，出口</w:t>
      </w:r>
      <w:r>
        <w:rPr>
          <w:rFonts w:hint="eastAsia" w:ascii="宋体" w:hAnsi="宋体"/>
          <w:szCs w:val="21"/>
        </w:rPr>
        <w:t>价值</w:t>
      </w:r>
      <w:r>
        <w:rPr>
          <w:rFonts w:ascii="宋体" w:hAnsi="宋体"/>
          <w:szCs w:val="21"/>
        </w:rPr>
        <w:t>21.91亿美元，占整体原料药出口比重的9.53%，是我国原料药出口规模最大的品种，在国际市场中占有70%份额。当前，我国抗生素的主要竞争对手是印度，印度是目前最大的7-ACA</w:t>
      </w:r>
      <w:r>
        <w:rPr>
          <w:rFonts w:hint="eastAsia" w:ascii="宋体" w:hAnsi="宋体"/>
          <w:szCs w:val="21"/>
        </w:rPr>
        <w:t>（</w:t>
      </w:r>
      <w:r>
        <w:rPr>
          <w:rFonts w:ascii="宋体" w:hAnsi="宋体"/>
          <w:szCs w:val="21"/>
        </w:rPr>
        <w:t>头孢菌素主要原料</w:t>
      </w:r>
      <w:r>
        <w:rPr>
          <w:rFonts w:hint="eastAsia" w:ascii="宋体" w:hAnsi="宋体"/>
          <w:szCs w:val="21"/>
        </w:rPr>
        <w:t>）</w:t>
      </w:r>
      <w:r>
        <w:rPr>
          <w:rFonts w:ascii="宋体" w:hAnsi="宋体"/>
          <w:szCs w:val="21"/>
        </w:rPr>
        <w:t>加工基地与出口国之一，而我国则在青霉素、四环素、土霉素、 庆大霉素、盐酸林可霉素</w:t>
      </w:r>
      <w:r>
        <w:rPr>
          <w:rFonts w:hint="eastAsia" w:ascii="宋体" w:hAnsi="宋体"/>
          <w:szCs w:val="21"/>
        </w:rPr>
        <w:t>（</w:t>
      </w:r>
      <w:r>
        <w:rPr>
          <w:rFonts w:ascii="宋体" w:hAnsi="宋体"/>
          <w:szCs w:val="21"/>
        </w:rPr>
        <w:t>洁霉素</w:t>
      </w:r>
      <w:r>
        <w:rPr>
          <w:rFonts w:hint="eastAsia" w:ascii="宋体" w:hAnsi="宋体"/>
          <w:szCs w:val="21"/>
        </w:rPr>
        <w:t>）</w:t>
      </w:r>
      <w:r>
        <w:rPr>
          <w:rFonts w:ascii="宋体" w:hAnsi="宋体"/>
          <w:szCs w:val="21"/>
        </w:rPr>
        <w:t>、链霉素、螺旋霉素等大宗发酵抗生素产品上占有优势。在未来几年内，由于国内抗生素产量巨大，全球市场几近饱和，主要抗生素类产品的价格除个别品种会有小幅调整外，绝大部分抗生素原料药难有价格回升空间。但是，一些小品种如培南类的高端抗生素产品仍将有一定的增长空间和较高的利润。</w:t>
      </w:r>
    </w:p>
    <w:p w14:paraId="122DE459">
      <w:pPr>
        <w:widowControl/>
        <w:spacing w:line="276" w:lineRule="auto"/>
        <w:ind w:firstLine="480"/>
        <w:jc w:val="left"/>
        <w:rPr>
          <w:rFonts w:ascii="宋体" w:hAnsi="宋体"/>
          <w:szCs w:val="21"/>
        </w:rPr>
      </w:pPr>
      <w:r>
        <w:rPr>
          <w:rFonts w:ascii="宋体" w:hAnsi="宋体"/>
          <w:szCs w:val="21"/>
        </w:rPr>
        <w:t>近年来盐酸林可霉素发展迅速，年均增长约10%，价格持续上涨。</w:t>
      </w:r>
      <w:r>
        <w:rPr>
          <w:rFonts w:hint="eastAsia" w:ascii="宋体" w:hAnsi="宋体"/>
          <w:szCs w:val="21"/>
        </w:rPr>
        <w:t>在</w:t>
      </w:r>
      <w:r>
        <w:rPr>
          <w:rFonts w:ascii="宋体" w:hAnsi="宋体"/>
          <w:szCs w:val="21"/>
        </w:rPr>
        <w:t>出口方面，2009年至2012年的三年快速增长，出口量从958吨跃升至2012年的1963吨，2013年盐酸林可霉素出口增速</w:t>
      </w:r>
      <w:r>
        <w:rPr>
          <w:rFonts w:hint="eastAsia" w:ascii="宋体" w:hAnsi="宋体"/>
          <w:szCs w:val="21"/>
        </w:rPr>
        <w:t>出现</w:t>
      </w:r>
      <w:r>
        <w:rPr>
          <w:rFonts w:ascii="宋体" w:hAnsi="宋体"/>
          <w:szCs w:val="21"/>
        </w:rPr>
        <w:t>下降，出口总量</w:t>
      </w:r>
      <w:r>
        <w:rPr>
          <w:rFonts w:hint="eastAsia" w:ascii="宋体" w:hAnsi="宋体"/>
          <w:szCs w:val="21"/>
        </w:rPr>
        <w:t>达</w:t>
      </w:r>
      <w:r>
        <w:rPr>
          <w:rFonts w:ascii="宋体" w:hAnsi="宋体"/>
          <w:szCs w:val="21"/>
        </w:rPr>
        <w:t>2078吨，出口价格依然坚挺，达到76.7美元/公斤。目前盐酸林可霉素市场行业前</w:t>
      </w:r>
      <w:r>
        <w:rPr>
          <w:rFonts w:hint="eastAsia" w:ascii="宋体" w:hAnsi="宋体"/>
          <w:szCs w:val="21"/>
        </w:rPr>
        <w:t>两</w:t>
      </w:r>
      <w:r>
        <w:rPr>
          <w:rFonts w:ascii="宋体" w:hAnsi="宋体"/>
          <w:szCs w:val="21"/>
        </w:rPr>
        <w:t>家生产企业</w:t>
      </w:r>
      <w:r>
        <w:rPr>
          <w:rFonts w:hint="eastAsia" w:ascii="宋体" w:hAnsi="宋体"/>
          <w:szCs w:val="21"/>
        </w:rPr>
        <w:t>占有大部分市场份额</w:t>
      </w:r>
      <w:r>
        <w:rPr>
          <w:rFonts w:ascii="宋体" w:hAnsi="宋体"/>
          <w:szCs w:val="21"/>
        </w:rPr>
        <w:t>，其中河南南阳普康是全球龙头，年产</w:t>
      </w:r>
      <w:r>
        <w:rPr>
          <w:rFonts w:hint="eastAsia" w:ascii="宋体" w:hAnsi="宋体"/>
          <w:szCs w:val="21"/>
        </w:rPr>
        <w:t>量</w:t>
      </w:r>
      <w:r>
        <w:rPr>
          <w:rFonts w:ascii="宋体" w:hAnsi="宋体"/>
          <w:szCs w:val="21"/>
        </w:rPr>
        <w:t>2400吨，</w:t>
      </w:r>
      <w:r>
        <w:rPr>
          <w:rFonts w:hint="eastAsia" w:ascii="宋体" w:hAnsi="宋体"/>
          <w:szCs w:val="21"/>
        </w:rPr>
        <w:t>约占出口量的一半，</w:t>
      </w:r>
      <w:r>
        <w:rPr>
          <w:rFonts w:ascii="宋体" w:hAnsi="宋体"/>
          <w:szCs w:val="21"/>
        </w:rPr>
        <w:t>其次为天方药业，年产能1300吨</w:t>
      </w:r>
      <w:r>
        <w:rPr>
          <w:rFonts w:hint="eastAsia" w:ascii="宋体" w:hAnsi="宋体"/>
          <w:szCs w:val="21"/>
        </w:rPr>
        <w:t>，约占出口量的四分之一</w:t>
      </w:r>
      <w:r>
        <w:rPr>
          <w:rFonts w:ascii="宋体" w:hAnsi="宋体"/>
          <w:szCs w:val="21"/>
        </w:rPr>
        <w:t>。苏州第四制药厂主要是为自产克林霉素供货，现已被海翔药业收购。</w:t>
      </w:r>
      <w:r>
        <w:rPr>
          <w:rFonts w:hint="eastAsia" w:ascii="宋体" w:hAnsi="宋体"/>
          <w:szCs w:val="21"/>
        </w:rPr>
        <w:t>预测国际市场的销售不会出现大幅度波动，出口销售量基本稳定在2000吨左右。</w:t>
      </w:r>
    </w:p>
    <w:p w14:paraId="6D475BBB">
      <w:pPr>
        <w:autoSpaceDE w:val="0"/>
        <w:autoSpaceDN w:val="0"/>
        <w:adjustRightInd w:val="0"/>
        <w:snapToGrid w:val="0"/>
        <w:ind w:firstLine="420" w:firstLineChars="200"/>
        <w:rPr>
          <w:rFonts w:ascii="宋体" w:hAnsi="宋体"/>
          <w:szCs w:val="21"/>
        </w:rPr>
      </w:pPr>
      <w:r>
        <w:rPr>
          <w:rFonts w:hint="eastAsia" w:ascii="宋体" w:hAnsi="宋体" w:cs="宋体"/>
          <w:szCs w:val="21"/>
        </w:rPr>
        <w:t>①</w:t>
      </w:r>
      <w:r>
        <w:rPr>
          <w:rFonts w:hint="eastAsia" w:ascii="宋体" w:hAnsi="宋体"/>
          <w:szCs w:val="21"/>
        </w:rPr>
        <w:t>国外</w:t>
      </w:r>
      <w:r>
        <w:rPr>
          <w:rFonts w:ascii="宋体" w:hAnsi="宋体"/>
          <w:szCs w:val="21"/>
        </w:rPr>
        <w:t>市场</w:t>
      </w:r>
      <w:r>
        <w:rPr>
          <w:rFonts w:hint="eastAsia" w:ascii="宋体" w:hAnsi="宋体"/>
          <w:szCs w:val="21"/>
        </w:rPr>
        <w:t>销售情况</w:t>
      </w:r>
    </w:p>
    <w:p w14:paraId="5779291D">
      <w:pPr>
        <w:widowControl/>
        <w:spacing w:line="276" w:lineRule="auto"/>
        <w:ind w:firstLine="480"/>
        <w:jc w:val="left"/>
        <w:rPr>
          <w:rFonts w:ascii="宋体" w:hAnsi="宋体"/>
          <w:szCs w:val="21"/>
        </w:rPr>
      </w:pPr>
      <w:r>
        <w:rPr>
          <w:rFonts w:ascii="宋体" w:hAnsi="宋体"/>
          <w:szCs w:val="21"/>
        </w:rPr>
        <w:t>根据国家</w:t>
      </w:r>
      <w:r>
        <w:rPr>
          <w:rFonts w:hint="eastAsia" w:ascii="宋体" w:hAnsi="宋体"/>
          <w:szCs w:val="21"/>
        </w:rPr>
        <w:t>食品药品监督管理局</w:t>
      </w:r>
      <w:r>
        <w:rPr>
          <w:rFonts w:ascii="宋体" w:hAnsi="宋体"/>
          <w:szCs w:val="21"/>
        </w:rPr>
        <w:t>披露的资料，</w:t>
      </w:r>
      <w:r>
        <w:rPr>
          <w:rFonts w:hint="eastAsia" w:ascii="宋体" w:hAnsi="宋体"/>
          <w:szCs w:val="21"/>
        </w:rPr>
        <w:t>未来几年我国</w:t>
      </w:r>
      <w:r>
        <w:rPr>
          <w:rFonts w:ascii="宋体" w:hAnsi="宋体"/>
          <w:szCs w:val="21"/>
        </w:rPr>
        <w:t>盐酸林可霉素</w:t>
      </w:r>
      <w:r>
        <w:rPr>
          <w:rFonts w:hint="eastAsia" w:ascii="宋体" w:hAnsi="宋体"/>
          <w:szCs w:val="21"/>
        </w:rPr>
        <w:t>的出口将在2000吨左右</w:t>
      </w:r>
      <w:r>
        <w:rPr>
          <w:rFonts w:ascii="宋体" w:hAnsi="宋体"/>
          <w:szCs w:val="21"/>
        </w:rPr>
        <w:t>。</w:t>
      </w:r>
      <w:r>
        <w:rPr>
          <w:rFonts w:hint="eastAsia" w:ascii="宋体" w:hAnsi="宋体"/>
          <w:szCs w:val="21"/>
        </w:rPr>
        <w:t>按照目前G企业出口量在国内所占的份额，将有5%的市场份额，即有100吨的产品出口。具体情况见表</w:t>
      </w:r>
      <w:r>
        <w:rPr>
          <w:rFonts w:ascii="宋体" w:hAnsi="宋体"/>
          <w:szCs w:val="21"/>
        </w:rPr>
        <w:t>1-</w:t>
      </w:r>
      <w:r>
        <w:rPr>
          <w:rFonts w:hint="eastAsia" w:ascii="宋体" w:hAnsi="宋体"/>
          <w:szCs w:val="21"/>
        </w:rPr>
        <w:t>3。</w:t>
      </w:r>
    </w:p>
    <w:p w14:paraId="6D48DFA2">
      <w:pPr>
        <w:autoSpaceDE w:val="0"/>
        <w:autoSpaceDN w:val="0"/>
        <w:adjustRightInd w:val="0"/>
        <w:snapToGrid w:val="0"/>
        <w:ind w:firstLine="420" w:firstLineChars="200"/>
        <w:rPr>
          <w:rFonts w:ascii="宋体" w:hAnsi="宋体"/>
          <w:szCs w:val="21"/>
        </w:rPr>
      </w:pPr>
    </w:p>
    <w:p w14:paraId="1C326819">
      <w:pPr>
        <w:spacing w:line="440" w:lineRule="exact"/>
        <w:ind w:firstLine="361" w:firstLineChars="200"/>
        <w:jc w:val="center"/>
        <w:rPr>
          <w:rFonts w:ascii="黑体" w:hAnsi="黑体" w:eastAsia="黑体" w:cs="黑体"/>
          <w:b/>
          <w:bCs/>
          <w:sz w:val="18"/>
          <w:szCs w:val="18"/>
        </w:rPr>
      </w:pPr>
      <w:r>
        <w:rPr>
          <w:rFonts w:hint="eastAsia" w:ascii="黑体" w:hAnsi="黑体" w:eastAsia="黑体" w:cs="黑体"/>
          <w:b/>
          <w:bCs/>
          <w:sz w:val="18"/>
          <w:szCs w:val="18"/>
        </w:rPr>
        <w:t xml:space="preserve">表1-3    </w:t>
      </w:r>
      <w:r>
        <w:rPr>
          <w:rFonts w:hint="eastAsia" w:ascii="黑体" w:hAnsi="黑体" w:eastAsia="黑体" w:cs="黑体"/>
          <w:b/>
          <w:bCs/>
          <w:color w:val="000000"/>
          <w:kern w:val="0"/>
          <w:sz w:val="18"/>
          <w:szCs w:val="18"/>
        </w:rPr>
        <w:t>盐酸林可霉素</w:t>
      </w:r>
      <w:r>
        <w:rPr>
          <w:rFonts w:hint="eastAsia" w:ascii="黑体" w:hAnsi="黑体" w:eastAsia="黑体" w:cs="黑体"/>
          <w:b/>
          <w:bCs/>
          <w:sz w:val="18"/>
          <w:szCs w:val="18"/>
        </w:rPr>
        <w:t>出口及市场占有率情况</w:t>
      </w:r>
    </w:p>
    <w:tbl>
      <w:tblPr>
        <w:tblStyle w:val="8"/>
        <w:tblW w:w="8242" w:type="dxa"/>
        <w:jc w:val="center"/>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65"/>
        <w:gridCol w:w="3088"/>
        <w:gridCol w:w="2272"/>
        <w:gridCol w:w="1417"/>
      </w:tblGrid>
      <w:tr w14:paraId="2B12288C">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65" w:type="dxa"/>
            <w:tcBorders>
              <w:top w:val="single" w:color="auto" w:sz="4" w:space="0"/>
              <w:left w:val="single" w:color="auto" w:sz="4" w:space="0"/>
            </w:tcBorders>
            <w:vAlign w:val="center"/>
          </w:tcPr>
          <w:p w14:paraId="7224C9BC">
            <w:pPr>
              <w:jc w:val="center"/>
              <w:rPr>
                <w:rFonts w:ascii="宋体" w:hAnsi="宋体"/>
                <w:bCs/>
                <w:kern w:val="0"/>
                <w:sz w:val="18"/>
                <w:szCs w:val="18"/>
              </w:rPr>
            </w:pPr>
            <w:r>
              <w:rPr>
                <w:rFonts w:hint="eastAsia" w:ascii="宋体" w:hAnsi="宋体"/>
                <w:bCs/>
                <w:kern w:val="0"/>
                <w:sz w:val="18"/>
                <w:szCs w:val="18"/>
              </w:rPr>
              <w:t>厂家</w:t>
            </w:r>
          </w:p>
        </w:tc>
        <w:tc>
          <w:tcPr>
            <w:tcW w:w="3088" w:type="dxa"/>
            <w:tcBorders>
              <w:top w:val="single" w:color="auto" w:sz="4" w:space="0"/>
            </w:tcBorders>
            <w:vAlign w:val="center"/>
          </w:tcPr>
          <w:p w14:paraId="5B7D9175">
            <w:pPr>
              <w:jc w:val="center"/>
              <w:rPr>
                <w:rFonts w:ascii="宋体" w:hAnsi="宋体"/>
                <w:bCs/>
                <w:kern w:val="0"/>
                <w:sz w:val="18"/>
                <w:szCs w:val="18"/>
              </w:rPr>
            </w:pPr>
            <w:r>
              <w:rPr>
                <w:rFonts w:hint="eastAsia" w:ascii="宋体" w:hAnsi="宋体"/>
                <w:bCs/>
                <w:kern w:val="0"/>
                <w:sz w:val="18"/>
                <w:szCs w:val="18"/>
              </w:rPr>
              <w:t>2013</w:t>
            </w:r>
            <w:r>
              <w:rPr>
                <w:rFonts w:ascii="宋体" w:hAnsi="宋体"/>
                <w:bCs/>
                <w:kern w:val="0"/>
                <w:sz w:val="18"/>
                <w:szCs w:val="18"/>
              </w:rPr>
              <w:t>年</w:t>
            </w:r>
            <w:r>
              <w:rPr>
                <w:rFonts w:hint="eastAsia" w:ascii="宋体" w:hAnsi="宋体"/>
                <w:bCs/>
                <w:kern w:val="0"/>
                <w:sz w:val="18"/>
                <w:szCs w:val="18"/>
              </w:rPr>
              <w:t>出口</w:t>
            </w:r>
            <w:r>
              <w:rPr>
                <w:rFonts w:ascii="宋体" w:hAnsi="宋体"/>
                <w:bCs/>
                <w:kern w:val="0"/>
                <w:sz w:val="18"/>
                <w:szCs w:val="18"/>
              </w:rPr>
              <w:t>量（</w:t>
            </w:r>
            <w:r>
              <w:rPr>
                <w:rFonts w:hint="eastAsia" w:ascii="宋体" w:hAnsi="宋体"/>
                <w:bCs/>
                <w:kern w:val="0"/>
                <w:sz w:val="18"/>
                <w:szCs w:val="18"/>
              </w:rPr>
              <w:t>美元/公斤</w:t>
            </w:r>
            <w:r>
              <w:rPr>
                <w:rFonts w:ascii="宋体" w:hAnsi="宋体"/>
                <w:bCs/>
                <w:kern w:val="0"/>
                <w:sz w:val="18"/>
                <w:szCs w:val="18"/>
              </w:rPr>
              <w:t>）</w:t>
            </w:r>
          </w:p>
        </w:tc>
        <w:tc>
          <w:tcPr>
            <w:tcW w:w="2272" w:type="dxa"/>
            <w:tcBorders>
              <w:top w:val="single" w:color="auto" w:sz="4" w:space="0"/>
            </w:tcBorders>
            <w:vAlign w:val="center"/>
          </w:tcPr>
          <w:p w14:paraId="66843574">
            <w:pPr>
              <w:jc w:val="center"/>
              <w:rPr>
                <w:rFonts w:ascii="宋体" w:hAnsi="宋体"/>
                <w:bCs/>
                <w:kern w:val="0"/>
                <w:sz w:val="18"/>
                <w:szCs w:val="18"/>
              </w:rPr>
            </w:pPr>
            <w:r>
              <w:rPr>
                <w:rFonts w:hint="eastAsia" w:ascii="宋体" w:hAnsi="宋体"/>
                <w:bCs/>
                <w:kern w:val="0"/>
                <w:sz w:val="18"/>
                <w:szCs w:val="18"/>
              </w:rPr>
              <w:t>2013</w:t>
            </w:r>
            <w:r>
              <w:rPr>
                <w:rFonts w:ascii="宋体" w:hAnsi="宋体"/>
                <w:bCs/>
                <w:kern w:val="0"/>
                <w:sz w:val="18"/>
                <w:szCs w:val="18"/>
              </w:rPr>
              <w:t>年</w:t>
            </w:r>
            <w:r>
              <w:rPr>
                <w:rFonts w:hint="eastAsia" w:ascii="宋体" w:hAnsi="宋体"/>
                <w:bCs/>
                <w:kern w:val="0"/>
                <w:sz w:val="18"/>
                <w:szCs w:val="18"/>
              </w:rPr>
              <w:t>出口</w:t>
            </w:r>
            <w:r>
              <w:rPr>
                <w:rFonts w:ascii="宋体" w:hAnsi="宋体"/>
                <w:bCs/>
                <w:kern w:val="0"/>
                <w:sz w:val="18"/>
                <w:szCs w:val="18"/>
              </w:rPr>
              <w:t>量（吨）</w:t>
            </w:r>
          </w:p>
        </w:tc>
        <w:tc>
          <w:tcPr>
            <w:tcW w:w="1417" w:type="dxa"/>
            <w:tcBorders>
              <w:top w:val="single" w:color="auto" w:sz="4" w:space="0"/>
              <w:right w:val="single" w:color="auto" w:sz="4" w:space="0"/>
            </w:tcBorders>
          </w:tcPr>
          <w:p w14:paraId="5C4F46D2">
            <w:pPr>
              <w:jc w:val="center"/>
              <w:rPr>
                <w:rFonts w:ascii="宋体" w:hAnsi="宋体"/>
                <w:bCs/>
                <w:kern w:val="0"/>
                <w:sz w:val="18"/>
                <w:szCs w:val="18"/>
              </w:rPr>
            </w:pPr>
            <w:r>
              <w:rPr>
                <w:rFonts w:ascii="宋体" w:hAnsi="宋体"/>
                <w:bCs/>
                <w:kern w:val="0"/>
                <w:sz w:val="18"/>
                <w:szCs w:val="18"/>
              </w:rPr>
              <w:t>市场占有率</w:t>
            </w:r>
            <w:r>
              <w:rPr>
                <w:rFonts w:hint="eastAsia" w:ascii="宋体" w:hAnsi="宋体"/>
                <w:bCs/>
                <w:kern w:val="0"/>
                <w:sz w:val="18"/>
                <w:szCs w:val="18"/>
              </w:rPr>
              <w:t>（%）</w:t>
            </w:r>
          </w:p>
        </w:tc>
      </w:tr>
      <w:tr w14:paraId="1ED09040">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65" w:type="dxa"/>
            <w:tcBorders>
              <w:left w:val="single" w:color="auto" w:sz="4" w:space="0"/>
            </w:tcBorders>
          </w:tcPr>
          <w:p w14:paraId="279644DF">
            <w:pPr>
              <w:jc w:val="center"/>
              <w:rPr>
                <w:rFonts w:ascii="宋体" w:hAnsi="宋体"/>
                <w:bCs/>
                <w:kern w:val="0"/>
                <w:sz w:val="18"/>
                <w:szCs w:val="18"/>
              </w:rPr>
            </w:pPr>
            <w:r>
              <w:rPr>
                <w:rFonts w:hint="eastAsia" w:ascii="宋体" w:hAnsi="宋体"/>
                <w:bCs/>
                <w:kern w:val="0"/>
                <w:sz w:val="18"/>
                <w:szCs w:val="18"/>
              </w:rPr>
              <w:t>河南</w:t>
            </w:r>
            <w:r>
              <w:rPr>
                <w:rFonts w:ascii="宋体" w:hAnsi="宋体" w:cs="宋体"/>
                <w:bCs/>
                <w:color w:val="000000"/>
                <w:kern w:val="0"/>
                <w:sz w:val="18"/>
                <w:szCs w:val="18"/>
              </w:rPr>
              <w:t>普康</w:t>
            </w:r>
          </w:p>
        </w:tc>
        <w:tc>
          <w:tcPr>
            <w:tcW w:w="3088" w:type="dxa"/>
          </w:tcPr>
          <w:p w14:paraId="577F87B2">
            <w:pPr>
              <w:jc w:val="center"/>
              <w:rPr>
                <w:rFonts w:ascii="宋体" w:hAnsi="宋体"/>
                <w:bCs/>
                <w:kern w:val="0"/>
                <w:sz w:val="18"/>
                <w:szCs w:val="18"/>
              </w:rPr>
            </w:pPr>
            <w:r>
              <w:rPr>
                <w:rFonts w:hint="eastAsia" w:ascii="宋体" w:hAnsi="宋体"/>
                <w:bCs/>
                <w:kern w:val="0"/>
                <w:sz w:val="18"/>
                <w:szCs w:val="18"/>
              </w:rPr>
              <w:t>76</w:t>
            </w:r>
          </w:p>
        </w:tc>
        <w:tc>
          <w:tcPr>
            <w:tcW w:w="2272" w:type="dxa"/>
          </w:tcPr>
          <w:p w14:paraId="5CD46341">
            <w:pPr>
              <w:jc w:val="center"/>
              <w:rPr>
                <w:rFonts w:ascii="宋体" w:hAnsi="宋体"/>
                <w:bCs/>
                <w:kern w:val="0"/>
                <w:sz w:val="18"/>
                <w:szCs w:val="18"/>
              </w:rPr>
            </w:pPr>
            <w:r>
              <w:rPr>
                <w:rFonts w:hint="eastAsia" w:ascii="宋体" w:hAnsi="宋体"/>
                <w:bCs/>
                <w:kern w:val="0"/>
                <w:sz w:val="18"/>
                <w:szCs w:val="18"/>
              </w:rPr>
              <w:t>1000</w:t>
            </w:r>
          </w:p>
        </w:tc>
        <w:tc>
          <w:tcPr>
            <w:tcW w:w="1417" w:type="dxa"/>
            <w:tcBorders>
              <w:right w:val="single" w:color="auto" w:sz="4" w:space="0"/>
            </w:tcBorders>
          </w:tcPr>
          <w:p w14:paraId="44254B9D">
            <w:pPr>
              <w:jc w:val="center"/>
              <w:rPr>
                <w:rFonts w:ascii="宋体" w:hAnsi="宋体"/>
                <w:bCs/>
                <w:kern w:val="0"/>
                <w:sz w:val="18"/>
                <w:szCs w:val="18"/>
              </w:rPr>
            </w:pPr>
            <w:r>
              <w:rPr>
                <w:rFonts w:hint="eastAsia" w:ascii="宋体" w:hAnsi="宋体"/>
                <w:bCs/>
                <w:kern w:val="0"/>
                <w:sz w:val="18"/>
                <w:szCs w:val="18"/>
              </w:rPr>
              <w:t>50</w:t>
            </w:r>
          </w:p>
        </w:tc>
      </w:tr>
      <w:tr w14:paraId="5E1DBC34">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65" w:type="dxa"/>
            <w:tcBorders>
              <w:left w:val="single" w:color="auto" w:sz="4" w:space="0"/>
            </w:tcBorders>
          </w:tcPr>
          <w:p w14:paraId="26B312D9">
            <w:pPr>
              <w:jc w:val="center"/>
              <w:rPr>
                <w:rFonts w:ascii="宋体" w:hAnsi="宋体"/>
                <w:bCs/>
                <w:kern w:val="0"/>
                <w:sz w:val="18"/>
                <w:szCs w:val="18"/>
              </w:rPr>
            </w:pPr>
            <w:r>
              <w:rPr>
                <w:rFonts w:ascii="宋体" w:hAnsi="宋体" w:cs="宋体"/>
                <w:bCs/>
                <w:color w:val="000000"/>
                <w:kern w:val="0"/>
                <w:sz w:val="18"/>
                <w:szCs w:val="18"/>
              </w:rPr>
              <w:t>天方药业</w:t>
            </w:r>
          </w:p>
        </w:tc>
        <w:tc>
          <w:tcPr>
            <w:tcW w:w="3088" w:type="dxa"/>
          </w:tcPr>
          <w:p w14:paraId="6E081F26">
            <w:pPr>
              <w:jc w:val="center"/>
              <w:rPr>
                <w:rFonts w:ascii="宋体" w:hAnsi="宋体"/>
                <w:bCs/>
                <w:kern w:val="0"/>
                <w:sz w:val="18"/>
                <w:szCs w:val="18"/>
              </w:rPr>
            </w:pPr>
            <w:r>
              <w:rPr>
                <w:rFonts w:hint="eastAsia" w:ascii="宋体" w:hAnsi="宋体"/>
                <w:bCs/>
                <w:kern w:val="0"/>
                <w:sz w:val="18"/>
                <w:szCs w:val="18"/>
              </w:rPr>
              <w:t>76</w:t>
            </w:r>
          </w:p>
        </w:tc>
        <w:tc>
          <w:tcPr>
            <w:tcW w:w="2272" w:type="dxa"/>
          </w:tcPr>
          <w:p w14:paraId="2DA400B2">
            <w:pPr>
              <w:jc w:val="center"/>
              <w:rPr>
                <w:rFonts w:ascii="宋体" w:hAnsi="宋体"/>
                <w:bCs/>
                <w:kern w:val="0"/>
                <w:sz w:val="18"/>
                <w:szCs w:val="18"/>
              </w:rPr>
            </w:pPr>
            <w:r>
              <w:rPr>
                <w:rFonts w:hint="eastAsia" w:ascii="宋体" w:hAnsi="宋体"/>
                <w:bCs/>
                <w:kern w:val="0"/>
                <w:sz w:val="18"/>
                <w:szCs w:val="18"/>
              </w:rPr>
              <w:t>500</w:t>
            </w:r>
          </w:p>
        </w:tc>
        <w:tc>
          <w:tcPr>
            <w:tcW w:w="1417" w:type="dxa"/>
            <w:tcBorders>
              <w:right w:val="single" w:color="auto" w:sz="4" w:space="0"/>
            </w:tcBorders>
          </w:tcPr>
          <w:p w14:paraId="2D92B778">
            <w:pPr>
              <w:jc w:val="center"/>
              <w:rPr>
                <w:rFonts w:ascii="宋体" w:hAnsi="宋体"/>
                <w:bCs/>
                <w:kern w:val="0"/>
                <w:sz w:val="18"/>
                <w:szCs w:val="18"/>
              </w:rPr>
            </w:pPr>
            <w:r>
              <w:rPr>
                <w:rFonts w:hint="eastAsia" w:ascii="宋体" w:hAnsi="宋体"/>
                <w:bCs/>
                <w:kern w:val="0"/>
                <w:sz w:val="18"/>
                <w:szCs w:val="18"/>
              </w:rPr>
              <w:t>25</w:t>
            </w:r>
          </w:p>
        </w:tc>
      </w:tr>
      <w:tr w14:paraId="406251EF">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65" w:type="dxa"/>
            <w:tcBorders>
              <w:left w:val="single" w:color="auto" w:sz="4" w:space="0"/>
            </w:tcBorders>
          </w:tcPr>
          <w:p w14:paraId="08CEA332">
            <w:pPr>
              <w:jc w:val="center"/>
              <w:rPr>
                <w:rFonts w:ascii="宋体" w:hAnsi="宋体"/>
                <w:bCs/>
                <w:kern w:val="0"/>
                <w:sz w:val="18"/>
                <w:szCs w:val="18"/>
              </w:rPr>
            </w:pPr>
            <w:r>
              <w:rPr>
                <w:rFonts w:hint="eastAsia" w:ascii="宋体" w:hAnsi="宋体"/>
                <w:bCs/>
                <w:kern w:val="0"/>
                <w:sz w:val="18"/>
                <w:szCs w:val="18"/>
              </w:rPr>
              <w:t>G企业</w:t>
            </w:r>
          </w:p>
        </w:tc>
        <w:tc>
          <w:tcPr>
            <w:tcW w:w="3088" w:type="dxa"/>
          </w:tcPr>
          <w:p w14:paraId="42E075B5">
            <w:pPr>
              <w:jc w:val="center"/>
              <w:rPr>
                <w:rFonts w:ascii="宋体" w:hAnsi="宋体"/>
                <w:bCs/>
                <w:kern w:val="0"/>
                <w:sz w:val="18"/>
                <w:szCs w:val="18"/>
              </w:rPr>
            </w:pPr>
            <w:r>
              <w:rPr>
                <w:rFonts w:hint="eastAsia" w:ascii="宋体" w:hAnsi="宋体"/>
                <w:bCs/>
                <w:kern w:val="0"/>
                <w:sz w:val="18"/>
                <w:szCs w:val="18"/>
              </w:rPr>
              <w:t>76</w:t>
            </w:r>
          </w:p>
        </w:tc>
        <w:tc>
          <w:tcPr>
            <w:tcW w:w="2272" w:type="dxa"/>
          </w:tcPr>
          <w:p w14:paraId="58ECB9EC">
            <w:pPr>
              <w:jc w:val="center"/>
              <w:rPr>
                <w:rFonts w:ascii="宋体" w:hAnsi="宋体"/>
                <w:bCs/>
                <w:kern w:val="0"/>
                <w:sz w:val="18"/>
                <w:szCs w:val="18"/>
              </w:rPr>
            </w:pPr>
            <w:r>
              <w:rPr>
                <w:rFonts w:hint="eastAsia" w:ascii="宋体" w:hAnsi="宋体"/>
                <w:bCs/>
                <w:kern w:val="0"/>
                <w:sz w:val="18"/>
                <w:szCs w:val="18"/>
              </w:rPr>
              <w:t>100</w:t>
            </w:r>
          </w:p>
        </w:tc>
        <w:tc>
          <w:tcPr>
            <w:tcW w:w="1417" w:type="dxa"/>
            <w:tcBorders>
              <w:right w:val="single" w:color="auto" w:sz="4" w:space="0"/>
            </w:tcBorders>
          </w:tcPr>
          <w:p w14:paraId="1B213D02">
            <w:pPr>
              <w:jc w:val="center"/>
              <w:rPr>
                <w:rFonts w:ascii="宋体" w:hAnsi="宋体"/>
                <w:bCs/>
                <w:kern w:val="0"/>
                <w:sz w:val="18"/>
                <w:szCs w:val="18"/>
              </w:rPr>
            </w:pPr>
            <w:r>
              <w:rPr>
                <w:rFonts w:hint="eastAsia" w:ascii="宋体" w:hAnsi="宋体"/>
                <w:bCs/>
                <w:kern w:val="0"/>
                <w:sz w:val="18"/>
                <w:szCs w:val="18"/>
              </w:rPr>
              <w:t>5</w:t>
            </w:r>
          </w:p>
        </w:tc>
      </w:tr>
      <w:tr w14:paraId="5B06A5B5">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65" w:type="dxa"/>
            <w:tcBorders>
              <w:left w:val="single" w:color="auto" w:sz="4" w:space="0"/>
              <w:bottom w:val="single" w:color="auto" w:sz="4" w:space="0"/>
            </w:tcBorders>
          </w:tcPr>
          <w:p w14:paraId="5DD29773">
            <w:pPr>
              <w:jc w:val="center"/>
              <w:rPr>
                <w:rFonts w:ascii="宋体" w:hAnsi="宋体"/>
                <w:bCs/>
                <w:kern w:val="0"/>
                <w:sz w:val="18"/>
                <w:szCs w:val="18"/>
              </w:rPr>
            </w:pPr>
            <w:r>
              <w:rPr>
                <w:rFonts w:hint="eastAsia" w:ascii="宋体" w:hAnsi="宋体"/>
                <w:bCs/>
                <w:kern w:val="0"/>
                <w:sz w:val="18"/>
                <w:szCs w:val="18"/>
              </w:rPr>
              <w:t>其他企业</w:t>
            </w:r>
          </w:p>
        </w:tc>
        <w:tc>
          <w:tcPr>
            <w:tcW w:w="3088" w:type="dxa"/>
            <w:tcBorders>
              <w:bottom w:val="single" w:color="auto" w:sz="4" w:space="0"/>
            </w:tcBorders>
          </w:tcPr>
          <w:p w14:paraId="63251AB1">
            <w:pPr>
              <w:jc w:val="center"/>
              <w:rPr>
                <w:rFonts w:ascii="宋体" w:hAnsi="宋体"/>
                <w:bCs/>
                <w:kern w:val="0"/>
                <w:sz w:val="18"/>
                <w:szCs w:val="18"/>
              </w:rPr>
            </w:pPr>
            <w:r>
              <w:rPr>
                <w:rFonts w:hint="eastAsia" w:ascii="宋体" w:hAnsi="宋体"/>
                <w:bCs/>
                <w:kern w:val="0"/>
                <w:sz w:val="18"/>
                <w:szCs w:val="18"/>
              </w:rPr>
              <w:t>76</w:t>
            </w:r>
          </w:p>
        </w:tc>
        <w:tc>
          <w:tcPr>
            <w:tcW w:w="2272" w:type="dxa"/>
            <w:tcBorders>
              <w:bottom w:val="single" w:color="auto" w:sz="4" w:space="0"/>
            </w:tcBorders>
          </w:tcPr>
          <w:p w14:paraId="15236503">
            <w:pPr>
              <w:jc w:val="center"/>
              <w:rPr>
                <w:rFonts w:ascii="宋体" w:hAnsi="宋体"/>
                <w:bCs/>
                <w:kern w:val="0"/>
                <w:sz w:val="18"/>
                <w:szCs w:val="18"/>
              </w:rPr>
            </w:pPr>
            <w:r>
              <w:rPr>
                <w:rFonts w:hint="eastAsia" w:ascii="宋体" w:hAnsi="宋体"/>
                <w:bCs/>
                <w:kern w:val="0"/>
                <w:sz w:val="18"/>
                <w:szCs w:val="18"/>
              </w:rPr>
              <w:t>400</w:t>
            </w:r>
          </w:p>
        </w:tc>
        <w:tc>
          <w:tcPr>
            <w:tcW w:w="1417" w:type="dxa"/>
            <w:tcBorders>
              <w:bottom w:val="single" w:color="auto" w:sz="4" w:space="0"/>
              <w:right w:val="single" w:color="auto" w:sz="4" w:space="0"/>
            </w:tcBorders>
          </w:tcPr>
          <w:p w14:paraId="7E3DB5D6">
            <w:pPr>
              <w:jc w:val="center"/>
              <w:rPr>
                <w:rFonts w:ascii="宋体" w:hAnsi="宋体"/>
                <w:bCs/>
                <w:kern w:val="0"/>
                <w:sz w:val="18"/>
                <w:szCs w:val="18"/>
              </w:rPr>
            </w:pPr>
            <w:r>
              <w:rPr>
                <w:rFonts w:hint="eastAsia" w:ascii="宋体" w:hAnsi="宋体"/>
                <w:bCs/>
                <w:kern w:val="0"/>
                <w:sz w:val="18"/>
                <w:szCs w:val="18"/>
              </w:rPr>
              <w:t>20</w:t>
            </w:r>
          </w:p>
        </w:tc>
      </w:tr>
    </w:tbl>
    <w:p w14:paraId="343EED29">
      <w:pPr>
        <w:jc w:val="center"/>
        <w:rPr>
          <w:rFonts w:ascii="宋体" w:hAnsi="宋体"/>
          <w:szCs w:val="21"/>
        </w:rPr>
      </w:pPr>
    </w:p>
    <w:p w14:paraId="2566AAAC">
      <w:pPr>
        <w:autoSpaceDE w:val="0"/>
        <w:autoSpaceDN w:val="0"/>
        <w:adjustRightInd w:val="0"/>
        <w:snapToGrid w:val="0"/>
        <w:ind w:firstLine="420" w:firstLineChars="200"/>
        <w:rPr>
          <w:rFonts w:ascii="宋体" w:hAnsi="宋体"/>
          <w:szCs w:val="21"/>
        </w:rPr>
      </w:pPr>
      <w:r>
        <w:rPr>
          <w:rFonts w:hint="eastAsia" w:ascii="宋体" w:hAnsi="宋体" w:cs="宋体"/>
          <w:szCs w:val="21"/>
        </w:rPr>
        <w:t>②</w:t>
      </w:r>
      <w:r>
        <w:rPr>
          <w:rFonts w:ascii="宋体" w:hAnsi="宋体"/>
          <w:szCs w:val="21"/>
        </w:rPr>
        <w:t>内销市场发展规划</w:t>
      </w:r>
    </w:p>
    <w:p w14:paraId="53816200">
      <w:pPr>
        <w:autoSpaceDE w:val="0"/>
        <w:autoSpaceDN w:val="0"/>
        <w:adjustRightInd w:val="0"/>
        <w:snapToGrid w:val="0"/>
        <w:ind w:firstLine="420" w:firstLineChars="200"/>
        <w:rPr>
          <w:rFonts w:ascii="宋体" w:hAnsi="宋体"/>
          <w:szCs w:val="21"/>
        </w:rPr>
      </w:pPr>
      <w:r>
        <w:rPr>
          <w:rFonts w:hint="eastAsia" w:ascii="宋体" w:hAnsi="宋体"/>
          <w:szCs w:val="21"/>
        </w:rPr>
        <w:t>这里假定G企业未来的公司战略没有发生重大变化，根据G企业的历史销售收入，预测未来若干年的销售收入将稳定在前三年的水平，未来年份的价格也根据前三年的平均水平确定，具体预测如表1-4、表1-5所示。</w:t>
      </w:r>
    </w:p>
    <w:p w14:paraId="6AAC8A29">
      <w:pPr>
        <w:autoSpaceDE w:val="0"/>
        <w:autoSpaceDN w:val="0"/>
        <w:adjustRightInd w:val="0"/>
        <w:snapToGrid w:val="0"/>
        <w:ind w:firstLine="420" w:firstLineChars="200"/>
        <w:rPr>
          <w:rFonts w:ascii="宋体" w:hAnsi="宋体"/>
          <w:szCs w:val="21"/>
        </w:rPr>
      </w:pPr>
    </w:p>
    <w:p w14:paraId="30DD7D41">
      <w:pPr>
        <w:spacing w:line="440" w:lineRule="exact"/>
        <w:ind w:firstLine="361" w:firstLineChars="200"/>
        <w:jc w:val="center"/>
        <w:rPr>
          <w:rFonts w:ascii="黑体" w:hAnsi="黑体" w:eastAsia="黑体" w:cs="黑体"/>
          <w:b/>
          <w:bCs/>
          <w:sz w:val="18"/>
          <w:szCs w:val="18"/>
        </w:rPr>
      </w:pPr>
      <w:r>
        <w:rPr>
          <w:rFonts w:hint="eastAsia" w:ascii="黑体" w:hAnsi="黑体" w:eastAsia="黑体" w:cs="黑体"/>
          <w:b/>
          <w:bCs/>
          <w:sz w:val="18"/>
          <w:szCs w:val="18"/>
        </w:rPr>
        <w:t>表1-4    内销市场销售情况统计表</w:t>
      </w:r>
      <w:r>
        <w:rPr>
          <w:rStyle w:val="10"/>
          <w:rFonts w:hint="eastAsia" w:ascii="黑体" w:hAnsi="黑体" w:eastAsia="黑体" w:cs="黑体"/>
          <w:b/>
          <w:bCs/>
          <w:sz w:val="18"/>
          <w:szCs w:val="18"/>
        </w:rPr>
        <w:footnoteReference w:id="1"/>
      </w:r>
    </w:p>
    <w:tbl>
      <w:tblPr>
        <w:tblStyle w:val="8"/>
        <w:tblW w:w="9078" w:type="dxa"/>
        <w:jc w:val="center"/>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1365"/>
        <w:gridCol w:w="1662"/>
        <w:gridCol w:w="1894"/>
        <w:gridCol w:w="1781"/>
      </w:tblGrid>
      <w:tr w14:paraId="3C5866A9">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tcBorders>
          </w:tcPr>
          <w:p w14:paraId="08020CF6">
            <w:pPr>
              <w:jc w:val="center"/>
              <w:rPr>
                <w:rFonts w:ascii="宋体" w:hAnsi="宋体"/>
                <w:bCs/>
                <w:kern w:val="0"/>
                <w:sz w:val="18"/>
                <w:szCs w:val="18"/>
              </w:rPr>
            </w:pPr>
            <w:r>
              <w:rPr>
                <w:rFonts w:ascii="宋体" w:hAnsi="宋体"/>
                <w:bCs/>
                <w:kern w:val="0"/>
                <w:sz w:val="18"/>
                <w:szCs w:val="18"/>
              </w:rPr>
              <w:t>年    度</w:t>
            </w:r>
          </w:p>
        </w:tc>
        <w:tc>
          <w:tcPr>
            <w:tcW w:w="1365" w:type="dxa"/>
            <w:tcBorders>
              <w:top w:val="single" w:color="auto" w:sz="4" w:space="0"/>
            </w:tcBorders>
          </w:tcPr>
          <w:p w14:paraId="3943D43C">
            <w:pPr>
              <w:jc w:val="center"/>
              <w:rPr>
                <w:rFonts w:ascii="宋体" w:hAnsi="宋体"/>
                <w:bCs/>
                <w:kern w:val="0"/>
                <w:sz w:val="18"/>
                <w:szCs w:val="18"/>
              </w:rPr>
            </w:pPr>
            <w:r>
              <w:rPr>
                <w:rFonts w:ascii="宋体" w:hAnsi="宋体"/>
                <w:bCs/>
                <w:kern w:val="0"/>
                <w:sz w:val="18"/>
                <w:szCs w:val="18"/>
              </w:rPr>
              <w:t>20</w:t>
            </w:r>
            <w:r>
              <w:rPr>
                <w:rFonts w:hint="eastAsia" w:ascii="宋体" w:hAnsi="宋体"/>
                <w:bCs/>
                <w:kern w:val="0"/>
                <w:sz w:val="18"/>
                <w:szCs w:val="18"/>
              </w:rPr>
              <w:t>10</w:t>
            </w:r>
            <w:r>
              <w:rPr>
                <w:rFonts w:ascii="宋体" w:hAnsi="宋体"/>
                <w:bCs/>
                <w:kern w:val="0"/>
                <w:sz w:val="18"/>
                <w:szCs w:val="18"/>
              </w:rPr>
              <w:t>年</w:t>
            </w:r>
          </w:p>
        </w:tc>
        <w:tc>
          <w:tcPr>
            <w:tcW w:w="1662" w:type="dxa"/>
            <w:tcBorders>
              <w:top w:val="single" w:color="auto" w:sz="4" w:space="0"/>
            </w:tcBorders>
          </w:tcPr>
          <w:p w14:paraId="4AECB70B">
            <w:pPr>
              <w:jc w:val="center"/>
              <w:rPr>
                <w:rFonts w:ascii="宋体" w:hAnsi="宋体"/>
                <w:bCs/>
                <w:kern w:val="0"/>
                <w:sz w:val="18"/>
                <w:szCs w:val="18"/>
              </w:rPr>
            </w:pPr>
            <w:r>
              <w:rPr>
                <w:rFonts w:ascii="宋体" w:hAnsi="宋体"/>
                <w:bCs/>
                <w:kern w:val="0"/>
                <w:sz w:val="18"/>
                <w:szCs w:val="18"/>
              </w:rPr>
              <w:t>20</w:t>
            </w:r>
            <w:r>
              <w:rPr>
                <w:rFonts w:hint="eastAsia" w:ascii="宋体" w:hAnsi="宋体"/>
                <w:bCs/>
                <w:kern w:val="0"/>
                <w:sz w:val="18"/>
                <w:szCs w:val="18"/>
              </w:rPr>
              <w:t>12</w:t>
            </w:r>
            <w:r>
              <w:rPr>
                <w:rFonts w:ascii="宋体" w:hAnsi="宋体"/>
                <w:bCs/>
                <w:kern w:val="0"/>
                <w:sz w:val="18"/>
                <w:szCs w:val="18"/>
              </w:rPr>
              <w:t>年</w:t>
            </w:r>
          </w:p>
        </w:tc>
        <w:tc>
          <w:tcPr>
            <w:tcW w:w="1894" w:type="dxa"/>
            <w:tcBorders>
              <w:top w:val="single" w:color="auto" w:sz="4" w:space="0"/>
            </w:tcBorders>
          </w:tcPr>
          <w:p w14:paraId="2EAF190C">
            <w:pPr>
              <w:jc w:val="center"/>
              <w:rPr>
                <w:rFonts w:ascii="宋体" w:hAnsi="宋体"/>
                <w:bCs/>
                <w:kern w:val="0"/>
                <w:sz w:val="18"/>
                <w:szCs w:val="18"/>
              </w:rPr>
            </w:pPr>
            <w:r>
              <w:rPr>
                <w:rFonts w:ascii="宋体" w:hAnsi="宋体"/>
                <w:bCs/>
                <w:kern w:val="0"/>
                <w:sz w:val="18"/>
                <w:szCs w:val="18"/>
              </w:rPr>
              <w:t>201</w:t>
            </w:r>
            <w:r>
              <w:rPr>
                <w:rFonts w:hint="eastAsia" w:ascii="宋体" w:hAnsi="宋体"/>
                <w:bCs/>
                <w:kern w:val="0"/>
                <w:sz w:val="18"/>
                <w:szCs w:val="18"/>
              </w:rPr>
              <w:t>3</w:t>
            </w:r>
            <w:r>
              <w:rPr>
                <w:rFonts w:ascii="宋体" w:hAnsi="宋体"/>
                <w:bCs/>
                <w:kern w:val="0"/>
                <w:sz w:val="18"/>
                <w:szCs w:val="18"/>
              </w:rPr>
              <w:t>年</w:t>
            </w:r>
          </w:p>
        </w:tc>
        <w:tc>
          <w:tcPr>
            <w:tcW w:w="1781" w:type="dxa"/>
            <w:tcBorders>
              <w:top w:val="single" w:color="auto" w:sz="4" w:space="0"/>
              <w:right w:val="single" w:color="auto" w:sz="4" w:space="0"/>
            </w:tcBorders>
          </w:tcPr>
          <w:p w14:paraId="5420F892">
            <w:pPr>
              <w:jc w:val="center"/>
              <w:rPr>
                <w:rFonts w:ascii="宋体" w:hAnsi="宋体" w:cs="宋体"/>
                <w:bCs/>
                <w:color w:val="000000"/>
                <w:sz w:val="18"/>
                <w:szCs w:val="18"/>
              </w:rPr>
            </w:pPr>
            <w:r>
              <w:rPr>
                <w:rFonts w:hint="eastAsia" w:ascii="宋体" w:hAnsi="宋体"/>
                <w:bCs/>
                <w:color w:val="000000"/>
                <w:sz w:val="18"/>
                <w:szCs w:val="18"/>
              </w:rPr>
              <w:t>预测</w:t>
            </w:r>
            <w:r>
              <w:rPr>
                <w:rFonts w:ascii="宋体" w:hAnsi="宋体"/>
                <w:bCs/>
                <w:color w:val="000000"/>
                <w:sz w:val="18"/>
                <w:szCs w:val="18"/>
              </w:rPr>
              <w:t>2014</w:t>
            </w:r>
          </w:p>
        </w:tc>
      </w:tr>
      <w:tr w14:paraId="3BE77080">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left w:val="single" w:color="auto" w:sz="4" w:space="0"/>
            </w:tcBorders>
          </w:tcPr>
          <w:p w14:paraId="795CC252">
            <w:pPr>
              <w:rPr>
                <w:rFonts w:ascii="宋体" w:hAnsi="宋体"/>
                <w:bCs/>
                <w:kern w:val="0"/>
                <w:sz w:val="18"/>
                <w:szCs w:val="18"/>
              </w:rPr>
            </w:pPr>
            <w:r>
              <w:rPr>
                <w:rFonts w:hint="eastAsia" w:ascii="宋体" w:hAnsi="宋体"/>
                <w:bCs/>
                <w:kern w:val="0"/>
                <w:sz w:val="18"/>
                <w:szCs w:val="18"/>
              </w:rPr>
              <w:t>国内</w:t>
            </w:r>
            <w:r>
              <w:rPr>
                <w:rFonts w:ascii="宋体" w:hAnsi="宋体"/>
                <w:bCs/>
                <w:kern w:val="0"/>
                <w:sz w:val="18"/>
                <w:szCs w:val="18"/>
              </w:rPr>
              <w:t>销售量（吨）</w:t>
            </w:r>
          </w:p>
        </w:tc>
        <w:tc>
          <w:tcPr>
            <w:tcW w:w="1365" w:type="dxa"/>
          </w:tcPr>
          <w:p w14:paraId="7E70B3E2">
            <w:pPr>
              <w:jc w:val="center"/>
              <w:rPr>
                <w:rFonts w:ascii="宋体" w:hAnsi="宋体"/>
                <w:bCs/>
                <w:kern w:val="0"/>
                <w:sz w:val="18"/>
                <w:szCs w:val="18"/>
              </w:rPr>
            </w:pPr>
            <w:r>
              <w:rPr>
                <w:rFonts w:hint="eastAsia" w:ascii="宋体" w:hAnsi="宋体"/>
                <w:bCs/>
                <w:kern w:val="0"/>
                <w:sz w:val="18"/>
                <w:szCs w:val="18"/>
              </w:rPr>
              <w:t>120</w:t>
            </w:r>
          </w:p>
        </w:tc>
        <w:tc>
          <w:tcPr>
            <w:tcW w:w="1662" w:type="dxa"/>
          </w:tcPr>
          <w:p w14:paraId="208C1C5C">
            <w:pPr>
              <w:jc w:val="center"/>
              <w:rPr>
                <w:rFonts w:ascii="宋体" w:hAnsi="宋体"/>
                <w:bCs/>
                <w:kern w:val="0"/>
                <w:sz w:val="18"/>
                <w:szCs w:val="18"/>
              </w:rPr>
            </w:pPr>
            <w:r>
              <w:rPr>
                <w:rFonts w:hint="eastAsia" w:ascii="宋体" w:hAnsi="宋体"/>
                <w:bCs/>
                <w:kern w:val="0"/>
                <w:sz w:val="18"/>
                <w:szCs w:val="18"/>
              </w:rPr>
              <w:t>117</w:t>
            </w:r>
          </w:p>
        </w:tc>
        <w:tc>
          <w:tcPr>
            <w:tcW w:w="1894" w:type="dxa"/>
          </w:tcPr>
          <w:p w14:paraId="6FDFECB5">
            <w:pPr>
              <w:jc w:val="center"/>
              <w:rPr>
                <w:rFonts w:ascii="宋体" w:hAnsi="宋体"/>
                <w:bCs/>
                <w:kern w:val="0"/>
                <w:sz w:val="18"/>
                <w:szCs w:val="18"/>
              </w:rPr>
            </w:pPr>
            <w:r>
              <w:rPr>
                <w:rFonts w:hint="eastAsia" w:ascii="宋体" w:hAnsi="宋体"/>
                <w:bCs/>
                <w:kern w:val="0"/>
                <w:sz w:val="18"/>
                <w:szCs w:val="18"/>
              </w:rPr>
              <w:t>122</w:t>
            </w:r>
          </w:p>
        </w:tc>
        <w:tc>
          <w:tcPr>
            <w:tcW w:w="1781" w:type="dxa"/>
            <w:tcBorders>
              <w:right w:val="single" w:color="auto" w:sz="4" w:space="0"/>
            </w:tcBorders>
          </w:tcPr>
          <w:p w14:paraId="0918CE89">
            <w:pPr>
              <w:jc w:val="center"/>
              <w:rPr>
                <w:rFonts w:ascii="宋体" w:hAnsi="宋体"/>
                <w:bCs/>
                <w:color w:val="000000"/>
                <w:sz w:val="18"/>
                <w:szCs w:val="18"/>
              </w:rPr>
            </w:pPr>
            <w:r>
              <w:rPr>
                <w:rFonts w:ascii="宋体" w:hAnsi="宋体"/>
                <w:bCs/>
                <w:color w:val="000000"/>
                <w:sz w:val="18"/>
                <w:szCs w:val="18"/>
              </w:rPr>
              <w:t xml:space="preserve">119.67 </w:t>
            </w:r>
          </w:p>
        </w:tc>
      </w:tr>
      <w:tr w14:paraId="3AC82B7D">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left w:val="single" w:color="auto" w:sz="4" w:space="0"/>
            </w:tcBorders>
          </w:tcPr>
          <w:p w14:paraId="425D9A30">
            <w:pPr>
              <w:rPr>
                <w:rFonts w:ascii="宋体" w:hAnsi="宋体"/>
                <w:bCs/>
                <w:kern w:val="0"/>
                <w:sz w:val="18"/>
                <w:szCs w:val="18"/>
              </w:rPr>
            </w:pPr>
            <w:r>
              <w:rPr>
                <w:rFonts w:hint="eastAsia" w:ascii="宋体" w:hAnsi="宋体"/>
                <w:bCs/>
                <w:kern w:val="0"/>
                <w:sz w:val="18"/>
                <w:szCs w:val="18"/>
              </w:rPr>
              <w:t>国内</w:t>
            </w:r>
            <w:r>
              <w:rPr>
                <w:rFonts w:ascii="宋体" w:hAnsi="宋体"/>
                <w:bCs/>
                <w:kern w:val="0"/>
                <w:sz w:val="18"/>
                <w:szCs w:val="18"/>
              </w:rPr>
              <w:t>销售收入（万元）</w:t>
            </w:r>
          </w:p>
        </w:tc>
        <w:tc>
          <w:tcPr>
            <w:tcW w:w="1365" w:type="dxa"/>
          </w:tcPr>
          <w:p w14:paraId="6B20413E">
            <w:pPr>
              <w:jc w:val="center"/>
              <w:rPr>
                <w:rFonts w:ascii="宋体" w:hAnsi="宋体"/>
                <w:bCs/>
                <w:kern w:val="0"/>
                <w:sz w:val="18"/>
                <w:szCs w:val="18"/>
              </w:rPr>
            </w:pPr>
            <w:r>
              <w:rPr>
                <w:rFonts w:hint="eastAsia" w:ascii="宋体" w:hAnsi="宋体"/>
                <w:bCs/>
                <w:kern w:val="0"/>
                <w:sz w:val="18"/>
                <w:szCs w:val="18"/>
              </w:rPr>
              <w:t>4100</w:t>
            </w:r>
          </w:p>
        </w:tc>
        <w:tc>
          <w:tcPr>
            <w:tcW w:w="1662" w:type="dxa"/>
          </w:tcPr>
          <w:p w14:paraId="68C5F5A4">
            <w:pPr>
              <w:jc w:val="center"/>
              <w:rPr>
                <w:rFonts w:ascii="宋体" w:hAnsi="宋体"/>
                <w:bCs/>
                <w:kern w:val="0"/>
                <w:sz w:val="18"/>
                <w:szCs w:val="18"/>
              </w:rPr>
            </w:pPr>
            <w:r>
              <w:rPr>
                <w:rFonts w:hint="eastAsia" w:ascii="宋体" w:hAnsi="宋体"/>
                <w:bCs/>
                <w:kern w:val="0"/>
                <w:sz w:val="18"/>
                <w:szCs w:val="18"/>
              </w:rPr>
              <w:t>4</w:t>
            </w:r>
            <w:r>
              <w:rPr>
                <w:rFonts w:ascii="宋体" w:hAnsi="宋体"/>
                <w:bCs/>
                <w:kern w:val="0"/>
                <w:sz w:val="18"/>
                <w:szCs w:val="18"/>
              </w:rPr>
              <w:t>245</w:t>
            </w:r>
          </w:p>
        </w:tc>
        <w:tc>
          <w:tcPr>
            <w:tcW w:w="1894" w:type="dxa"/>
          </w:tcPr>
          <w:p w14:paraId="52FA21ED">
            <w:pPr>
              <w:jc w:val="center"/>
              <w:rPr>
                <w:rFonts w:ascii="宋体" w:hAnsi="宋体"/>
                <w:bCs/>
                <w:kern w:val="0"/>
                <w:sz w:val="18"/>
                <w:szCs w:val="18"/>
              </w:rPr>
            </w:pPr>
            <w:r>
              <w:rPr>
                <w:rFonts w:hint="eastAsia" w:ascii="宋体" w:hAnsi="宋体"/>
                <w:bCs/>
                <w:kern w:val="0"/>
                <w:sz w:val="18"/>
                <w:szCs w:val="18"/>
              </w:rPr>
              <w:t>4300</w:t>
            </w:r>
          </w:p>
        </w:tc>
        <w:tc>
          <w:tcPr>
            <w:tcW w:w="1781" w:type="dxa"/>
            <w:tcBorders>
              <w:right w:val="single" w:color="auto" w:sz="4" w:space="0"/>
            </w:tcBorders>
          </w:tcPr>
          <w:p w14:paraId="277C9EE3">
            <w:pPr>
              <w:jc w:val="center"/>
              <w:rPr>
                <w:rFonts w:ascii="宋体" w:hAnsi="宋体"/>
                <w:bCs/>
                <w:color w:val="000000"/>
                <w:sz w:val="18"/>
                <w:szCs w:val="18"/>
              </w:rPr>
            </w:pPr>
            <w:r>
              <w:rPr>
                <w:rFonts w:ascii="宋体" w:hAnsi="宋体"/>
                <w:bCs/>
                <w:color w:val="000000"/>
                <w:sz w:val="18"/>
                <w:szCs w:val="18"/>
              </w:rPr>
              <w:t>4215</w:t>
            </w:r>
          </w:p>
        </w:tc>
      </w:tr>
      <w:tr w14:paraId="7F3AD70C">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left w:val="single" w:color="auto" w:sz="4" w:space="0"/>
              <w:bottom w:val="single" w:color="auto" w:sz="4" w:space="0"/>
            </w:tcBorders>
          </w:tcPr>
          <w:p w14:paraId="4D64A9EB">
            <w:pPr>
              <w:rPr>
                <w:rFonts w:ascii="宋体" w:hAnsi="宋体"/>
                <w:bCs/>
                <w:kern w:val="0"/>
                <w:sz w:val="18"/>
                <w:szCs w:val="18"/>
              </w:rPr>
            </w:pPr>
            <w:r>
              <w:rPr>
                <w:rFonts w:ascii="宋体" w:hAnsi="宋体"/>
                <w:bCs/>
                <w:kern w:val="0"/>
                <w:sz w:val="18"/>
                <w:szCs w:val="18"/>
              </w:rPr>
              <w:t>平均单价（万元/吨）</w:t>
            </w:r>
          </w:p>
        </w:tc>
        <w:tc>
          <w:tcPr>
            <w:tcW w:w="1365" w:type="dxa"/>
            <w:tcBorders>
              <w:bottom w:val="single" w:color="auto" w:sz="4" w:space="0"/>
            </w:tcBorders>
          </w:tcPr>
          <w:p w14:paraId="211774D8">
            <w:pPr>
              <w:jc w:val="center"/>
              <w:rPr>
                <w:rFonts w:ascii="宋体" w:hAnsi="宋体"/>
                <w:bCs/>
                <w:color w:val="000000"/>
                <w:sz w:val="18"/>
                <w:szCs w:val="18"/>
              </w:rPr>
            </w:pPr>
            <w:r>
              <w:rPr>
                <w:rFonts w:ascii="宋体" w:hAnsi="宋体"/>
                <w:bCs/>
                <w:color w:val="000000"/>
                <w:sz w:val="18"/>
                <w:szCs w:val="18"/>
              </w:rPr>
              <w:t xml:space="preserve">34.17 </w:t>
            </w:r>
          </w:p>
        </w:tc>
        <w:tc>
          <w:tcPr>
            <w:tcW w:w="1662" w:type="dxa"/>
            <w:tcBorders>
              <w:bottom w:val="single" w:color="auto" w:sz="4" w:space="0"/>
            </w:tcBorders>
          </w:tcPr>
          <w:p w14:paraId="7B35D509">
            <w:pPr>
              <w:jc w:val="center"/>
              <w:rPr>
                <w:rFonts w:ascii="宋体" w:hAnsi="宋体"/>
                <w:bCs/>
                <w:color w:val="000000"/>
                <w:sz w:val="18"/>
                <w:szCs w:val="18"/>
              </w:rPr>
            </w:pPr>
            <w:r>
              <w:rPr>
                <w:rFonts w:ascii="宋体" w:hAnsi="宋体"/>
                <w:bCs/>
                <w:color w:val="000000"/>
                <w:sz w:val="18"/>
                <w:szCs w:val="18"/>
              </w:rPr>
              <w:t xml:space="preserve">36.28 </w:t>
            </w:r>
          </w:p>
        </w:tc>
        <w:tc>
          <w:tcPr>
            <w:tcW w:w="1894" w:type="dxa"/>
            <w:tcBorders>
              <w:bottom w:val="single" w:color="auto" w:sz="4" w:space="0"/>
            </w:tcBorders>
          </w:tcPr>
          <w:p w14:paraId="016B61A8">
            <w:pPr>
              <w:jc w:val="center"/>
              <w:rPr>
                <w:rFonts w:ascii="宋体" w:hAnsi="宋体"/>
                <w:bCs/>
                <w:color w:val="000000"/>
                <w:sz w:val="18"/>
                <w:szCs w:val="18"/>
              </w:rPr>
            </w:pPr>
            <w:r>
              <w:rPr>
                <w:rFonts w:ascii="宋体" w:hAnsi="宋体"/>
                <w:bCs/>
                <w:color w:val="000000"/>
                <w:sz w:val="18"/>
                <w:szCs w:val="18"/>
              </w:rPr>
              <w:t xml:space="preserve">35.25 </w:t>
            </w:r>
          </w:p>
        </w:tc>
        <w:tc>
          <w:tcPr>
            <w:tcW w:w="1781" w:type="dxa"/>
            <w:tcBorders>
              <w:bottom w:val="single" w:color="auto" w:sz="4" w:space="0"/>
              <w:right w:val="single" w:color="auto" w:sz="4" w:space="0"/>
            </w:tcBorders>
          </w:tcPr>
          <w:p w14:paraId="36A9240C">
            <w:pPr>
              <w:jc w:val="center"/>
              <w:rPr>
                <w:rFonts w:ascii="宋体" w:hAnsi="宋体"/>
                <w:bCs/>
                <w:color w:val="000000"/>
                <w:sz w:val="18"/>
                <w:szCs w:val="18"/>
              </w:rPr>
            </w:pPr>
            <w:r>
              <w:rPr>
                <w:rFonts w:ascii="宋体" w:hAnsi="宋体"/>
                <w:bCs/>
                <w:color w:val="000000"/>
                <w:sz w:val="18"/>
                <w:szCs w:val="18"/>
              </w:rPr>
              <w:t xml:space="preserve">35.23 </w:t>
            </w:r>
          </w:p>
        </w:tc>
      </w:tr>
    </w:tbl>
    <w:p w14:paraId="4B1C4CE0">
      <w:pPr>
        <w:autoSpaceDE w:val="0"/>
        <w:autoSpaceDN w:val="0"/>
        <w:adjustRightInd w:val="0"/>
        <w:snapToGrid w:val="0"/>
        <w:spacing w:beforeLines="50"/>
        <w:ind w:firstLine="420" w:firstLineChars="200"/>
        <w:rPr>
          <w:rFonts w:ascii="宋体" w:hAnsi="宋体"/>
          <w:szCs w:val="21"/>
        </w:rPr>
      </w:pPr>
    </w:p>
    <w:p w14:paraId="4CC648E1">
      <w:pPr>
        <w:autoSpaceDE w:val="0"/>
        <w:autoSpaceDN w:val="0"/>
        <w:adjustRightInd w:val="0"/>
        <w:snapToGrid w:val="0"/>
        <w:spacing w:beforeLines="50"/>
        <w:ind w:firstLine="420" w:firstLineChars="200"/>
        <w:rPr>
          <w:rFonts w:ascii="宋体" w:hAnsi="宋体"/>
          <w:szCs w:val="21"/>
        </w:rPr>
      </w:pPr>
      <w:r>
        <w:rPr>
          <w:rFonts w:hint="eastAsia" w:ascii="宋体" w:hAnsi="宋体"/>
          <w:szCs w:val="21"/>
        </w:rPr>
        <w:t>则G公司2014年总的销售收入为：国内销售收入+国外销售收入</w:t>
      </w:r>
    </w:p>
    <w:p w14:paraId="76D5D0F3">
      <w:pPr>
        <w:autoSpaceDE w:val="0"/>
        <w:autoSpaceDN w:val="0"/>
        <w:adjustRightInd w:val="0"/>
        <w:snapToGrid w:val="0"/>
        <w:spacing w:beforeLines="50"/>
        <w:rPr>
          <w:rFonts w:ascii="宋体" w:hAnsi="宋体"/>
          <w:szCs w:val="21"/>
        </w:rPr>
      </w:pPr>
      <w:r>
        <w:rPr>
          <w:rFonts w:hint="eastAsia" w:ascii="宋体" w:hAnsi="宋体"/>
          <w:szCs w:val="21"/>
        </w:rPr>
        <w:t xml:space="preserve">                                 =4215+100×6.4×76×1000÷10000</w:t>
      </w:r>
    </w:p>
    <w:p w14:paraId="40D2CDB2">
      <w:pPr>
        <w:autoSpaceDE w:val="0"/>
        <w:autoSpaceDN w:val="0"/>
        <w:adjustRightInd w:val="0"/>
        <w:snapToGrid w:val="0"/>
        <w:spacing w:beforeLines="50"/>
        <w:rPr>
          <w:rFonts w:ascii="宋体" w:hAnsi="宋体"/>
          <w:szCs w:val="21"/>
        </w:rPr>
      </w:pPr>
      <w:r>
        <w:rPr>
          <w:rFonts w:hint="eastAsia" w:ascii="宋体" w:hAnsi="宋体"/>
          <w:szCs w:val="21"/>
        </w:rPr>
        <w:t xml:space="preserve">                                 =9080.22万元。</w:t>
      </w:r>
    </w:p>
    <w:p w14:paraId="2346F859">
      <w:pPr>
        <w:autoSpaceDE w:val="0"/>
        <w:autoSpaceDN w:val="0"/>
        <w:adjustRightInd w:val="0"/>
        <w:spacing w:beforeLines="25" w:afterLines="25" w:line="300" w:lineRule="auto"/>
        <w:ind w:firstLine="420" w:firstLineChars="200"/>
        <w:rPr>
          <w:rFonts w:ascii="宋体" w:hAnsi="宋体"/>
          <w:bCs/>
          <w:szCs w:val="21"/>
        </w:rPr>
      </w:pPr>
      <w:r>
        <w:rPr>
          <w:rFonts w:hint="eastAsia" w:ascii="宋体" w:hAnsi="宋体"/>
          <w:bCs/>
          <w:szCs w:val="21"/>
        </w:rPr>
        <w:t>（2）</w:t>
      </w:r>
      <w:r>
        <w:rPr>
          <w:rFonts w:ascii="宋体" w:hAnsi="宋体"/>
          <w:bCs/>
          <w:szCs w:val="21"/>
        </w:rPr>
        <w:t>无形资产经济寿命的确定</w:t>
      </w:r>
      <w:bookmarkEnd w:id="7"/>
    </w:p>
    <w:p w14:paraId="3C1C2002">
      <w:pPr>
        <w:tabs>
          <w:tab w:val="left" w:pos="420"/>
          <w:tab w:val="left" w:pos="540"/>
        </w:tabs>
        <w:spacing w:line="400" w:lineRule="exact"/>
        <w:ind w:firstLine="420" w:firstLineChars="200"/>
        <w:rPr>
          <w:rFonts w:ascii="宋体" w:hAnsi="宋体"/>
          <w:szCs w:val="21"/>
        </w:rPr>
      </w:pPr>
      <w:r>
        <w:rPr>
          <w:rFonts w:hint="eastAsia" w:ascii="宋体" w:hAnsi="宋体"/>
          <w:szCs w:val="21"/>
        </w:rPr>
        <w:t>专利权</w:t>
      </w:r>
      <w:r>
        <w:rPr>
          <w:rFonts w:ascii="宋体" w:hAnsi="宋体"/>
          <w:szCs w:val="21"/>
        </w:rPr>
        <w:t>的经济寿命</w:t>
      </w:r>
      <w:r>
        <w:rPr>
          <w:rFonts w:hint="eastAsia" w:ascii="宋体" w:hAnsi="宋体"/>
          <w:szCs w:val="21"/>
        </w:rPr>
        <w:t>一般</w:t>
      </w:r>
      <w:r>
        <w:rPr>
          <w:rFonts w:ascii="宋体" w:hAnsi="宋体"/>
          <w:szCs w:val="21"/>
        </w:rPr>
        <w:t>取决于行业技术的更新速度、技术的领先程度、法律或者行政保护强度。由于科学技术是不断发展的，一种新的</w:t>
      </w:r>
      <w:r>
        <w:rPr>
          <w:rFonts w:hint="eastAsia" w:ascii="宋体" w:hAnsi="宋体"/>
          <w:szCs w:val="21"/>
        </w:rPr>
        <w:t>、</w:t>
      </w:r>
      <w:r>
        <w:rPr>
          <w:rFonts w:ascii="宋体" w:hAnsi="宋体"/>
          <w:szCs w:val="21"/>
        </w:rPr>
        <w:t>更为先进的技术出现</w:t>
      </w:r>
      <w:r>
        <w:rPr>
          <w:rFonts w:hint="eastAsia" w:ascii="宋体" w:hAnsi="宋体"/>
          <w:szCs w:val="21"/>
        </w:rPr>
        <w:t>时</w:t>
      </w:r>
      <w:r>
        <w:rPr>
          <w:rFonts w:ascii="宋体" w:hAnsi="宋体"/>
          <w:szCs w:val="21"/>
        </w:rPr>
        <w:t>，</w:t>
      </w:r>
      <w:r>
        <w:rPr>
          <w:rFonts w:hint="eastAsia" w:ascii="宋体" w:hAnsi="宋体"/>
          <w:szCs w:val="21"/>
        </w:rPr>
        <w:t>通常会</w:t>
      </w:r>
      <w:r>
        <w:rPr>
          <w:rFonts w:ascii="宋体" w:hAnsi="宋体"/>
          <w:szCs w:val="21"/>
        </w:rPr>
        <w:t>使原有技术资产</w:t>
      </w:r>
      <w:r>
        <w:rPr>
          <w:rFonts w:hint="eastAsia" w:ascii="宋体" w:hAnsi="宋体"/>
          <w:szCs w:val="21"/>
        </w:rPr>
        <w:t>发生</w:t>
      </w:r>
      <w:r>
        <w:rPr>
          <w:rFonts w:ascii="宋体" w:hAnsi="宋体"/>
          <w:szCs w:val="21"/>
        </w:rPr>
        <w:t>贬值。</w:t>
      </w:r>
      <w:r>
        <w:rPr>
          <w:rFonts w:hint="eastAsia" w:ascii="宋体" w:hAnsi="宋体"/>
          <w:szCs w:val="21"/>
        </w:rPr>
        <w:t>同时，</w:t>
      </w:r>
      <w:r>
        <w:rPr>
          <w:rFonts w:ascii="宋体" w:hAnsi="宋体"/>
          <w:szCs w:val="21"/>
        </w:rPr>
        <w:t>影响技术寿命的因素是多种多样的，主要有法规（合同）年限、保密状况、产品更新周期、可替代性</w:t>
      </w:r>
      <w:r>
        <w:rPr>
          <w:rFonts w:hint="eastAsia" w:ascii="宋体" w:hAnsi="宋体"/>
          <w:szCs w:val="21"/>
        </w:rPr>
        <w:t>以及</w:t>
      </w:r>
      <w:r>
        <w:rPr>
          <w:rFonts w:ascii="宋体" w:hAnsi="宋体"/>
          <w:szCs w:val="21"/>
        </w:rPr>
        <w:t>市场竞争情况等。</w:t>
      </w:r>
    </w:p>
    <w:p w14:paraId="07EEDA93">
      <w:pPr>
        <w:spacing w:line="400" w:lineRule="exact"/>
        <w:ind w:firstLine="420" w:firstLineChars="200"/>
        <w:rPr>
          <w:rFonts w:ascii="宋体" w:hAnsi="宋体"/>
          <w:szCs w:val="21"/>
        </w:rPr>
      </w:pPr>
      <w:r>
        <w:rPr>
          <w:rFonts w:hint="eastAsia" w:ascii="宋体" w:hAnsi="宋体"/>
          <w:szCs w:val="21"/>
        </w:rPr>
        <w:t>专利权的</w:t>
      </w:r>
      <w:r>
        <w:rPr>
          <w:rFonts w:ascii="宋体" w:hAnsi="宋体"/>
          <w:szCs w:val="21"/>
        </w:rPr>
        <w:t>经济寿命可以根据技术的更新周期评估剩余经济年限。技术的更新周期有两</w:t>
      </w:r>
      <w:r>
        <w:rPr>
          <w:rFonts w:hint="eastAsia" w:ascii="宋体" w:hAnsi="宋体"/>
          <w:szCs w:val="21"/>
        </w:rPr>
        <w:t>个</w:t>
      </w:r>
      <w:r>
        <w:rPr>
          <w:rFonts w:ascii="宋体" w:hAnsi="宋体"/>
          <w:szCs w:val="21"/>
        </w:rPr>
        <w:t>参照系</w:t>
      </w:r>
      <w:r>
        <w:rPr>
          <w:rFonts w:hint="eastAsia" w:ascii="宋体" w:hAnsi="宋体"/>
          <w:szCs w:val="21"/>
        </w:rPr>
        <w:t>：</w:t>
      </w:r>
      <w:r>
        <w:rPr>
          <w:rFonts w:ascii="宋体" w:hAnsi="宋体"/>
          <w:szCs w:val="21"/>
        </w:rPr>
        <w:t>一是产品更新周期，在一些高技术和新兴产业，科学技术进步往往很快转化为</w:t>
      </w:r>
      <w:r>
        <w:rPr>
          <w:rFonts w:hint="eastAsia" w:ascii="宋体" w:hAnsi="宋体"/>
          <w:szCs w:val="21"/>
        </w:rPr>
        <w:t>新的</w:t>
      </w:r>
      <w:r>
        <w:rPr>
          <w:rFonts w:ascii="宋体" w:hAnsi="宋体"/>
          <w:szCs w:val="21"/>
        </w:rPr>
        <w:t>产品的更新换代。例如微型计算机每2</w:t>
      </w:r>
      <w:r>
        <w:rPr>
          <w:rFonts w:ascii="Arial" w:hAnsi="Arial" w:cs="Arial"/>
          <w:color w:val="333333"/>
          <w:szCs w:val="21"/>
          <w:shd w:val="clear" w:color="auto" w:fill="FFFFFF"/>
        </w:rPr>
        <w:t>～</w:t>
      </w:r>
      <w:r>
        <w:rPr>
          <w:rFonts w:ascii="宋体" w:hAnsi="宋体"/>
          <w:szCs w:val="21"/>
        </w:rPr>
        <w:t>3年就会开发出新的型号；二是技术更新周期，即新一代技术的出现替代现</w:t>
      </w:r>
      <w:r>
        <w:rPr>
          <w:rFonts w:hint="eastAsia" w:ascii="宋体" w:hAnsi="宋体"/>
          <w:szCs w:val="21"/>
        </w:rPr>
        <w:t>有</w:t>
      </w:r>
      <w:r>
        <w:rPr>
          <w:rFonts w:ascii="宋体" w:hAnsi="宋体"/>
          <w:szCs w:val="21"/>
        </w:rPr>
        <w:t>技术的时间。具体测算时，通常根据同类技术资产的历史经验数据，运用</w:t>
      </w:r>
      <w:r>
        <w:rPr>
          <w:rFonts w:hint="eastAsia" w:ascii="宋体" w:hAnsi="宋体"/>
          <w:szCs w:val="21"/>
        </w:rPr>
        <w:t>预测手段</w:t>
      </w:r>
      <w:r>
        <w:rPr>
          <w:rFonts w:ascii="宋体" w:hAnsi="宋体"/>
          <w:szCs w:val="21"/>
        </w:rPr>
        <w:t>来分析。</w:t>
      </w:r>
    </w:p>
    <w:p w14:paraId="2C7F1919">
      <w:pPr>
        <w:spacing w:line="400" w:lineRule="exact"/>
        <w:ind w:firstLine="420" w:firstLineChars="200"/>
        <w:rPr>
          <w:rFonts w:ascii="宋体" w:hAnsi="宋体"/>
          <w:szCs w:val="21"/>
        </w:rPr>
      </w:pPr>
      <w:bookmarkStart w:id="8" w:name="_Toc252452135"/>
      <w:bookmarkStart w:id="9" w:name="_Toc339525543"/>
      <w:bookmarkStart w:id="10" w:name="_Toc223368393"/>
      <w:bookmarkStart w:id="11" w:name="_Toc252451825"/>
      <w:r>
        <w:rPr>
          <w:rFonts w:hint="eastAsia" w:ascii="宋体" w:hAnsi="宋体"/>
          <w:szCs w:val="21"/>
        </w:rPr>
        <w:t>根据我国《专利法》规定，从提交专利的申请日开始计算，发明专利保护期限是20年，截止到评估基准日，委估专利剩余保护年限为14年零10个月</w:t>
      </w:r>
      <w:r>
        <w:rPr>
          <w:rFonts w:ascii="宋体" w:hAnsi="宋体"/>
          <w:szCs w:val="21"/>
        </w:rPr>
        <w:t>。</w:t>
      </w:r>
      <w:r>
        <w:rPr>
          <w:rFonts w:hint="eastAsia" w:ascii="宋体" w:hAnsi="宋体"/>
          <w:szCs w:val="21"/>
        </w:rPr>
        <w:t>如果从经济寿命的角度出发，</w:t>
      </w:r>
      <w:r>
        <w:rPr>
          <w:rFonts w:ascii="宋体" w:hAnsi="宋体"/>
          <w:szCs w:val="21"/>
        </w:rPr>
        <w:t>考虑到盐酸林可霉素的市场销售情况，确定委估专利的经济寿命为评估基准日后10年。</w:t>
      </w:r>
      <w:r>
        <w:rPr>
          <w:rFonts w:ascii="宋体" w:hAnsi="宋体"/>
          <w:kern w:val="0"/>
          <w:szCs w:val="21"/>
        </w:rPr>
        <w:t>按</w:t>
      </w:r>
      <w:r>
        <w:rPr>
          <w:rFonts w:hint="eastAsia" w:ascii="宋体" w:hAnsi="宋体"/>
          <w:kern w:val="0"/>
          <w:szCs w:val="21"/>
        </w:rPr>
        <w:t>照法律保护寿命和技术经济寿命</w:t>
      </w:r>
      <w:r>
        <w:rPr>
          <w:rFonts w:ascii="宋体" w:hAnsi="宋体"/>
          <w:kern w:val="0"/>
          <w:szCs w:val="21"/>
        </w:rPr>
        <w:t>孰短原则</w:t>
      </w:r>
      <w:r>
        <w:rPr>
          <w:rFonts w:hint="eastAsia" w:ascii="宋体" w:hAnsi="宋体"/>
          <w:kern w:val="0"/>
          <w:szCs w:val="21"/>
        </w:rPr>
        <w:t>，本次评估的剩余收益年限为10年。</w:t>
      </w:r>
    </w:p>
    <w:p w14:paraId="7DAC0DC4">
      <w:pPr>
        <w:autoSpaceDE w:val="0"/>
        <w:autoSpaceDN w:val="0"/>
        <w:adjustRightInd w:val="0"/>
        <w:spacing w:beforeLines="25" w:afterLines="25" w:line="300" w:lineRule="auto"/>
        <w:ind w:firstLine="420" w:firstLineChars="200"/>
        <w:rPr>
          <w:rFonts w:ascii="宋体" w:hAnsi="宋体"/>
          <w:bCs/>
          <w:szCs w:val="21"/>
        </w:rPr>
      </w:pPr>
      <w:r>
        <w:rPr>
          <w:rFonts w:hint="eastAsia" w:ascii="宋体" w:hAnsi="宋体"/>
          <w:bCs/>
          <w:szCs w:val="21"/>
        </w:rPr>
        <w:t>3.</w:t>
      </w:r>
      <w:r>
        <w:rPr>
          <w:rFonts w:ascii="宋体" w:hAnsi="宋体"/>
          <w:bCs/>
          <w:szCs w:val="21"/>
        </w:rPr>
        <w:t>销售收入净分成率的选取</w:t>
      </w:r>
      <w:bookmarkEnd w:id="8"/>
      <w:bookmarkEnd w:id="9"/>
      <w:bookmarkEnd w:id="10"/>
      <w:bookmarkEnd w:id="11"/>
    </w:p>
    <w:p w14:paraId="462FFA5D">
      <w:pPr>
        <w:tabs>
          <w:tab w:val="left" w:pos="420"/>
          <w:tab w:val="left" w:pos="540"/>
        </w:tabs>
        <w:spacing w:line="400" w:lineRule="exact"/>
        <w:ind w:firstLine="420" w:firstLineChars="200"/>
        <w:rPr>
          <w:rFonts w:ascii="宋体" w:hAnsi="宋体"/>
          <w:szCs w:val="21"/>
        </w:rPr>
      </w:pPr>
      <w:r>
        <w:rPr>
          <w:rFonts w:ascii="宋体" w:hAnsi="宋体"/>
          <w:szCs w:val="21"/>
        </w:rPr>
        <w:t>在一个</w:t>
      </w:r>
      <w:r>
        <w:rPr>
          <w:rFonts w:hint="eastAsia" w:ascii="宋体" w:hAnsi="宋体"/>
          <w:szCs w:val="21"/>
        </w:rPr>
        <w:t>公司的经营</w:t>
      </w:r>
      <w:r>
        <w:rPr>
          <w:rFonts w:ascii="宋体" w:hAnsi="宋体"/>
          <w:szCs w:val="21"/>
        </w:rPr>
        <w:t>中，管理、技术、人力、物力、财力以及</w:t>
      </w:r>
      <w:r>
        <w:rPr>
          <w:rFonts w:hint="eastAsia" w:ascii="宋体" w:hAnsi="宋体"/>
          <w:szCs w:val="21"/>
        </w:rPr>
        <w:t>其他</w:t>
      </w:r>
      <w:r>
        <w:rPr>
          <w:rFonts w:ascii="宋体" w:hAnsi="宋体"/>
          <w:szCs w:val="21"/>
        </w:rPr>
        <w:t>资产必</w:t>
      </w:r>
      <w:r>
        <w:rPr>
          <w:rFonts w:hint="eastAsia" w:ascii="宋体" w:hAnsi="宋体"/>
          <w:szCs w:val="21"/>
        </w:rPr>
        <w:t>需</w:t>
      </w:r>
      <w:r>
        <w:rPr>
          <w:rFonts w:ascii="宋体" w:hAnsi="宋体"/>
          <w:szCs w:val="21"/>
        </w:rPr>
        <w:t>共同</w:t>
      </w:r>
      <w:r>
        <w:rPr>
          <w:rFonts w:hint="eastAsia" w:ascii="宋体" w:hAnsi="宋体"/>
          <w:szCs w:val="21"/>
        </w:rPr>
        <w:t>发挥</w:t>
      </w:r>
      <w:r>
        <w:rPr>
          <w:rFonts w:ascii="宋体" w:hAnsi="宋体"/>
          <w:szCs w:val="21"/>
        </w:rPr>
        <w:t>作用。知识产权作为特定的生产要素，</w:t>
      </w:r>
      <w:r>
        <w:rPr>
          <w:rFonts w:hint="eastAsia" w:ascii="宋体" w:hAnsi="宋体"/>
          <w:szCs w:val="21"/>
        </w:rPr>
        <w:t>对公司的收益产生贡献，这是其</w:t>
      </w:r>
      <w:r>
        <w:rPr>
          <w:rFonts w:ascii="宋体" w:hAnsi="宋体"/>
          <w:szCs w:val="21"/>
        </w:rPr>
        <w:t>参与企业收益分配的理论依据。本次评估选取华东医药、康恩贝、奇正藏药三家上市公司作为对比公司，根据上市公司的经营数据，提取销售收入分成率。对比公司介绍如下：</w:t>
      </w:r>
    </w:p>
    <w:p w14:paraId="085E6CDD">
      <w:pPr>
        <w:tabs>
          <w:tab w:val="left" w:pos="420"/>
          <w:tab w:val="left" w:pos="540"/>
        </w:tabs>
        <w:spacing w:line="400" w:lineRule="exact"/>
        <w:ind w:firstLine="420" w:firstLineChars="200"/>
        <w:rPr>
          <w:rFonts w:ascii="宋体" w:hAnsi="宋体"/>
          <w:szCs w:val="21"/>
        </w:rPr>
      </w:pPr>
      <w:r>
        <w:rPr>
          <w:rFonts w:ascii="宋体" w:hAnsi="宋体"/>
          <w:szCs w:val="21"/>
        </w:rPr>
        <w:t xml:space="preserve">对比公司一：华东医药股份有限公司，股票简称：华东医药，股票代码：000963，于2000年1月27日于深交所上市，主营业务：药品的生产、经营（具体范围见许可证，涉及危险品的限下属分支机构凭证经营）；消字号及杀字号及杀字号用品、医疗器械、玻璃仪器、日用化学品、家用电器、农副产品（不含食品）、百货、土特产品、工艺美术品、针纺织品的销售；医疗器械、实验仪器、诊断仪器的维修和化妆品、化学试剂、健字号滋补品、保健品的销售；仓储服务；经营进出口业务。 </w:t>
      </w:r>
    </w:p>
    <w:p w14:paraId="2795237F">
      <w:pPr>
        <w:tabs>
          <w:tab w:val="left" w:pos="420"/>
          <w:tab w:val="left" w:pos="540"/>
        </w:tabs>
        <w:spacing w:line="400" w:lineRule="exact"/>
        <w:ind w:firstLine="420" w:firstLineChars="200"/>
        <w:rPr>
          <w:rFonts w:ascii="宋体" w:hAnsi="宋体"/>
          <w:szCs w:val="21"/>
        </w:rPr>
      </w:pPr>
      <w:r>
        <w:rPr>
          <w:rFonts w:ascii="宋体" w:hAnsi="宋体"/>
          <w:szCs w:val="21"/>
        </w:rPr>
        <w:t>对比公司二：浙江康恩贝制药股份有限公司，股票简称：康恩贝，股票代码：600572，于2004年3月29日于上交所上市，主营业务：化学原料药，化学药剂，中成药。药品生产范围：片剂、硬胶囊剂、颗粒剂、滴鼻剂、喷雾剂、软膏剂、乳膏剂、凝胶剂、糖浆剂、小容量注射剂、合剂（含口服液）、中药提取物（银杏叶提取物）、搽剂、口服溶液剂。中药饮片(净制、切制、炮炙）、含毒性中药材加工、直接口服中药饮片、免煎颗粒饮片)的生产、销售，地产中药材的收购和销售，初级农产品的销售。</w:t>
      </w:r>
    </w:p>
    <w:p w14:paraId="4899FF55">
      <w:pPr>
        <w:tabs>
          <w:tab w:val="left" w:pos="420"/>
          <w:tab w:val="left" w:pos="540"/>
        </w:tabs>
        <w:spacing w:line="400" w:lineRule="exact"/>
        <w:ind w:firstLine="420" w:firstLineChars="200"/>
        <w:rPr>
          <w:rFonts w:ascii="宋体" w:hAnsi="宋体"/>
          <w:szCs w:val="21"/>
        </w:rPr>
      </w:pPr>
      <w:r>
        <w:rPr>
          <w:rFonts w:ascii="宋体" w:hAnsi="宋体"/>
          <w:szCs w:val="21"/>
        </w:rPr>
        <w:t>对比公司三：西藏奇正藏药股份有限公司，股票简称：奇正藏药，股票代码：002287，于2009年8月28日于深交所上市，主营业务：药材收购加工；进出口贸易；贴膏剂、软膏剂、颗粒剂、丸剂、散剂开发生产。</w:t>
      </w:r>
    </w:p>
    <w:p w14:paraId="4EB0269E">
      <w:pPr>
        <w:tabs>
          <w:tab w:val="left" w:pos="420"/>
          <w:tab w:val="left" w:pos="540"/>
        </w:tabs>
        <w:spacing w:line="400" w:lineRule="exact"/>
        <w:ind w:firstLine="420" w:firstLineChars="200"/>
        <w:rPr>
          <w:rFonts w:ascii="宋体" w:hAnsi="宋体"/>
          <w:szCs w:val="21"/>
        </w:rPr>
      </w:pPr>
      <w:r>
        <w:rPr>
          <w:rFonts w:ascii="宋体" w:hAnsi="宋体"/>
          <w:szCs w:val="21"/>
        </w:rPr>
        <w:t>根据上述三家对比公司2011～2013年的财务报告，得到对比公司的资本结构如</w:t>
      </w:r>
      <w:r>
        <w:rPr>
          <w:rFonts w:hint="eastAsia" w:ascii="宋体" w:hAnsi="宋体"/>
          <w:szCs w:val="21"/>
        </w:rPr>
        <w:t>表1-5所示。</w:t>
      </w:r>
    </w:p>
    <w:p w14:paraId="53C76702">
      <w:pPr>
        <w:tabs>
          <w:tab w:val="left" w:pos="420"/>
          <w:tab w:val="left" w:pos="540"/>
        </w:tabs>
        <w:spacing w:line="400" w:lineRule="exact"/>
        <w:ind w:firstLine="420" w:firstLineChars="200"/>
        <w:rPr>
          <w:rFonts w:ascii="宋体" w:hAnsi="宋体"/>
          <w:szCs w:val="21"/>
        </w:rPr>
      </w:pPr>
    </w:p>
    <w:p w14:paraId="591DDAAB">
      <w:pPr>
        <w:tabs>
          <w:tab w:val="left" w:pos="420"/>
          <w:tab w:val="left" w:pos="540"/>
        </w:tabs>
        <w:spacing w:line="440" w:lineRule="exact"/>
        <w:ind w:firstLine="361" w:firstLineChars="200"/>
        <w:jc w:val="center"/>
        <w:rPr>
          <w:rFonts w:ascii="黑体" w:hAnsi="黑体" w:eastAsia="黑体" w:cs="黑体"/>
          <w:b/>
          <w:bCs/>
          <w:sz w:val="18"/>
          <w:szCs w:val="18"/>
        </w:rPr>
      </w:pPr>
      <w:r>
        <w:rPr>
          <w:rFonts w:hint="eastAsia" w:ascii="黑体" w:hAnsi="黑体" w:eastAsia="黑体" w:cs="黑体"/>
          <w:b/>
          <w:bCs/>
          <w:sz w:val="18"/>
          <w:szCs w:val="18"/>
        </w:rPr>
        <w:t>表1-5    对比公司2011～2013年的财务报告</w:t>
      </w:r>
    </w:p>
    <w:tbl>
      <w:tblPr>
        <w:tblStyle w:val="8"/>
        <w:tblW w:w="90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5"/>
        <w:gridCol w:w="1511"/>
        <w:gridCol w:w="1220"/>
        <w:gridCol w:w="1218"/>
        <w:gridCol w:w="1218"/>
        <w:gridCol w:w="1218"/>
        <w:gridCol w:w="1218"/>
      </w:tblGrid>
      <w:tr w14:paraId="19CC4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475" w:type="dxa"/>
            <w:vAlign w:val="center"/>
          </w:tcPr>
          <w:p w14:paraId="0C64FB05">
            <w:pPr>
              <w:widowControl/>
              <w:jc w:val="center"/>
              <w:rPr>
                <w:rFonts w:ascii="宋体" w:hAnsi="宋体"/>
                <w:color w:val="000000"/>
                <w:kern w:val="0"/>
                <w:sz w:val="18"/>
                <w:szCs w:val="18"/>
              </w:rPr>
            </w:pPr>
            <w:r>
              <w:rPr>
                <w:rFonts w:ascii="宋体" w:hAnsi="宋体"/>
                <w:color w:val="000000"/>
                <w:kern w:val="0"/>
                <w:sz w:val="18"/>
                <w:szCs w:val="18"/>
              </w:rPr>
              <w:t>项目</w:t>
            </w:r>
          </w:p>
        </w:tc>
        <w:tc>
          <w:tcPr>
            <w:tcW w:w="1511" w:type="dxa"/>
            <w:vAlign w:val="center"/>
          </w:tcPr>
          <w:p w14:paraId="484910B4">
            <w:pPr>
              <w:widowControl/>
              <w:jc w:val="center"/>
              <w:rPr>
                <w:rFonts w:ascii="宋体" w:hAnsi="宋体"/>
                <w:color w:val="000000"/>
                <w:kern w:val="0"/>
                <w:sz w:val="18"/>
                <w:szCs w:val="18"/>
              </w:rPr>
            </w:pPr>
            <w:r>
              <w:rPr>
                <w:rFonts w:ascii="宋体" w:hAnsi="宋体"/>
                <w:color w:val="000000"/>
                <w:kern w:val="0"/>
                <w:sz w:val="18"/>
                <w:szCs w:val="18"/>
              </w:rPr>
              <w:t>对比公司名称</w:t>
            </w:r>
          </w:p>
        </w:tc>
        <w:tc>
          <w:tcPr>
            <w:tcW w:w="1220" w:type="dxa"/>
            <w:vAlign w:val="center"/>
          </w:tcPr>
          <w:p w14:paraId="52DDD1E1">
            <w:pPr>
              <w:widowControl/>
              <w:jc w:val="center"/>
              <w:rPr>
                <w:rFonts w:ascii="宋体" w:hAnsi="宋体"/>
                <w:color w:val="000000"/>
                <w:kern w:val="0"/>
                <w:sz w:val="18"/>
                <w:szCs w:val="18"/>
              </w:rPr>
            </w:pPr>
            <w:r>
              <w:rPr>
                <w:rFonts w:ascii="宋体" w:hAnsi="宋体"/>
                <w:color w:val="000000"/>
                <w:kern w:val="0"/>
                <w:sz w:val="18"/>
                <w:szCs w:val="18"/>
              </w:rPr>
              <w:t>2013年</w:t>
            </w:r>
            <w:r>
              <w:rPr>
                <w:rFonts w:hint="eastAsia" w:ascii="宋体" w:hAnsi="宋体"/>
                <w:color w:val="000000"/>
                <w:kern w:val="0"/>
                <w:sz w:val="18"/>
                <w:szCs w:val="18"/>
              </w:rPr>
              <w:t>（%）</w:t>
            </w:r>
          </w:p>
        </w:tc>
        <w:tc>
          <w:tcPr>
            <w:tcW w:w="1218" w:type="dxa"/>
            <w:vAlign w:val="center"/>
          </w:tcPr>
          <w:p w14:paraId="60897D9F">
            <w:pPr>
              <w:widowControl/>
              <w:jc w:val="center"/>
              <w:rPr>
                <w:rFonts w:ascii="宋体" w:hAnsi="宋体"/>
                <w:color w:val="000000"/>
                <w:kern w:val="0"/>
                <w:sz w:val="18"/>
                <w:szCs w:val="18"/>
              </w:rPr>
            </w:pPr>
            <w:r>
              <w:rPr>
                <w:rFonts w:ascii="宋体" w:hAnsi="宋体"/>
                <w:color w:val="000000"/>
                <w:kern w:val="0"/>
                <w:sz w:val="18"/>
                <w:szCs w:val="18"/>
              </w:rPr>
              <w:t>2012年</w:t>
            </w:r>
            <w:r>
              <w:rPr>
                <w:rFonts w:hint="eastAsia" w:ascii="宋体" w:hAnsi="宋体"/>
                <w:color w:val="000000"/>
                <w:kern w:val="0"/>
                <w:sz w:val="18"/>
                <w:szCs w:val="18"/>
              </w:rPr>
              <w:t>（%）</w:t>
            </w:r>
          </w:p>
        </w:tc>
        <w:tc>
          <w:tcPr>
            <w:tcW w:w="1218" w:type="dxa"/>
            <w:vAlign w:val="center"/>
          </w:tcPr>
          <w:p w14:paraId="42C4509B">
            <w:pPr>
              <w:widowControl/>
              <w:jc w:val="center"/>
              <w:rPr>
                <w:rFonts w:ascii="宋体" w:hAnsi="宋体"/>
                <w:color w:val="000000"/>
                <w:kern w:val="0"/>
                <w:sz w:val="18"/>
                <w:szCs w:val="18"/>
              </w:rPr>
            </w:pPr>
            <w:r>
              <w:rPr>
                <w:rFonts w:ascii="宋体" w:hAnsi="宋体"/>
                <w:color w:val="000000"/>
                <w:kern w:val="0"/>
                <w:sz w:val="18"/>
                <w:szCs w:val="18"/>
              </w:rPr>
              <w:t>2011年</w:t>
            </w:r>
            <w:r>
              <w:rPr>
                <w:rFonts w:hint="eastAsia" w:ascii="宋体" w:hAnsi="宋体"/>
                <w:color w:val="000000"/>
                <w:kern w:val="0"/>
                <w:sz w:val="18"/>
                <w:szCs w:val="18"/>
              </w:rPr>
              <w:t>（%）</w:t>
            </w:r>
          </w:p>
        </w:tc>
        <w:tc>
          <w:tcPr>
            <w:tcW w:w="1218" w:type="dxa"/>
          </w:tcPr>
          <w:p w14:paraId="6AD64032">
            <w:pPr>
              <w:widowControl/>
              <w:jc w:val="center"/>
              <w:rPr>
                <w:rFonts w:ascii="宋体" w:hAnsi="宋体"/>
                <w:color w:val="000000"/>
                <w:kern w:val="0"/>
                <w:sz w:val="18"/>
                <w:szCs w:val="18"/>
              </w:rPr>
            </w:pPr>
            <w:r>
              <w:rPr>
                <w:rFonts w:ascii="宋体" w:hAnsi="宋体"/>
                <w:color w:val="000000"/>
                <w:kern w:val="0"/>
                <w:sz w:val="18"/>
                <w:szCs w:val="18"/>
              </w:rPr>
              <w:t>三年平均</w:t>
            </w:r>
            <w:r>
              <w:rPr>
                <w:rFonts w:hint="eastAsia" w:ascii="宋体" w:hAnsi="宋体"/>
                <w:color w:val="000000"/>
                <w:kern w:val="0"/>
                <w:sz w:val="18"/>
                <w:szCs w:val="18"/>
              </w:rPr>
              <w:t>（%）</w:t>
            </w:r>
          </w:p>
        </w:tc>
        <w:tc>
          <w:tcPr>
            <w:tcW w:w="1218" w:type="dxa"/>
          </w:tcPr>
          <w:p w14:paraId="422DBE6F">
            <w:pPr>
              <w:widowControl/>
              <w:jc w:val="center"/>
              <w:rPr>
                <w:rFonts w:ascii="宋体" w:hAnsi="宋体"/>
                <w:color w:val="000000"/>
                <w:kern w:val="0"/>
                <w:sz w:val="18"/>
                <w:szCs w:val="18"/>
              </w:rPr>
            </w:pPr>
            <w:r>
              <w:rPr>
                <w:rFonts w:ascii="宋体" w:hAnsi="宋体"/>
                <w:color w:val="000000"/>
                <w:kern w:val="0"/>
                <w:sz w:val="18"/>
                <w:szCs w:val="18"/>
              </w:rPr>
              <w:t>平均值</w:t>
            </w:r>
            <w:r>
              <w:rPr>
                <w:rFonts w:hint="eastAsia" w:ascii="宋体" w:hAnsi="宋体"/>
                <w:color w:val="000000"/>
                <w:kern w:val="0"/>
                <w:sz w:val="18"/>
                <w:szCs w:val="18"/>
              </w:rPr>
              <w:t>（%）</w:t>
            </w:r>
          </w:p>
        </w:tc>
      </w:tr>
      <w:tr w14:paraId="34F78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475" w:type="dxa"/>
            <w:vMerge w:val="restart"/>
            <w:vAlign w:val="center"/>
          </w:tcPr>
          <w:p w14:paraId="19247052">
            <w:pPr>
              <w:widowControl/>
              <w:jc w:val="left"/>
              <w:rPr>
                <w:rFonts w:ascii="宋体" w:hAnsi="宋体"/>
                <w:color w:val="000000"/>
                <w:kern w:val="0"/>
                <w:sz w:val="18"/>
                <w:szCs w:val="18"/>
              </w:rPr>
            </w:pPr>
            <w:r>
              <w:rPr>
                <w:rFonts w:ascii="宋体" w:hAnsi="宋体"/>
                <w:color w:val="000000"/>
                <w:kern w:val="0"/>
                <w:sz w:val="18"/>
                <w:szCs w:val="18"/>
              </w:rPr>
              <w:t>营运资金比例</w:t>
            </w:r>
          </w:p>
        </w:tc>
        <w:tc>
          <w:tcPr>
            <w:tcW w:w="1511" w:type="dxa"/>
            <w:vAlign w:val="center"/>
          </w:tcPr>
          <w:p w14:paraId="761EFFE1">
            <w:pPr>
              <w:widowControl/>
              <w:jc w:val="center"/>
              <w:rPr>
                <w:rFonts w:ascii="宋体" w:hAnsi="宋体"/>
                <w:color w:val="000000"/>
                <w:kern w:val="0"/>
                <w:sz w:val="18"/>
                <w:szCs w:val="18"/>
              </w:rPr>
            </w:pPr>
            <w:r>
              <w:rPr>
                <w:rFonts w:ascii="宋体" w:hAnsi="宋体"/>
                <w:color w:val="000000"/>
                <w:kern w:val="0"/>
                <w:sz w:val="18"/>
                <w:szCs w:val="18"/>
              </w:rPr>
              <w:t>华东医药</w:t>
            </w:r>
          </w:p>
        </w:tc>
        <w:tc>
          <w:tcPr>
            <w:tcW w:w="1220" w:type="dxa"/>
            <w:vAlign w:val="center"/>
          </w:tcPr>
          <w:p w14:paraId="0456B343">
            <w:pPr>
              <w:widowControl/>
              <w:jc w:val="center"/>
              <w:rPr>
                <w:rFonts w:ascii="宋体" w:hAnsi="宋体"/>
                <w:color w:val="000000"/>
                <w:sz w:val="18"/>
                <w:szCs w:val="18"/>
              </w:rPr>
            </w:pPr>
            <w:r>
              <w:rPr>
                <w:rFonts w:ascii="宋体" w:hAnsi="宋体"/>
                <w:color w:val="000000"/>
                <w:sz w:val="18"/>
                <w:szCs w:val="18"/>
              </w:rPr>
              <w:t>17.3</w:t>
            </w:r>
          </w:p>
        </w:tc>
        <w:tc>
          <w:tcPr>
            <w:tcW w:w="1218" w:type="dxa"/>
            <w:vAlign w:val="center"/>
          </w:tcPr>
          <w:p w14:paraId="7E27620B">
            <w:pPr>
              <w:jc w:val="center"/>
              <w:rPr>
                <w:rFonts w:ascii="宋体" w:hAnsi="宋体"/>
                <w:color w:val="000000"/>
                <w:sz w:val="18"/>
                <w:szCs w:val="18"/>
              </w:rPr>
            </w:pPr>
            <w:r>
              <w:rPr>
                <w:rFonts w:ascii="宋体" w:hAnsi="宋体"/>
                <w:color w:val="000000"/>
                <w:sz w:val="18"/>
                <w:szCs w:val="18"/>
              </w:rPr>
              <w:t>18.6</w:t>
            </w:r>
          </w:p>
        </w:tc>
        <w:tc>
          <w:tcPr>
            <w:tcW w:w="1218" w:type="dxa"/>
            <w:vAlign w:val="center"/>
          </w:tcPr>
          <w:p w14:paraId="12B342FC">
            <w:pPr>
              <w:jc w:val="center"/>
              <w:rPr>
                <w:rFonts w:ascii="宋体" w:hAnsi="宋体"/>
                <w:color w:val="000000"/>
                <w:sz w:val="18"/>
                <w:szCs w:val="18"/>
              </w:rPr>
            </w:pPr>
            <w:r>
              <w:rPr>
                <w:rFonts w:ascii="宋体" w:hAnsi="宋体"/>
                <w:color w:val="000000"/>
                <w:sz w:val="18"/>
                <w:szCs w:val="18"/>
              </w:rPr>
              <w:t>21.8</w:t>
            </w:r>
          </w:p>
        </w:tc>
        <w:tc>
          <w:tcPr>
            <w:tcW w:w="1218" w:type="dxa"/>
            <w:vAlign w:val="center"/>
          </w:tcPr>
          <w:p w14:paraId="2771E25E">
            <w:pPr>
              <w:jc w:val="center"/>
              <w:rPr>
                <w:rFonts w:ascii="宋体" w:hAnsi="宋体"/>
                <w:color w:val="000000"/>
                <w:sz w:val="18"/>
                <w:szCs w:val="18"/>
              </w:rPr>
            </w:pPr>
            <w:r>
              <w:rPr>
                <w:rFonts w:ascii="宋体" w:hAnsi="宋体"/>
                <w:color w:val="000000"/>
                <w:sz w:val="18"/>
                <w:szCs w:val="18"/>
              </w:rPr>
              <w:t>19.2</w:t>
            </w:r>
          </w:p>
        </w:tc>
        <w:tc>
          <w:tcPr>
            <w:tcW w:w="1218" w:type="dxa"/>
            <w:vMerge w:val="restart"/>
            <w:vAlign w:val="center"/>
          </w:tcPr>
          <w:p w14:paraId="1090809F">
            <w:pPr>
              <w:jc w:val="center"/>
              <w:rPr>
                <w:rFonts w:ascii="宋体" w:hAnsi="宋体"/>
                <w:color w:val="000000"/>
                <w:sz w:val="18"/>
                <w:szCs w:val="18"/>
              </w:rPr>
            </w:pPr>
            <w:r>
              <w:rPr>
                <w:rFonts w:ascii="宋体" w:hAnsi="宋体"/>
                <w:color w:val="000000"/>
                <w:sz w:val="18"/>
                <w:szCs w:val="18"/>
              </w:rPr>
              <w:t>21.0</w:t>
            </w:r>
          </w:p>
        </w:tc>
      </w:tr>
      <w:tr w14:paraId="793DC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475" w:type="dxa"/>
            <w:vMerge w:val="continue"/>
            <w:vAlign w:val="center"/>
          </w:tcPr>
          <w:p w14:paraId="3D3E3890">
            <w:pPr>
              <w:widowControl/>
              <w:jc w:val="left"/>
              <w:rPr>
                <w:rFonts w:ascii="宋体" w:hAnsi="宋体"/>
                <w:color w:val="000000"/>
                <w:kern w:val="0"/>
                <w:sz w:val="18"/>
                <w:szCs w:val="18"/>
              </w:rPr>
            </w:pPr>
          </w:p>
        </w:tc>
        <w:tc>
          <w:tcPr>
            <w:tcW w:w="1511" w:type="dxa"/>
            <w:vAlign w:val="center"/>
          </w:tcPr>
          <w:p w14:paraId="542272D7">
            <w:pPr>
              <w:widowControl/>
              <w:jc w:val="center"/>
              <w:rPr>
                <w:rFonts w:ascii="宋体" w:hAnsi="宋体"/>
                <w:color w:val="000000"/>
                <w:kern w:val="0"/>
                <w:sz w:val="18"/>
                <w:szCs w:val="18"/>
              </w:rPr>
            </w:pPr>
            <w:r>
              <w:rPr>
                <w:rFonts w:ascii="宋体" w:hAnsi="宋体"/>
                <w:color w:val="000000"/>
                <w:kern w:val="0"/>
                <w:sz w:val="18"/>
                <w:szCs w:val="18"/>
              </w:rPr>
              <w:t>康恩贝</w:t>
            </w:r>
          </w:p>
        </w:tc>
        <w:tc>
          <w:tcPr>
            <w:tcW w:w="1220" w:type="dxa"/>
            <w:vAlign w:val="center"/>
          </w:tcPr>
          <w:p w14:paraId="3A21604F">
            <w:pPr>
              <w:jc w:val="center"/>
              <w:rPr>
                <w:rFonts w:ascii="宋体" w:hAnsi="宋体"/>
                <w:color w:val="000000"/>
                <w:sz w:val="18"/>
                <w:szCs w:val="18"/>
              </w:rPr>
            </w:pPr>
            <w:r>
              <w:rPr>
                <w:rFonts w:ascii="宋体" w:hAnsi="宋体"/>
                <w:color w:val="000000"/>
                <w:sz w:val="18"/>
                <w:szCs w:val="18"/>
              </w:rPr>
              <w:t>16.7</w:t>
            </w:r>
          </w:p>
        </w:tc>
        <w:tc>
          <w:tcPr>
            <w:tcW w:w="1218" w:type="dxa"/>
            <w:vAlign w:val="center"/>
          </w:tcPr>
          <w:p w14:paraId="1ACFDE0B">
            <w:pPr>
              <w:jc w:val="center"/>
              <w:rPr>
                <w:rFonts w:ascii="宋体" w:hAnsi="宋体"/>
                <w:color w:val="000000"/>
                <w:sz w:val="18"/>
                <w:szCs w:val="18"/>
              </w:rPr>
            </w:pPr>
            <w:r>
              <w:rPr>
                <w:rFonts w:ascii="宋体" w:hAnsi="宋体"/>
                <w:color w:val="000000"/>
                <w:sz w:val="18"/>
                <w:szCs w:val="18"/>
              </w:rPr>
              <w:t>28.4</w:t>
            </w:r>
          </w:p>
        </w:tc>
        <w:tc>
          <w:tcPr>
            <w:tcW w:w="1218" w:type="dxa"/>
            <w:vAlign w:val="center"/>
          </w:tcPr>
          <w:p w14:paraId="29E87BAC">
            <w:pPr>
              <w:jc w:val="center"/>
              <w:rPr>
                <w:rFonts w:ascii="宋体" w:hAnsi="宋体"/>
                <w:color w:val="000000"/>
                <w:sz w:val="18"/>
                <w:szCs w:val="18"/>
              </w:rPr>
            </w:pPr>
            <w:r>
              <w:rPr>
                <w:rFonts w:ascii="宋体" w:hAnsi="宋体"/>
                <w:color w:val="000000"/>
                <w:sz w:val="18"/>
                <w:szCs w:val="18"/>
              </w:rPr>
              <w:t>28.3</w:t>
            </w:r>
          </w:p>
        </w:tc>
        <w:tc>
          <w:tcPr>
            <w:tcW w:w="1218" w:type="dxa"/>
            <w:vAlign w:val="center"/>
          </w:tcPr>
          <w:p w14:paraId="5917BF32">
            <w:pPr>
              <w:jc w:val="center"/>
              <w:rPr>
                <w:rFonts w:ascii="宋体" w:hAnsi="宋体"/>
                <w:color w:val="000000"/>
                <w:sz w:val="18"/>
                <w:szCs w:val="18"/>
              </w:rPr>
            </w:pPr>
            <w:r>
              <w:rPr>
                <w:rFonts w:ascii="宋体" w:hAnsi="宋体"/>
                <w:color w:val="000000"/>
                <w:sz w:val="18"/>
                <w:szCs w:val="18"/>
              </w:rPr>
              <w:t>24.4</w:t>
            </w:r>
          </w:p>
        </w:tc>
        <w:tc>
          <w:tcPr>
            <w:tcW w:w="1218" w:type="dxa"/>
            <w:vMerge w:val="continue"/>
            <w:vAlign w:val="center"/>
          </w:tcPr>
          <w:p w14:paraId="740DE5DA">
            <w:pPr>
              <w:jc w:val="center"/>
              <w:rPr>
                <w:rFonts w:ascii="宋体" w:hAnsi="宋体"/>
                <w:color w:val="000000"/>
                <w:sz w:val="18"/>
                <w:szCs w:val="18"/>
              </w:rPr>
            </w:pPr>
          </w:p>
        </w:tc>
      </w:tr>
      <w:tr w14:paraId="629BA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475" w:type="dxa"/>
            <w:vMerge w:val="continue"/>
            <w:vAlign w:val="center"/>
          </w:tcPr>
          <w:p w14:paraId="5B217EFD">
            <w:pPr>
              <w:widowControl/>
              <w:jc w:val="left"/>
              <w:rPr>
                <w:rFonts w:ascii="宋体" w:hAnsi="宋体"/>
                <w:color w:val="000000"/>
                <w:kern w:val="0"/>
                <w:sz w:val="18"/>
                <w:szCs w:val="18"/>
              </w:rPr>
            </w:pPr>
          </w:p>
        </w:tc>
        <w:tc>
          <w:tcPr>
            <w:tcW w:w="1511" w:type="dxa"/>
            <w:vAlign w:val="center"/>
          </w:tcPr>
          <w:p w14:paraId="275C1C98">
            <w:pPr>
              <w:widowControl/>
              <w:jc w:val="center"/>
              <w:rPr>
                <w:rFonts w:ascii="宋体" w:hAnsi="宋体"/>
                <w:color w:val="000000"/>
                <w:kern w:val="0"/>
                <w:sz w:val="18"/>
                <w:szCs w:val="18"/>
              </w:rPr>
            </w:pPr>
            <w:r>
              <w:rPr>
                <w:rFonts w:ascii="宋体" w:hAnsi="宋体"/>
                <w:color w:val="000000"/>
                <w:kern w:val="0"/>
                <w:sz w:val="18"/>
                <w:szCs w:val="18"/>
              </w:rPr>
              <w:t>奇正藏药</w:t>
            </w:r>
          </w:p>
        </w:tc>
        <w:tc>
          <w:tcPr>
            <w:tcW w:w="1220" w:type="dxa"/>
            <w:vAlign w:val="center"/>
          </w:tcPr>
          <w:p w14:paraId="48C5D6A0">
            <w:pPr>
              <w:jc w:val="center"/>
              <w:rPr>
                <w:rFonts w:ascii="宋体" w:hAnsi="宋体"/>
                <w:color w:val="000000"/>
                <w:sz w:val="18"/>
                <w:szCs w:val="18"/>
              </w:rPr>
            </w:pPr>
            <w:r>
              <w:rPr>
                <w:rFonts w:ascii="宋体" w:hAnsi="宋体"/>
                <w:color w:val="000000"/>
                <w:sz w:val="18"/>
                <w:szCs w:val="18"/>
              </w:rPr>
              <w:t>15.9</w:t>
            </w:r>
          </w:p>
        </w:tc>
        <w:tc>
          <w:tcPr>
            <w:tcW w:w="1218" w:type="dxa"/>
            <w:vAlign w:val="center"/>
          </w:tcPr>
          <w:p w14:paraId="3869886E">
            <w:pPr>
              <w:jc w:val="center"/>
              <w:rPr>
                <w:rFonts w:ascii="宋体" w:hAnsi="宋体"/>
                <w:color w:val="000000"/>
                <w:sz w:val="18"/>
                <w:szCs w:val="18"/>
              </w:rPr>
            </w:pPr>
            <w:r>
              <w:rPr>
                <w:rFonts w:ascii="宋体" w:hAnsi="宋体"/>
                <w:color w:val="000000"/>
                <w:sz w:val="18"/>
                <w:szCs w:val="18"/>
              </w:rPr>
              <w:t>22.9</w:t>
            </w:r>
          </w:p>
        </w:tc>
        <w:tc>
          <w:tcPr>
            <w:tcW w:w="1218" w:type="dxa"/>
            <w:vAlign w:val="center"/>
          </w:tcPr>
          <w:p w14:paraId="2E8877A6">
            <w:pPr>
              <w:jc w:val="center"/>
              <w:rPr>
                <w:rFonts w:ascii="宋体" w:hAnsi="宋体"/>
                <w:color w:val="000000"/>
                <w:sz w:val="18"/>
                <w:szCs w:val="18"/>
              </w:rPr>
            </w:pPr>
            <w:r>
              <w:rPr>
                <w:rFonts w:ascii="宋体" w:hAnsi="宋体"/>
                <w:color w:val="000000"/>
                <w:sz w:val="18"/>
                <w:szCs w:val="18"/>
              </w:rPr>
              <w:t>19.1</w:t>
            </w:r>
          </w:p>
        </w:tc>
        <w:tc>
          <w:tcPr>
            <w:tcW w:w="1218" w:type="dxa"/>
            <w:vAlign w:val="center"/>
          </w:tcPr>
          <w:p w14:paraId="39E45F2E">
            <w:pPr>
              <w:jc w:val="center"/>
              <w:rPr>
                <w:rFonts w:ascii="宋体" w:hAnsi="宋体"/>
                <w:color w:val="000000"/>
                <w:sz w:val="18"/>
                <w:szCs w:val="18"/>
              </w:rPr>
            </w:pPr>
            <w:r>
              <w:rPr>
                <w:rFonts w:ascii="宋体" w:hAnsi="宋体"/>
                <w:color w:val="000000"/>
                <w:sz w:val="18"/>
                <w:szCs w:val="18"/>
              </w:rPr>
              <w:t>19.3</w:t>
            </w:r>
          </w:p>
        </w:tc>
        <w:tc>
          <w:tcPr>
            <w:tcW w:w="1218" w:type="dxa"/>
            <w:vMerge w:val="continue"/>
            <w:vAlign w:val="center"/>
          </w:tcPr>
          <w:p w14:paraId="29DDB8B1">
            <w:pPr>
              <w:jc w:val="center"/>
              <w:rPr>
                <w:rFonts w:ascii="宋体" w:hAnsi="宋体"/>
                <w:color w:val="000000"/>
                <w:sz w:val="18"/>
                <w:szCs w:val="18"/>
              </w:rPr>
            </w:pPr>
          </w:p>
        </w:tc>
      </w:tr>
      <w:tr w14:paraId="756E4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475" w:type="dxa"/>
            <w:vMerge w:val="restart"/>
            <w:vAlign w:val="center"/>
          </w:tcPr>
          <w:p w14:paraId="5EBCEF91">
            <w:pPr>
              <w:widowControl/>
              <w:jc w:val="left"/>
              <w:rPr>
                <w:rFonts w:ascii="宋体" w:hAnsi="宋体"/>
                <w:color w:val="000000"/>
                <w:kern w:val="0"/>
                <w:sz w:val="18"/>
                <w:szCs w:val="18"/>
              </w:rPr>
            </w:pPr>
            <w:r>
              <w:rPr>
                <w:rFonts w:ascii="宋体" w:hAnsi="宋体"/>
                <w:color w:val="000000"/>
                <w:kern w:val="0"/>
                <w:sz w:val="18"/>
                <w:szCs w:val="18"/>
              </w:rPr>
              <w:t>有形非流动资产比例</w:t>
            </w:r>
          </w:p>
        </w:tc>
        <w:tc>
          <w:tcPr>
            <w:tcW w:w="1511" w:type="dxa"/>
            <w:vAlign w:val="center"/>
          </w:tcPr>
          <w:p w14:paraId="194ABC5B">
            <w:pPr>
              <w:widowControl/>
              <w:jc w:val="center"/>
              <w:rPr>
                <w:rFonts w:ascii="宋体" w:hAnsi="宋体"/>
                <w:color w:val="000000"/>
                <w:kern w:val="0"/>
                <w:sz w:val="18"/>
                <w:szCs w:val="18"/>
              </w:rPr>
            </w:pPr>
            <w:r>
              <w:rPr>
                <w:rFonts w:ascii="宋体" w:hAnsi="宋体"/>
                <w:color w:val="000000"/>
                <w:kern w:val="0"/>
                <w:sz w:val="18"/>
                <w:szCs w:val="18"/>
              </w:rPr>
              <w:t>华东医药</w:t>
            </w:r>
          </w:p>
        </w:tc>
        <w:tc>
          <w:tcPr>
            <w:tcW w:w="1220" w:type="dxa"/>
            <w:vAlign w:val="center"/>
          </w:tcPr>
          <w:p w14:paraId="6703B5FA">
            <w:pPr>
              <w:widowControl/>
              <w:jc w:val="center"/>
              <w:rPr>
                <w:rFonts w:ascii="宋体" w:hAnsi="宋体"/>
                <w:color w:val="000000"/>
                <w:sz w:val="18"/>
                <w:szCs w:val="18"/>
              </w:rPr>
            </w:pPr>
            <w:r>
              <w:rPr>
                <w:rFonts w:ascii="宋体" w:hAnsi="宋体"/>
                <w:color w:val="000000"/>
                <w:sz w:val="18"/>
                <w:szCs w:val="18"/>
              </w:rPr>
              <w:t>8.4</w:t>
            </w:r>
          </w:p>
        </w:tc>
        <w:tc>
          <w:tcPr>
            <w:tcW w:w="1218" w:type="dxa"/>
            <w:vAlign w:val="center"/>
          </w:tcPr>
          <w:p w14:paraId="6D14EBC4">
            <w:pPr>
              <w:jc w:val="center"/>
              <w:rPr>
                <w:rFonts w:ascii="宋体" w:hAnsi="宋体"/>
                <w:color w:val="000000"/>
                <w:sz w:val="18"/>
                <w:szCs w:val="18"/>
              </w:rPr>
            </w:pPr>
            <w:r>
              <w:rPr>
                <w:rFonts w:ascii="宋体" w:hAnsi="宋体"/>
                <w:color w:val="000000"/>
                <w:sz w:val="18"/>
                <w:szCs w:val="18"/>
              </w:rPr>
              <w:t>9.2</w:t>
            </w:r>
          </w:p>
        </w:tc>
        <w:tc>
          <w:tcPr>
            <w:tcW w:w="1218" w:type="dxa"/>
            <w:vAlign w:val="center"/>
          </w:tcPr>
          <w:p w14:paraId="3B8431A1">
            <w:pPr>
              <w:jc w:val="center"/>
              <w:rPr>
                <w:rFonts w:ascii="宋体" w:hAnsi="宋体"/>
                <w:color w:val="000000"/>
                <w:sz w:val="18"/>
                <w:szCs w:val="18"/>
              </w:rPr>
            </w:pPr>
            <w:r>
              <w:rPr>
                <w:rFonts w:ascii="宋体" w:hAnsi="宋体"/>
                <w:color w:val="000000"/>
                <w:sz w:val="18"/>
                <w:szCs w:val="18"/>
              </w:rPr>
              <w:t>9.0</w:t>
            </w:r>
          </w:p>
        </w:tc>
        <w:tc>
          <w:tcPr>
            <w:tcW w:w="1218" w:type="dxa"/>
            <w:vAlign w:val="center"/>
          </w:tcPr>
          <w:p w14:paraId="7DB2F371">
            <w:pPr>
              <w:jc w:val="center"/>
              <w:rPr>
                <w:rFonts w:ascii="宋体" w:hAnsi="宋体"/>
                <w:color w:val="000000"/>
                <w:sz w:val="18"/>
                <w:szCs w:val="18"/>
              </w:rPr>
            </w:pPr>
            <w:r>
              <w:rPr>
                <w:rFonts w:ascii="宋体" w:hAnsi="宋体"/>
                <w:color w:val="000000"/>
                <w:sz w:val="18"/>
                <w:szCs w:val="18"/>
              </w:rPr>
              <w:t>8.9</w:t>
            </w:r>
          </w:p>
        </w:tc>
        <w:tc>
          <w:tcPr>
            <w:tcW w:w="1218" w:type="dxa"/>
            <w:vMerge w:val="restart"/>
            <w:vAlign w:val="center"/>
          </w:tcPr>
          <w:p w14:paraId="7C1A7576">
            <w:pPr>
              <w:jc w:val="center"/>
              <w:rPr>
                <w:rFonts w:ascii="宋体" w:hAnsi="宋体"/>
                <w:color w:val="000000"/>
                <w:sz w:val="18"/>
                <w:szCs w:val="18"/>
              </w:rPr>
            </w:pPr>
            <w:r>
              <w:rPr>
                <w:rFonts w:ascii="宋体" w:hAnsi="宋体"/>
                <w:color w:val="000000"/>
                <w:sz w:val="18"/>
                <w:szCs w:val="18"/>
              </w:rPr>
              <w:t>13.1</w:t>
            </w:r>
          </w:p>
        </w:tc>
      </w:tr>
      <w:tr w14:paraId="7DDE0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475" w:type="dxa"/>
            <w:vMerge w:val="continue"/>
            <w:vAlign w:val="center"/>
          </w:tcPr>
          <w:p w14:paraId="5C78279D">
            <w:pPr>
              <w:widowControl/>
              <w:jc w:val="left"/>
              <w:rPr>
                <w:rFonts w:ascii="宋体" w:hAnsi="宋体"/>
                <w:color w:val="000000"/>
                <w:kern w:val="0"/>
                <w:sz w:val="18"/>
                <w:szCs w:val="18"/>
              </w:rPr>
            </w:pPr>
          </w:p>
        </w:tc>
        <w:tc>
          <w:tcPr>
            <w:tcW w:w="1511" w:type="dxa"/>
            <w:vAlign w:val="center"/>
          </w:tcPr>
          <w:p w14:paraId="71970641">
            <w:pPr>
              <w:widowControl/>
              <w:jc w:val="center"/>
              <w:rPr>
                <w:rFonts w:ascii="宋体" w:hAnsi="宋体"/>
                <w:color w:val="000000"/>
                <w:kern w:val="0"/>
                <w:sz w:val="18"/>
                <w:szCs w:val="18"/>
              </w:rPr>
            </w:pPr>
            <w:r>
              <w:rPr>
                <w:rFonts w:ascii="宋体" w:hAnsi="宋体"/>
                <w:color w:val="000000"/>
                <w:kern w:val="0"/>
                <w:sz w:val="18"/>
                <w:szCs w:val="18"/>
              </w:rPr>
              <w:t>康恩贝</w:t>
            </w:r>
          </w:p>
        </w:tc>
        <w:tc>
          <w:tcPr>
            <w:tcW w:w="1220" w:type="dxa"/>
            <w:vAlign w:val="center"/>
          </w:tcPr>
          <w:p w14:paraId="00CBF9A9">
            <w:pPr>
              <w:jc w:val="center"/>
              <w:rPr>
                <w:rFonts w:ascii="宋体" w:hAnsi="宋体"/>
                <w:color w:val="000000"/>
                <w:sz w:val="18"/>
                <w:szCs w:val="18"/>
              </w:rPr>
            </w:pPr>
            <w:r>
              <w:rPr>
                <w:rFonts w:ascii="宋体" w:hAnsi="宋体"/>
                <w:color w:val="000000"/>
                <w:sz w:val="18"/>
                <w:szCs w:val="18"/>
              </w:rPr>
              <w:t>22.0</w:t>
            </w:r>
          </w:p>
        </w:tc>
        <w:tc>
          <w:tcPr>
            <w:tcW w:w="1218" w:type="dxa"/>
            <w:vAlign w:val="center"/>
          </w:tcPr>
          <w:p w14:paraId="626012D3">
            <w:pPr>
              <w:jc w:val="center"/>
              <w:rPr>
                <w:rFonts w:ascii="宋体" w:hAnsi="宋体"/>
                <w:color w:val="000000"/>
                <w:sz w:val="18"/>
                <w:szCs w:val="18"/>
              </w:rPr>
            </w:pPr>
            <w:r>
              <w:rPr>
                <w:rFonts w:ascii="宋体" w:hAnsi="宋体"/>
                <w:color w:val="000000"/>
                <w:sz w:val="18"/>
                <w:szCs w:val="18"/>
              </w:rPr>
              <w:t>23.1</w:t>
            </w:r>
          </w:p>
        </w:tc>
        <w:tc>
          <w:tcPr>
            <w:tcW w:w="1218" w:type="dxa"/>
            <w:vAlign w:val="center"/>
          </w:tcPr>
          <w:p w14:paraId="06494107">
            <w:pPr>
              <w:jc w:val="center"/>
              <w:rPr>
                <w:rFonts w:ascii="宋体" w:hAnsi="宋体"/>
                <w:color w:val="000000"/>
                <w:sz w:val="18"/>
                <w:szCs w:val="18"/>
              </w:rPr>
            </w:pPr>
            <w:r>
              <w:rPr>
                <w:rFonts w:ascii="宋体" w:hAnsi="宋体"/>
                <w:color w:val="000000"/>
                <w:sz w:val="18"/>
                <w:szCs w:val="18"/>
              </w:rPr>
              <w:t>29.3</w:t>
            </w:r>
          </w:p>
        </w:tc>
        <w:tc>
          <w:tcPr>
            <w:tcW w:w="1218" w:type="dxa"/>
            <w:vAlign w:val="center"/>
          </w:tcPr>
          <w:p w14:paraId="6FE4AC22">
            <w:pPr>
              <w:jc w:val="center"/>
              <w:rPr>
                <w:rFonts w:ascii="宋体" w:hAnsi="宋体"/>
                <w:color w:val="000000"/>
                <w:sz w:val="18"/>
                <w:szCs w:val="18"/>
              </w:rPr>
            </w:pPr>
            <w:r>
              <w:rPr>
                <w:rFonts w:ascii="宋体" w:hAnsi="宋体"/>
                <w:color w:val="000000"/>
                <w:sz w:val="18"/>
                <w:szCs w:val="18"/>
              </w:rPr>
              <w:t>24.8</w:t>
            </w:r>
          </w:p>
        </w:tc>
        <w:tc>
          <w:tcPr>
            <w:tcW w:w="1218" w:type="dxa"/>
            <w:vMerge w:val="continue"/>
            <w:vAlign w:val="center"/>
          </w:tcPr>
          <w:p w14:paraId="1FE6CCBB">
            <w:pPr>
              <w:jc w:val="center"/>
              <w:rPr>
                <w:rFonts w:ascii="宋体" w:hAnsi="宋体"/>
                <w:color w:val="000000"/>
                <w:sz w:val="18"/>
                <w:szCs w:val="18"/>
              </w:rPr>
            </w:pPr>
          </w:p>
        </w:tc>
      </w:tr>
      <w:tr w14:paraId="78662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475" w:type="dxa"/>
            <w:vMerge w:val="continue"/>
            <w:vAlign w:val="center"/>
          </w:tcPr>
          <w:p w14:paraId="39559BCB">
            <w:pPr>
              <w:widowControl/>
              <w:jc w:val="left"/>
              <w:rPr>
                <w:rFonts w:ascii="宋体" w:hAnsi="宋体"/>
                <w:color w:val="000000"/>
                <w:kern w:val="0"/>
                <w:sz w:val="18"/>
                <w:szCs w:val="18"/>
              </w:rPr>
            </w:pPr>
          </w:p>
        </w:tc>
        <w:tc>
          <w:tcPr>
            <w:tcW w:w="1511" w:type="dxa"/>
            <w:vAlign w:val="center"/>
          </w:tcPr>
          <w:p w14:paraId="09B49F89">
            <w:pPr>
              <w:widowControl/>
              <w:jc w:val="center"/>
              <w:rPr>
                <w:rFonts w:ascii="宋体" w:hAnsi="宋体"/>
                <w:color w:val="000000"/>
                <w:kern w:val="0"/>
                <w:sz w:val="18"/>
                <w:szCs w:val="18"/>
              </w:rPr>
            </w:pPr>
            <w:r>
              <w:rPr>
                <w:rFonts w:ascii="宋体" w:hAnsi="宋体"/>
                <w:color w:val="000000"/>
                <w:kern w:val="0"/>
                <w:sz w:val="18"/>
                <w:szCs w:val="18"/>
              </w:rPr>
              <w:t>奇正藏药</w:t>
            </w:r>
          </w:p>
        </w:tc>
        <w:tc>
          <w:tcPr>
            <w:tcW w:w="1220" w:type="dxa"/>
            <w:vAlign w:val="center"/>
          </w:tcPr>
          <w:p w14:paraId="58CE677B">
            <w:pPr>
              <w:jc w:val="center"/>
              <w:rPr>
                <w:rFonts w:ascii="宋体" w:hAnsi="宋体"/>
                <w:color w:val="000000"/>
                <w:sz w:val="18"/>
                <w:szCs w:val="18"/>
              </w:rPr>
            </w:pPr>
            <w:r>
              <w:rPr>
                <w:rFonts w:ascii="宋体" w:hAnsi="宋体"/>
                <w:color w:val="000000"/>
                <w:sz w:val="18"/>
                <w:szCs w:val="18"/>
              </w:rPr>
              <w:t>5.3</w:t>
            </w:r>
          </w:p>
        </w:tc>
        <w:tc>
          <w:tcPr>
            <w:tcW w:w="1218" w:type="dxa"/>
            <w:vAlign w:val="center"/>
          </w:tcPr>
          <w:p w14:paraId="27C5BB00">
            <w:pPr>
              <w:jc w:val="center"/>
              <w:rPr>
                <w:rFonts w:ascii="宋体" w:hAnsi="宋体"/>
                <w:color w:val="000000"/>
                <w:sz w:val="18"/>
                <w:szCs w:val="18"/>
              </w:rPr>
            </w:pPr>
            <w:r>
              <w:rPr>
                <w:rFonts w:ascii="宋体" w:hAnsi="宋体"/>
                <w:color w:val="000000"/>
                <w:sz w:val="18"/>
                <w:szCs w:val="18"/>
              </w:rPr>
              <w:t>6.3</w:t>
            </w:r>
          </w:p>
        </w:tc>
        <w:tc>
          <w:tcPr>
            <w:tcW w:w="1218" w:type="dxa"/>
            <w:vAlign w:val="center"/>
          </w:tcPr>
          <w:p w14:paraId="73908C96">
            <w:pPr>
              <w:jc w:val="center"/>
              <w:rPr>
                <w:rFonts w:ascii="宋体" w:hAnsi="宋体"/>
                <w:color w:val="000000"/>
                <w:sz w:val="18"/>
                <w:szCs w:val="18"/>
              </w:rPr>
            </w:pPr>
            <w:r>
              <w:rPr>
                <w:rFonts w:ascii="宋体" w:hAnsi="宋体"/>
                <w:color w:val="000000"/>
                <w:sz w:val="18"/>
                <w:szCs w:val="18"/>
              </w:rPr>
              <w:t>5.1</w:t>
            </w:r>
          </w:p>
        </w:tc>
        <w:tc>
          <w:tcPr>
            <w:tcW w:w="1218" w:type="dxa"/>
            <w:vAlign w:val="center"/>
          </w:tcPr>
          <w:p w14:paraId="488B6E2A">
            <w:pPr>
              <w:jc w:val="center"/>
              <w:rPr>
                <w:rFonts w:ascii="宋体" w:hAnsi="宋体"/>
                <w:color w:val="000000"/>
                <w:sz w:val="18"/>
                <w:szCs w:val="18"/>
              </w:rPr>
            </w:pPr>
            <w:r>
              <w:rPr>
                <w:rFonts w:ascii="宋体" w:hAnsi="宋体"/>
                <w:color w:val="000000"/>
                <w:sz w:val="18"/>
                <w:szCs w:val="18"/>
              </w:rPr>
              <w:t>5.6</w:t>
            </w:r>
          </w:p>
        </w:tc>
        <w:tc>
          <w:tcPr>
            <w:tcW w:w="1218" w:type="dxa"/>
            <w:vMerge w:val="continue"/>
            <w:vAlign w:val="center"/>
          </w:tcPr>
          <w:p w14:paraId="16316C8C">
            <w:pPr>
              <w:jc w:val="center"/>
              <w:rPr>
                <w:rFonts w:ascii="宋体" w:hAnsi="宋体"/>
                <w:color w:val="000000"/>
                <w:sz w:val="18"/>
                <w:szCs w:val="18"/>
              </w:rPr>
            </w:pPr>
          </w:p>
        </w:tc>
      </w:tr>
      <w:tr w14:paraId="5728D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475" w:type="dxa"/>
            <w:vMerge w:val="restart"/>
            <w:vAlign w:val="center"/>
          </w:tcPr>
          <w:p w14:paraId="26A23D14">
            <w:pPr>
              <w:widowControl/>
              <w:jc w:val="left"/>
              <w:rPr>
                <w:rFonts w:ascii="宋体" w:hAnsi="宋体"/>
                <w:color w:val="000000"/>
                <w:kern w:val="0"/>
                <w:sz w:val="18"/>
                <w:szCs w:val="18"/>
              </w:rPr>
            </w:pPr>
            <w:r>
              <w:rPr>
                <w:rFonts w:ascii="宋体" w:hAnsi="宋体"/>
                <w:color w:val="000000"/>
                <w:kern w:val="0"/>
                <w:sz w:val="18"/>
                <w:szCs w:val="18"/>
              </w:rPr>
              <w:t>无形资产比例</w:t>
            </w:r>
          </w:p>
        </w:tc>
        <w:tc>
          <w:tcPr>
            <w:tcW w:w="1511" w:type="dxa"/>
            <w:vAlign w:val="center"/>
          </w:tcPr>
          <w:p w14:paraId="6E0EDAA4">
            <w:pPr>
              <w:widowControl/>
              <w:jc w:val="center"/>
              <w:rPr>
                <w:rFonts w:ascii="宋体" w:hAnsi="宋体"/>
                <w:color w:val="000000"/>
                <w:kern w:val="0"/>
                <w:sz w:val="18"/>
                <w:szCs w:val="18"/>
              </w:rPr>
            </w:pPr>
            <w:r>
              <w:rPr>
                <w:rFonts w:ascii="宋体" w:hAnsi="宋体"/>
                <w:color w:val="000000"/>
                <w:kern w:val="0"/>
                <w:sz w:val="18"/>
                <w:szCs w:val="18"/>
              </w:rPr>
              <w:t>华东医药</w:t>
            </w:r>
          </w:p>
        </w:tc>
        <w:tc>
          <w:tcPr>
            <w:tcW w:w="1220" w:type="dxa"/>
            <w:vAlign w:val="center"/>
          </w:tcPr>
          <w:p w14:paraId="31439CCC">
            <w:pPr>
              <w:widowControl/>
              <w:jc w:val="center"/>
              <w:rPr>
                <w:rFonts w:ascii="宋体" w:hAnsi="宋体"/>
                <w:color w:val="000000"/>
                <w:sz w:val="18"/>
                <w:szCs w:val="18"/>
              </w:rPr>
            </w:pPr>
            <w:r>
              <w:rPr>
                <w:rFonts w:ascii="宋体" w:hAnsi="宋体"/>
                <w:color w:val="000000"/>
                <w:sz w:val="18"/>
                <w:szCs w:val="18"/>
              </w:rPr>
              <w:t>74.3</w:t>
            </w:r>
          </w:p>
        </w:tc>
        <w:tc>
          <w:tcPr>
            <w:tcW w:w="1218" w:type="dxa"/>
            <w:vAlign w:val="center"/>
          </w:tcPr>
          <w:p w14:paraId="5E5C2547">
            <w:pPr>
              <w:jc w:val="center"/>
              <w:rPr>
                <w:rFonts w:ascii="宋体" w:hAnsi="宋体"/>
                <w:color w:val="000000"/>
                <w:sz w:val="18"/>
                <w:szCs w:val="18"/>
              </w:rPr>
            </w:pPr>
            <w:r>
              <w:rPr>
                <w:rFonts w:ascii="宋体" w:hAnsi="宋体"/>
                <w:color w:val="000000"/>
                <w:sz w:val="18"/>
                <w:szCs w:val="18"/>
              </w:rPr>
              <w:t>72.2</w:t>
            </w:r>
          </w:p>
        </w:tc>
        <w:tc>
          <w:tcPr>
            <w:tcW w:w="1218" w:type="dxa"/>
            <w:vAlign w:val="center"/>
          </w:tcPr>
          <w:p w14:paraId="5C416E27">
            <w:pPr>
              <w:jc w:val="center"/>
              <w:rPr>
                <w:rFonts w:ascii="宋体" w:hAnsi="宋体"/>
                <w:color w:val="000000"/>
                <w:sz w:val="18"/>
                <w:szCs w:val="18"/>
              </w:rPr>
            </w:pPr>
            <w:r>
              <w:rPr>
                <w:rFonts w:ascii="宋体" w:hAnsi="宋体"/>
                <w:color w:val="000000"/>
                <w:sz w:val="18"/>
                <w:szCs w:val="18"/>
              </w:rPr>
              <w:t>69.1</w:t>
            </w:r>
          </w:p>
        </w:tc>
        <w:tc>
          <w:tcPr>
            <w:tcW w:w="1218" w:type="dxa"/>
            <w:vAlign w:val="center"/>
          </w:tcPr>
          <w:p w14:paraId="6AA0F097">
            <w:pPr>
              <w:jc w:val="center"/>
              <w:rPr>
                <w:rFonts w:ascii="宋体" w:hAnsi="宋体"/>
                <w:color w:val="000000"/>
                <w:sz w:val="18"/>
                <w:szCs w:val="18"/>
              </w:rPr>
            </w:pPr>
            <w:r>
              <w:rPr>
                <w:rFonts w:ascii="宋体" w:hAnsi="宋体"/>
                <w:color w:val="000000"/>
                <w:sz w:val="18"/>
                <w:szCs w:val="18"/>
              </w:rPr>
              <w:t>71.9</w:t>
            </w:r>
          </w:p>
        </w:tc>
        <w:tc>
          <w:tcPr>
            <w:tcW w:w="1218" w:type="dxa"/>
            <w:vMerge w:val="restart"/>
            <w:vAlign w:val="center"/>
          </w:tcPr>
          <w:p w14:paraId="73975A61">
            <w:pPr>
              <w:jc w:val="center"/>
              <w:rPr>
                <w:rFonts w:ascii="宋体" w:hAnsi="宋体"/>
                <w:color w:val="000000"/>
                <w:sz w:val="18"/>
                <w:szCs w:val="18"/>
              </w:rPr>
            </w:pPr>
            <w:r>
              <w:rPr>
                <w:rFonts w:ascii="宋体" w:hAnsi="宋体"/>
                <w:color w:val="000000"/>
                <w:sz w:val="18"/>
                <w:szCs w:val="18"/>
              </w:rPr>
              <w:t>65.9</w:t>
            </w:r>
          </w:p>
        </w:tc>
      </w:tr>
      <w:tr w14:paraId="6F14C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475" w:type="dxa"/>
            <w:vMerge w:val="continue"/>
            <w:vAlign w:val="center"/>
          </w:tcPr>
          <w:p w14:paraId="6D44C6F9">
            <w:pPr>
              <w:widowControl/>
              <w:jc w:val="left"/>
              <w:rPr>
                <w:rFonts w:ascii="宋体" w:hAnsi="宋体"/>
                <w:color w:val="000000"/>
                <w:kern w:val="0"/>
                <w:sz w:val="18"/>
                <w:szCs w:val="18"/>
              </w:rPr>
            </w:pPr>
          </w:p>
        </w:tc>
        <w:tc>
          <w:tcPr>
            <w:tcW w:w="1511" w:type="dxa"/>
            <w:vAlign w:val="center"/>
          </w:tcPr>
          <w:p w14:paraId="7BE00AC9">
            <w:pPr>
              <w:widowControl/>
              <w:jc w:val="center"/>
              <w:rPr>
                <w:rFonts w:ascii="宋体" w:hAnsi="宋体"/>
                <w:color w:val="000000"/>
                <w:kern w:val="0"/>
                <w:sz w:val="18"/>
                <w:szCs w:val="18"/>
              </w:rPr>
            </w:pPr>
            <w:r>
              <w:rPr>
                <w:rFonts w:ascii="宋体" w:hAnsi="宋体"/>
                <w:color w:val="000000"/>
                <w:kern w:val="0"/>
                <w:sz w:val="18"/>
                <w:szCs w:val="18"/>
              </w:rPr>
              <w:t>康恩贝</w:t>
            </w:r>
          </w:p>
        </w:tc>
        <w:tc>
          <w:tcPr>
            <w:tcW w:w="1220" w:type="dxa"/>
            <w:vAlign w:val="center"/>
          </w:tcPr>
          <w:p w14:paraId="4BE42ACD">
            <w:pPr>
              <w:jc w:val="center"/>
              <w:rPr>
                <w:rFonts w:ascii="宋体" w:hAnsi="宋体"/>
                <w:color w:val="000000"/>
                <w:sz w:val="18"/>
                <w:szCs w:val="18"/>
              </w:rPr>
            </w:pPr>
            <w:r>
              <w:rPr>
                <w:rFonts w:ascii="宋体" w:hAnsi="宋体"/>
                <w:color w:val="000000"/>
                <w:sz w:val="18"/>
                <w:szCs w:val="18"/>
              </w:rPr>
              <w:t>61.3</w:t>
            </w:r>
          </w:p>
        </w:tc>
        <w:tc>
          <w:tcPr>
            <w:tcW w:w="1218" w:type="dxa"/>
            <w:vAlign w:val="center"/>
          </w:tcPr>
          <w:p w14:paraId="3D92D98F">
            <w:pPr>
              <w:jc w:val="center"/>
              <w:rPr>
                <w:rFonts w:ascii="宋体" w:hAnsi="宋体"/>
                <w:color w:val="000000"/>
                <w:sz w:val="18"/>
                <w:szCs w:val="18"/>
              </w:rPr>
            </w:pPr>
            <w:r>
              <w:rPr>
                <w:rFonts w:ascii="宋体" w:hAnsi="宋体"/>
                <w:color w:val="000000"/>
                <w:sz w:val="18"/>
                <w:szCs w:val="18"/>
              </w:rPr>
              <w:t>48.5</w:t>
            </w:r>
          </w:p>
        </w:tc>
        <w:tc>
          <w:tcPr>
            <w:tcW w:w="1218" w:type="dxa"/>
            <w:vAlign w:val="center"/>
          </w:tcPr>
          <w:p w14:paraId="77097E7E">
            <w:pPr>
              <w:jc w:val="center"/>
              <w:rPr>
                <w:rFonts w:ascii="宋体" w:hAnsi="宋体"/>
                <w:color w:val="000000"/>
                <w:sz w:val="18"/>
                <w:szCs w:val="18"/>
              </w:rPr>
            </w:pPr>
            <w:r>
              <w:rPr>
                <w:rFonts w:ascii="宋体" w:hAnsi="宋体"/>
                <w:color w:val="000000"/>
                <w:sz w:val="18"/>
                <w:szCs w:val="18"/>
              </w:rPr>
              <w:t>42.5</w:t>
            </w:r>
          </w:p>
        </w:tc>
        <w:tc>
          <w:tcPr>
            <w:tcW w:w="1218" w:type="dxa"/>
            <w:vAlign w:val="center"/>
          </w:tcPr>
          <w:p w14:paraId="5E59E004">
            <w:pPr>
              <w:jc w:val="center"/>
              <w:rPr>
                <w:rFonts w:ascii="宋体" w:hAnsi="宋体"/>
                <w:color w:val="000000"/>
                <w:sz w:val="18"/>
                <w:szCs w:val="18"/>
              </w:rPr>
            </w:pPr>
            <w:r>
              <w:rPr>
                <w:rFonts w:ascii="宋体" w:hAnsi="宋体"/>
                <w:color w:val="000000"/>
                <w:sz w:val="18"/>
                <w:szCs w:val="18"/>
              </w:rPr>
              <w:t>50.8</w:t>
            </w:r>
          </w:p>
        </w:tc>
        <w:tc>
          <w:tcPr>
            <w:tcW w:w="1218" w:type="dxa"/>
            <w:vMerge w:val="continue"/>
          </w:tcPr>
          <w:p w14:paraId="071B1B1B">
            <w:pPr>
              <w:jc w:val="right"/>
              <w:rPr>
                <w:rFonts w:ascii="宋体" w:hAnsi="宋体"/>
                <w:color w:val="000000"/>
                <w:sz w:val="20"/>
              </w:rPr>
            </w:pPr>
          </w:p>
        </w:tc>
      </w:tr>
      <w:tr w14:paraId="46263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475" w:type="dxa"/>
            <w:vMerge w:val="continue"/>
            <w:vAlign w:val="center"/>
          </w:tcPr>
          <w:p w14:paraId="32C595F0">
            <w:pPr>
              <w:widowControl/>
              <w:jc w:val="left"/>
              <w:rPr>
                <w:rFonts w:ascii="宋体" w:hAnsi="宋体"/>
                <w:color w:val="000000"/>
                <w:kern w:val="0"/>
                <w:sz w:val="18"/>
                <w:szCs w:val="18"/>
              </w:rPr>
            </w:pPr>
          </w:p>
        </w:tc>
        <w:tc>
          <w:tcPr>
            <w:tcW w:w="1511" w:type="dxa"/>
            <w:vAlign w:val="center"/>
          </w:tcPr>
          <w:p w14:paraId="45FF3578">
            <w:pPr>
              <w:widowControl/>
              <w:jc w:val="center"/>
              <w:rPr>
                <w:rFonts w:ascii="宋体" w:hAnsi="宋体"/>
                <w:color w:val="000000"/>
                <w:kern w:val="0"/>
                <w:sz w:val="18"/>
                <w:szCs w:val="18"/>
              </w:rPr>
            </w:pPr>
            <w:r>
              <w:rPr>
                <w:rFonts w:ascii="宋体" w:hAnsi="宋体"/>
                <w:color w:val="000000"/>
                <w:kern w:val="0"/>
                <w:sz w:val="18"/>
                <w:szCs w:val="18"/>
              </w:rPr>
              <w:t>奇正藏药</w:t>
            </w:r>
          </w:p>
        </w:tc>
        <w:tc>
          <w:tcPr>
            <w:tcW w:w="1220" w:type="dxa"/>
            <w:vAlign w:val="center"/>
          </w:tcPr>
          <w:p w14:paraId="30B30A52">
            <w:pPr>
              <w:jc w:val="center"/>
              <w:rPr>
                <w:rFonts w:ascii="宋体" w:hAnsi="宋体"/>
                <w:color w:val="000000"/>
                <w:sz w:val="18"/>
                <w:szCs w:val="18"/>
              </w:rPr>
            </w:pPr>
            <w:r>
              <w:rPr>
                <w:rFonts w:ascii="宋体" w:hAnsi="宋体"/>
                <w:color w:val="000000"/>
                <w:sz w:val="18"/>
                <w:szCs w:val="18"/>
              </w:rPr>
              <w:t>78.8</w:t>
            </w:r>
          </w:p>
        </w:tc>
        <w:tc>
          <w:tcPr>
            <w:tcW w:w="1218" w:type="dxa"/>
            <w:vAlign w:val="center"/>
          </w:tcPr>
          <w:p w14:paraId="5F23B932">
            <w:pPr>
              <w:jc w:val="center"/>
              <w:rPr>
                <w:rFonts w:ascii="宋体" w:hAnsi="宋体"/>
                <w:color w:val="000000"/>
                <w:sz w:val="18"/>
                <w:szCs w:val="18"/>
              </w:rPr>
            </w:pPr>
            <w:r>
              <w:rPr>
                <w:rFonts w:ascii="宋体" w:hAnsi="宋体"/>
                <w:color w:val="000000"/>
                <w:sz w:val="18"/>
                <w:szCs w:val="18"/>
              </w:rPr>
              <w:t>70.7</w:t>
            </w:r>
          </w:p>
        </w:tc>
        <w:tc>
          <w:tcPr>
            <w:tcW w:w="1218" w:type="dxa"/>
            <w:vAlign w:val="center"/>
          </w:tcPr>
          <w:p w14:paraId="79E80E82">
            <w:pPr>
              <w:jc w:val="center"/>
              <w:rPr>
                <w:rFonts w:ascii="宋体" w:hAnsi="宋体"/>
                <w:color w:val="000000"/>
                <w:sz w:val="18"/>
                <w:szCs w:val="18"/>
              </w:rPr>
            </w:pPr>
            <w:r>
              <w:rPr>
                <w:rFonts w:ascii="宋体" w:hAnsi="宋体"/>
                <w:color w:val="000000"/>
                <w:sz w:val="18"/>
                <w:szCs w:val="18"/>
              </w:rPr>
              <w:t>75.9</w:t>
            </w:r>
          </w:p>
        </w:tc>
        <w:tc>
          <w:tcPr>
            <w:tcW w:w="1218" w:type="dxa"/>
            <w:vAlign w:val="center"/>
          </w:tcPr>
          <w:p w14:paraId="1FC3142B">
            <w:pPr>
              <w:jc w:val="center"/>
              <w:rPr>
                <w:rFonts w:ascii="宋体" w:hAnsi="宋体"/>
                <w:color w:val="000000"/>
                <w:sz w:val="18"/>
                <w:szCs w:val="18"/>
              </w:rPr>
            </w:pPr>
            <w:r>
              <w:rPr>
                <w:rFonts w:ascii="宋体" w:hAnsi="宋体"/>
                <w:color w:val="000000"/>
                <w:sz w:val="18"/>
                <w:szCs w:val="18"/>
              </w:rPr>
              <w:t>75.1</w:t>
            </w:r>
          </w:p>
        </w:tc>
        <w:tc>
          <w:tcPr>
            <w:tcW w:w="1218" w:type="dxa"/>
            <w:vMerge w:val="continue"/>
          </w:tcPr>
          <w:p w14:paraId="69E79F6A">
            <w:pPr>
              <w:jc w:val="right"/>
              <w:rPr>
                <w:rFonts w:ascii="宋体" w:hAnsi="宋体"/>
                <w:color w:val="000000"/>
                <w:sz w:val="20"/>
              </w:rPr>
            </w:pPr>
          </w:p>
        </w:tc>
      </w:tr>
    </w:tbl>
    <w:p w14:paraId="214D73CD">
      <w:pPr>
        <w:tabs>
          <w:tab w:val="left" w:pos="420"/>
          <w:tab w:val="left" w:pos="540"/>
        </w:tabs>
        <w:spacing w:afterLines="50" w:line="400" w:lineRule="exact"/>
        <w:rPr>
          <w:rFonts w:ascii="宋体" w:hAnsi="宋体"/>
          <w:szCs w:val="21"/>
        </w:rPr>
      </w:pPr>
    </w:p>
    <w:p w14:paraId="5BA06203">
      <w:pPr>
        <w:tabs>
          <w:tab w:val="left" w:pos="420"/>
          <w:tab w:val="left" w:pos="540"/>
        </w:tabs>
        <w:spacing w:afterLines="50" w:line="400" w:lineRule="exact"/>
        <w:ind w:firstLine="420" w:firstLineChars="200"/>
        <w:rPr>
          <w:rFonts w:ascii="宋体" w:hAnsi="宋体"/>
          <w:szCs w:val="21"/>
        </w:rPr>
      </w:pPr>
      <w:r>
        <w:rPr>
          <w:rFonts w:ascii="宋体" w:hAnsi="宋体"/>
          <w:szCs w:val="21"/>
        </w:rPr>
        <w:t>对比公司无形资产应为企业全部的无形资产，不仅是专利，而且包括其他无形资产(如销售渠道、管理经验、商誉等)，</w:t>
      </w:r>
      <w:r>
        <w:rPr>
          <w:rFonts w:hint="eastAsia" w:ascii="宋体" w:hAnsi="宋体"/>
          <w:szCs w:val="21"/>
        </w:rPr>
        <w:t>对于本次的</w:t>
      </w:r>
      <w:r>
        <w:rPr>
          <w:rFonts w:ascii="宋体" w:hAnsi="宋体"/>
          <w:szCs w:val="21"/>
        </w:rPr>
        <w:t>盐酸林可霉素</w:t>
      </w:r>
      <w:r>
        <w:rPr>
          <w:rFonts w:hint="eastAsia" w:ascii="宋体" w:hAnsi="宋体"/>
          <w:szCs w:val="21"/>
        </w:rPr>
        <w:t>专利来说，由于三家公司同属于制药企业，专利在企业生产经营中发挥重要作用，根据对三家上市公司的调查分析，这里采用平均数来测算专利在制药企业中的比例关系，经过测算，专利在无形资产中的平均比例为30%</w:t>
      </w:r>
      <w:r>
        <w:rPr>
          <w:rFonts w:ascii="宋体" w:hAnsi="宋体"/>
          <w:szCs w:val="21"/>
        </w:rPr>
        <w:t>，</w:t>
      </w:r>
      <w:r>
        <w:rPr>
          <w:rFonts w:hint="eastAsia" w:ascii="宋体" w:hAnsi="宋体"/>
          <w:szCs w:val="21"/>
        </w:rPr>
        <w:t>这里以30%作为</w:t>
      </w:r>
      <w:r>
        <w:rPr>
          <w:rFonts w:ascii="宋体" w:hAnsi="宋体"/>
          <w:szCs w:val="21"/>
        </w:rPr>
        <w:t>无形资产中专利的比例</w:t>
      </w:r>
      <w:r>
        <w:rPr>
          <w:rFonts w:hint="eastAsia" w:ascii="宋体" w:hAnsi="宋体"/>
          <w:szCs w:val="21"/>
        </w:rPr>
        <w:t>。但我们的分成率并不能直接用无形资产在资本结构的比例乘以专利在无形资产中的比例</w:t>
      </w:r>
      <w:r>
        <w:rPr>
          <w:rFonts w:ascii="宋体" w:hAnsi="宋体"/>
          <w:szCs w:val="21"/>
        </w:rPr>
        <w:t>，</w:t>
      </w:r>
      <w:r>
        <w:rPr>
          <w:rFonts w:hint="eastAsia" w:ascii="宋体" w:hAnsi="宋体"/>
          <w:szCs w:val="21"/>
        </w:rPr>
        <w:t>这是因为在计算现金流时，无形资产现金流还存在利利息、所得税以及分摊和折旧等因素的影响，因此需要利用税息折旧及摊销前利润进行调整，专利提成率的计算如</w:t>
      </w:r>
      <w:r>
        <w:rPr>
          <w:rFonts w:ascii="宋体" w:hAnsi="宋体"/>
          <w:szCs w:val="21"/>
        </w:rPr>
        <w:t>表</w:t>
      </w:r>
      <w:r>
        <w:rPr>
          <w:rFonts w:hint="eastAsia" w:ascii="宋体" w:hAnsi="宋体"/>
          <w:szCs w:val="21"/>
        </w:rPr>
        <w:t>1-6所示。</w:t>
      </w:r>
    </w:p>
    <w:p w14:paraId="6CE43870">
      <w:pPr>
        <w:tabs>
          <w:tab w:val="left" w:pos="420"/>
          <w:tab w:val="left" w:pos="540"/>
        </w:tabs>
        <w:spacing w:afterLines="50" w:line="400" w:lineRule="exact"/>
        <w:ind w:firstLine="361" w:firstLineChars="200"/>
        <w:jc w:val="center"/>
        <w:rPr>
          <w:rFonts w:ascii="黑体" w:hAnsi="黑体" w:eastAsia="黑体" w:cs="黑体"/>
          <w:b/>
          <w:bCs/>
          <w:sz w:val="18"/>
          <w:szCs w:val="18"/>
        </w:rPr>
      </w:pPr>
      <w:r>
        <w:rPr>
          <w:rFonts w:hint="eastAsia" w:ascii="黑体" w:hAnsi="黑体" w:eastAsia="黑体" w:cs="黑体"/>
          <w:b/>
          <w:bCs/>
          <w:sz w:val="18"/>
          <w:szCs w:val="18"/>
        </w:rPr>
        <w:t>表1-6    对比公司专利提成率的测算</w:t>
      </w:r>
    </w:p>
    <w:tbl>
      <w:tblPr>
        <w:tblStyle w:val="8"/>
        <w:tblW w:w="90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6"/>
        <w:gridCol w:w="801"/>
        <w:gridCol w:w="1211"/>
        <w:gridCol w:w="988"/>
        <w:gridCol w:w="1088"/>
        <w:gridCol w:w="1256"/>
        <w:gridCol w:w="1136"/>
        <w:gridCol w:w="1206"/>
        <w:gridCol w:w="816"/>
      </w:tblGrid>
      <w:tr w14:paraId="7EF21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576" w:type="dxa"/>
            <w:vAlign w:val="center"/>
          </w:tcPr>
          <w:p w14:paraId="56098D07">
            <w:pPr>
              <w:widowControl/>
              <w:jc w:val="center"/>
              <w:rPr>
                <w:rFonts w:ascii="宋体" w:hAnsi="宋体"/>
                <w:color w:val="000000"/>
                <w:kern w:val="0"/>
                <w:sz w:val="18"/>
                <w:szCs w:val="18"/>
              </w:rPr>
            </w:pPr>
            <w:r>
              <w:rPr>
                <w:rFonts w:ascii="宋体" w:hAnsi="宋体"/>
                <w:color w:val="000000"/>
                <w:kern w:val="0"/>
                <w:sz w:val="18"/>
                <w:szCs w:val="18"/>
              </w:rPr>
              <w:t>对比</w:t>
            </w:r>
          </w:p>
          <w:p w14:paraId="54F3098A">
            <w:pPr>
              <w:widowControl/>
              <w:jc w:val="center"/>
              <w:rPr>
                <w:rFonts w:ascii="宋体" w:hAnsi="宋体"/>
                <w:color w:val="000000"/>
                <w:kern w:val="0"/>
                <w:sz w:val="18"/>
                <w:szCs w:val="18"/>
              </w:rPr>
            </w:pPr>
            <w:r>
              <w:rPr>
                <w:rFonts w:ascii="宋体" w:hAnsi="宋体"/>
                <w:color w:val="000000"/>
                <w:kern w:val="0"/>
                <w:sz w:val="18"/>
                <w:szCs w:val="18"/>
              </w:rPr>
              <w:t>公司</w:t>
            </w:r>
          </w:p>
        </w:tc>
        <w:tc>
          <w:tcPr>
            <w:tcW w:w="801" w:type="dxa"/>
            <w:vAlign w:val="center"/>
          </w:tcPr>
          <w:p w14:paraId="5862E6F1">
            <w:pPr>
              <w:widowControl/>
              <w:jc w:val="center"/>
              <w:rPr>
                <w:rFonts w:ascii="宋体" w:hAnsi="宋体"/>
                <w:color w:val="000000"/>
                <w:kern w:val="0"/>
                <w:sz w:val="18"/>
                <w:szCs w:val="18"/>
              </w:rPr>
            </w:pPr>
            <w:r>
              <w:rPr>
                <w:rFonts w:ascii="宋体" w:hAnsi="宋体"/>
                <w:color w:val="000000"/>
                <w:kern w:val="0"/>
                <w:sz w:val="18"/>
                <w:szCs w:val="18"/>
              </w:rPr>
              <w:t>年份</w:t>
            </w:r>
            <w:r>
              <w:rPr>
                <w:rFonts w:hint="eastAsia" w:ascii="宋体" w:hAnsi="宋体"/>
                <w:color w:val="000000"/>
                <w:kern w:val="0"/>
                <w:sz w:val="18"/>
                <w:szCs w:val="18"/>
              </w:rPr>
              <w:t>（年）</w:t>
            </w:r>
          </w:p>
        </w:tc>
        <w:tc>
          <w:tcPr>
            <w:tcW w:w="1211" w:type="dxa"/>
            <w:vAlign w:val="center"/>
          </w:tcPr>
          <w:p w14:paraId="048803A8">
            <w:pPr>
              <w:widowControl/>
              <w:jc w:val="center"/>
              <w:rPr>
                <w:rFonts w:ascii="宋体" w:hAnsi="宋体"/>
                <w:color w:val="000000"/>
                <w:kern w:val="0"/>
                <w:sz w:val="18"/>
                <w:szCs w:val="18"/>
              </w:rPr>
            </w:pPr>
            <w:r>
              <w:rPr>
                <w:rFonts w:ascii="宋体" w:hAnsi="宋体"/>
                <w:color w:val="000000"/>
                <w:kern w:val="0"/>
                <w:sz w:val="18"/>
                <w:szCs w:val="18"/>
              </w:rPr>
              <w:t>无形资产在资本结构中比例</w:t>
            </w:r>
            <w:r>
              <w:rPr>
                <w:rFonts w:hint="eastAsia" w:ascii="宋体" w:hAnsi="宋体"/>
                <w:color w:val="000000"/>
                <w:kern w:val="0"/>
                <w:sz w:val="18"/>
                <w:szCs w:val="18"/>
              </w:rPr>
              <w:t>（%）</w:t>
            </w:r>
          </w:p>
        </w:tc>
        <w:tc>
          <w:tcPr>
            <w:tcW w:w="988" w:type="dxa"/>
            <w:vAlign w:val="center"/>
          </w:tcPr>
          <w:p w14:paraId="26BA8715">
            <w:pPr>
              <w:widowControl/>
              <w:jc w:val="center"/>
              <w:rPr>
                <w:rFonts w:ascii="宋体" w:hAnsi="宋体"/>
                <w:color w:val="000000"/>
                <w:kern w:val="0"/>
                <w:sz w:val="18"/>
                <w:szCs w:val="18"/>
              </w:rPr>
            </w:pPr>
            <w:r>
              <w:rPr>
                <w:rFonts w:ascii="宋体" w:hAnsi="宋体"/>
                <w:color w:val="000000"/>
                <w:kern w:val="0"/>
                <w:sz w:val="18"/>
                <w:szCs w:val="18"/>
              </w:rPr>
              <w:t>无形资产中专利的比例</w:t>
            </w:r>
            <w:r>
              <w:rPr>
                <w:rFonts w:hint="eastAsia" w:ascii="宋体" w:hAnsi="宋体"/>
                <w:color w:val="000000"/>
                <w:kern w:val="0"/>
                <w:sz w:val="18"/>
                <w:szCs w:val="18"/>
              </w:rPr>
              <w:t>（%）</w:t>
            </w:r>
          </w:p>
        </w:tc>
        <w:tc>
          <w:tcPr>
            <w:tcW w:w="1088" w:type="dxa"/>
            <w:vAlign w:val="center"/>
          </w:tcPr>
          <w:p w14:paraId="294DBD9D">
            <w:pPr>
              <w:widowControl/>
              <w:jc w:val="center"/>
              <w:rPr>
                <w:rFonts w:ascii="宋体" w:hAnsi="宋体"/>
                <w:color w:val="000000"/>
                <w:kern w:val="0"/>
                <w:sz w:val="18"/>
                <w:szCs w:val="18"/>
              </w:rPr>
            </w:pPr>
            <w:r>
              <w:rPr>
                <w:rFonts w:ascii="宋体" w:hAnsi="宋体"/>
                <w:color w:val="000000"/>
                <w:kern w:val="0"/>
                <w:sz w:val="18"/>
                <w:szCs w:val="18"/>
              </w:rPr>
              <w:t>专利在资本结构中比例</w:t>
            </w:r>
            <w:r>
              <w:rPr>
                <w:rFonts w:hint="eastAsia" w:ascii="宋体" w:hAnsi="宋体"/>
                <w:color w:val="000000"/>
                <w:kern w:val="0"/>
                <w:sz w:val="18"/>
                <w:szCs w:val="18"/>
              </w:rPr>
              <w:t>（%）</w:t>
            </w:r>
          </w:p>
        </w:tc>
        <w:tc>
          <w:tcPr>
            <w:tcW w:w="1256" w:type="dxa"/>
            <w:vAlign w:val="center"/>
          </w:tcPr>
          <w:p w14:paraId="4F398EE3">
            <w:pPr>
              <w:widowControl/>
              <w:spacing w:line="0" w:lineRule="atLeast"/>
              <w:jc w:val="center"/>
              <w:rPr>
                <w:rFonts w:ascii="宋体" w:hAnsi="宋体"/>
                <w:color w:val="000000"/>
                <w:kern w:val="0"/>
                <w:sz w:val="18"/>
                <w:szCs w:val="18"/>
              </w:rPr>
            </w:pPr>
            <w:r>
              <w:rPr>
                <w:rFonts w:ascii="宋体" w:hAnsi="宋体"/>
                <w:color w:val="000000"/>
                <w:kern w:val="0"/>
                <w:sz w:val="18"/>
                <w:szCs w:val="18"/>
              </w:rPr>
              <w:t>税息折旧/摊</w:t>
            </w:r>
          </w:p>
          <w:p w14:paraId="48671597">
            <w:pPr>
              <w:widowControl/>
              <w:spacing w:line="0" w:lineRule="atLeast"/>
              <w:jc w:val="center"/>
              <w:rPr>
                <w:rFonts w:ascii="宋体" w:hAnsi="宋体"/>
                <w:color w:val="000000"/>
                <w:kern w:val="0"/>
                <w:sz w:val="18"/>
                <w:szCs w:val="18"/>
              </w:rPr>
            </w:pPr>
            <w:r>
              <w:rPr>
                <w:rFonts w:ascii="宋体" w:hAnsi="宋体"/>
                <w:color w:val="000000"/>
                <w:kern w:val="0"/>
                <w:sz w:val="18"/>
                <w:szCs w:val="18"/>
              </w:rPr>
              <w:t>销前利润总额</w:t>
            </w:r>
          </w:p>
          <w:p w14:paraId="43D7D48D">
            <w:pPr>
              <w:widowControl/>
              <w:spacing w:line="0" w:lineRule="atLeast"/>
              <w:jc w:val="center"/>
              <w:rPr>
                <w:rFonts w:ascii="宋体" w:hAnsi="宋体"/>
                <w:color w:val="000000"/>
                <w:kern w:val="0"/>
                <w:sz w:val="18"/>
                <w:szCs w:val="18"/>
              </w:rPr>
            </w:pPr>
            <w:r>
              <w:rPr>
                <w:rFonts w:ascii="宋体" w:hAnsi="宋体"/>
                <w:color w:val="000000"/>
                <w:kern w:val="0"/>
                <w:sz w:val="18"/>
                <w:szCs w:val="18"/>
              </w:rPr>
              <w:t>EBITDA</w:t>
            </w:r>
          </w:p>
        </w:tc>
        <w:tc>
          <w:tcPr>
            <w:tcW w:w="1136" w:type="dxa"/>
            <w:vAlign w:val="center"/>
          </w:tcPr>
          <w:p w14:paraId="5F9558B6">
            <w:pPr>
              <w:widowControl/>
              <w:jc w:val="center"/>
              <w:rPr>
                <w:rFonts w:ascii="宋体" w:hAnsi="宋体"/>
                <w:color w:val="000000"/>
                <w:kern w:val="0"/>
                <w:sz w:val="18"/>
                <w:szCs w:val="18"/>
              </w:rPr>
            </w:pPr>
            <w:r>
              <w:rPr>
                <w:rFonts w:ascii="宋体" w:hAnsi="宋体"/>
                <w:color w:val="000000"/>
                <w:kern w:val="0"/>
                <w:sz w:val="18"/>
                <w:szCs w:val="18"/>
              </w:rPr>
              <w:t>专利对现金流的贡献</w:t>
            </w:r>
          </w:p>
        </w:tc>
        <w:tc>
          <w:tcPr>
            <w:tcW w:w="1206" w:type="dxa"/>
            <w:vAlign w:val="center"/>
          </w:tcPr>
          <w:p w14:paraId="6AB48215">
            <w:pPr>
              <w:widowControl/>
              <w:jc w:val="center"/>
              <w:rPr>
                <w:rFonts w:ascii="宋体" w:hAnsi="宋体"/>
                <w:color w:val="000000"/>
                <w:kern w:val="0"/>
                <w:sz w:val="18"/>
                <w:szCs w:val="18"/>
              </w:rPr>
            </w:pPr>
            <w:r>
              <w:rPr>
                <w:rFonts w:ascii="宋体" w:hAnsi="宋体"/>
                <w:color w:val="000000"/>
                <w:kern w:val="0"/>
                <w:sz w:val="18"/>
                <w:szCs w:val="18"/>
              </w:rPr>
              <w:t>营业收入</w:t>
            </w:r>
          </w:p>
        </w:tc>
        <w:tc>
          <w:tcPr>
            <w:tcW w:w="816" w:type="dxa"/>
            <w:vAlign w:val="center"/>
          </w:tcPr>
          <w:p w14:paraId="79E5AA89">
            <w:pPr>
              <w:widowControl/>
              <w:jc w:val="center"/>
              <w:rPr>
                <w:rFonts w:ascii="宋体" w:hAnsi="宋体"/>
                <w:color w:val="000000"/>
                <w:kern w:val="0"/>
                <w:sz w:val="18"/>
                <w:szCs w:val="18"/>
              </w:rPr>
            </w:pPr>
            <w:r>
              <w:rPr>
                <w:rFonts w:ascii="宋体" w:hAnsi="宋体"/>
                <w:color w:val="000000"/>
                <w:kern w:val="0"/>
                <w:sz w:val="18"/>
                <w:szCs w:val="18"/>
              </w:rPr>
              <w:t>专利提成率</w:t>
            </w:r>
            <w:r>
              <w:rPr>
                <w:rFonts w:hint="eastAsia" w:ascii="宋体" w:hAnsi="宋体"/>
                <w:color w:val="000000"/>
                <w:kern w:val="0"/>
                <w:sz w:val="18"/>
                <w:szCs w:val="18"/>
              </w:rPr>
              <w:t>（%）</w:t>
            </w:r>
          </w:p>
        </w:tc>
      </w:tr>
      <w:tr w14:paraId="178FF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76" w:type="dxa"/>
            <w:vMerge w:val="restart"/>
            <w:vAlign w:val="center"/>
          </w:tcPr>
          <w:p w14:paraId="411906BD">
            <w:pPr>
              <w:widowControl/>
              <w:jc w:val="left"/>
              <w:rPr>
                <w:rFonts w:ascii="宋体" w:hAnsi="宋体"/>
                <w:color w:val="000000"/>
                <w:kern w:val="0"/>
                <w:sz w:val="18"/>
                <w:szCs w:val="18"/>
              </w:rPr>
            </w:pPr>
            <w:r>
              <w:rPr>
                <w:rFonts w:ascii="宋体" w:hAnsi="宋体"/>
                <w:color w:val="000000"/>
                <w:kern w:val="0"/>
                <w:sz w:val="18"/>
                <w:szCs w:val="18"/>
              </w:rPr>
              <w:t>华东</w:t>
            </w:r>
          </w:p>
          <w:p w14:paraId="02D8F681">
            <w:pPr>
              <w:widowControl/>
              <w:jc w:val="left"/>
              <w:rPr>
                <w:rFonts w:ascii="宋体" w:hAnsi="宋体"/>
                <w:color w:val="000000"/>
                <w:kern w:val="0"/>
                <w:sz w:val="18"/>
                <w:szCs w:val="18"/>
              </w:rPr>
            </w:pPr>
            <w:r>
              <w:rPr>
                <w:rFonts w:ascii="宋体" w:hAnsi="宋体"/>
                <w:color w:val="000000"/>
                <w:kern w:val="0"/>
                <w:sz w:val="18"/>
                <w:szCs w:val="18"/>
              </w:rPr>
              <w:t>医药</w:t>
            </w:r>
          </w:p>
        </w:tc>
        <w:tc>
          <w:tcPr>
            <w:tcW w:w="801" w:type="dxa"/>
            <w:vAlign w:val="center"/>
          </w:tcPr>
          <w:p w14:paraId="487CB235">
            <w:pPr>
              <w:widowControl/>
              <w:jc w:val="center"/>
              <w:rPr>
                <w:rFonts w:ascii="宋体" w:hAnsi="宋体"/>
                <w:color w:val="000000"/>
                <w:kern w:val="0"/>
                <w:sz w:val="18"/>
                <w:szCs w:val="18"/>
              </w:rPr>
            </w:pPr>
            <w:r>
              <w:rPr>
                <w:rFonts w:ascii="宋体" w:hAnsi="宋体"/>
                <w:color w:val="000000"/>
                <w:kern w:val="0"/>
                <w:sz w:val="18"/>
                <w:szCs w:val="18"/>
              </w:rPr>
              <w:t>2011</w:t>
            </w:r>
          </w:p>
        </w:tc>
        <w:tc>
          <w:tcPr>
            <w:tcW w:w="1211" w:type="dxa"/>
            <w:vAlign w:val="center"/>
          </w:tcPr>
          <w:p w14:paraId="76C135CA">
            <w:pPr>
              <w:widowControl/>
              <w:jc w:val="center"/>
              <w:rPr>
                <w:rFonts w:ascii="宋体" w:hAnsi="宋体"/>
                <w:color w:val="000000"/>
                <w:sz w:val="18"/>
                <w:szCs w:val="18"/>
              </w:rPr>
            </w:pPr>
            <w:r>
              <w:rPr>
                <w:rFonts w:ascii="宋体" w:hAnsi="宋体"/>
                <w:color w:val="000000"/>
                <w:sz w:val="18"/>
                <w:szCs w:val="18"/>
              </w:rPr>
              <w:t>69.1</w:t>
            </w:r>
          </w:p>
        </w:tc>
        <w:tc>
          <w:tcPr>
            <w:tcW w:w="988" w:type="dxa"/>
            <w:vAlign w:val="center"/>
          </w:tcPr>
          <w:p w14:paraId="579B525A">
            <w:pPr>
              <w:jc w:val="center"/>
              <w:rPr>
                <w:rFonts w:ascii="宋体" w:hAnsi="宋体"/>
                <w:color w:val="000000"/>
                <w:sz w:val="18"/>
                <w:szCs w:val="18"/>
              </w:rPr>
            </w:pPr>
            <w:r>
              <w:rPr>
                <w:rFonts w:ascii="宋体" w:hAnsi="宋体"/>
                <w:color w:val="000000"/>
                <w:sz w:val="18"/>
                <w:szCs w:val="18"/>
              </w:rPr>
              <w:t>30</w:t>
            </w:r>
            <w:r>
              <w:rPr>
                <w:rFonts w:hint="eastAsia" w:ascii="宋体" w:hAnsi="宋体"/>
                <w:color w:val="000000"/>
                <w:sz w:val="18"/>
                <w:szCs w:val="18"/>
              </w:rPr>
              <w:t>.0</w:t>
            </w:r>
          </w:p>
        </w:tc>
        <w:tc>
          <w:tcPr>
            <w:tcW w:w="1088" w:type="dxa"/>
            <w:vAlign w:val="center"/>
          </w:tcPr>
          <w:p w14:paraId="1EC27786">
            <w:pPr>
              <w:jc w:val="center"/>
              <w:rPr>
                <w:rFonts w:ascii="宋体" w:hAnsi="宋体"/>
                <w:color w:val="000000"/>
                <w:sz w:val="18"/>
                <w:szCs w:val="18"/>
              </w:rPr>
            </w:pPr>
            <w:r>
              <w:rPr>
                <w:rFonts w:ascii="宋体" w:hAnsi="宋体"/>
                <w:color w:val="000000"/>
                <w:sz w:val="18"/>
                <w:szCs w:val="18"/>
              </w:rPr>
              <w:t>20.7</w:t>
            </w:r>
          </w:p>
        </w:tc>
        <w:tc>
          <w:tcPr>
            <w:tcW w:w="1256" w:type="dxa"/>
            <w:vAlign w:val="center"/>
          </w:tcPr>
          <w:p w14:paraId="430BBFE4">
            <w:pPr>
              <w:jc w:val="center"/>
              <w:rPr>
                <w:rFonts w:ascii="宋体" w:hAnsi="宋体"/>
                <w:color w:val="000000"/>
                <w:sz w:val="18"/>
                <w:szCs w:val="18"/>
              </w:rPr>
            </w:pPr>
            <w:r>
              <w:rPr>
                <w:rFonts w:ascii="宋体" w:hAnsi="宋体"/>
                <w:color w:val="000000"/>
                <w:sz w:val="18"/>
                <w:szCs w:val="18"/>
              </w:rPr>
              <w:t>79,201.6</w:t>
            </w:r>
          </w:p>
        </w:tc>
        <w:tc>
          <w:tcPr>
            <w:tcW w:w="1136" w:type="dxa"/>
            <w:vAlign w:val="center"/>
          </w:tcPr>
          <w:p w14:paraId="673A5632">
            <w:pPr>
              <w:jc w:val="center"/>
              <w:rPr>
                <w:rFonts w:ascii="宋体" w:hAnsi="宋体"/>
                <w:color w:val="000000"/>
                <w:sz w:val="18"/>
                <w:szCs w:val="18"/>
              </w:rPr>
            </w:pPr>
            <w:r>
              <w:rPr>
                <w:rFonts w:ascii="宋体" w:hAnsi="宋体"/>
                <w:color w:val="000000"/>
                <w:sz w:val="18"/>
                <w:szCs w:val="18"/>
              </w:rPr>
              <w:t>16,427.9</w:t>
            </w:r>
          </w:p>
        </w:tc>
        <w:tc>
          <w:tcPr>
            <w:tcW w:w="1206" w:type="dxa"/>
            <w:vAlign w:val="center"/>
          </w:tcPr>
          <w:p w14:paraId="369CEA14">
            <w:pPr>
              <w:jc w:val="center"/>
              <w:rPr>
                <w:rFonts w:ascii="宋体" w:hAnsi="宋体"/>
                <w:color w:val="000000"/>
                <w:sz w:val="18"/>
                <w:szCs w:val="18"/>
              </w:rPr>
            </w:pPr>
            <w:r>
              <w:rPr>
                <w:rFonts w:ascii="宋体" w:hAnsi="宋体"/>
                <w:color w:val="000000"/>
                <w:sz w:val="18"/>
                <w:szCs w:val="18"/>
              </w:rPr>
              <w:t>1,113,137.2</w:t>
            </w:r>
          </w:p>
        </w:tc>
        <w:tc>
          <w:tcPr>
            <w:tcW w:w="816" w:type="dxa"/>
            <w:vAlign w:val="center"/>
          </w:tcPr>
          <w:p w14:paraId="018D5CEF">
            <w:pPr>
              <w:jc w:val="center"/>
              <w:rPr>
                <w:rFonts w:ascii="宋体" w:hAnsi="宋体"/>
                <w:color w:val="000000"/>
                <w:sz w:val="18"/>
                <w:szCs w:val="18"/>
              </w:rPr>
            </w:pPr>
            <w:r>
              <w:rPr>
                <w:rFonts w:ascii="宋体" w:hAnsi="宋体"/>
                <w:color w:val="000000"/>
                <w:sz w:val="18"/>
                <w:szCs w:val="18"/>
              </w:rPr>
              <w:t>1.5</w:t>
            </w:r>
          </w:p>
        </w:tc>
      </w:tr>
      <w:tr w14:paraId="19A5F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76" w:type="dxa"/>
            <w:vMerge w:val="continue"/>
            <w:vAlign w:val="center"/>
          </w:tcPr>
          <w:p w14:paraId="7CBD17D2">
            <w:pPr>
              <w:widowControl/>
              <w:jc w:val="left"/>
              <w:rPr>
                <w:rFonts w:ascii="宋体" w:hAnsi="宋体"/>
                <w:color w:val="000000"/>
                <w:kern w:val="0"/>
                <w:sz w:val="18"/>
                <w:szCs w:val="18"/>
              </w:rPr>
            </w:pPr>
          </w:p>
        </w:tc>
        <w:tc>
          <w:tcPr>
            <w:tcW w:w="801" w:type="dxa"/>
            <w:vAlign w:val="center"/>
          </w:tcPr>
          <w:p w14:paraId="739314B6">
            <w:pPr>
              <w:widowControl/>
              <w:jc w:val="center"/>
              <w:rPr>
                <w:rFonts w:ascii="宋体" w:hAnsi="宋体"/>
                <w:color w:val="000000"/>
                <w:kern w:val="0"/>
                <w:sz w:val="18"/>
                <w:szCs w:val="18"/>
              </w:rPr>
            </w:pPr>
            <w:r>
              <w:rPr>
                <w:rFonts w:ascii="宋体" w:hAnsi="宋体"/>
                <w:color w:val="000000"/>
                <w:kern w:val="0"/>
                <w:sz w:val="18"/>
                <w:szCs w:val="18"/>
              </w:rPr>
              <w:t>2012</w:t>
            </w:r>
          </w:p>
        </w:tc>
        <w:tc>
          <w:tcPr>
            <w:tcW w:w="1211" w:type="dxa"/>
            <w:vAlign w:val="center"/>
          </w:tcPr>
          <w:p w14:paraId="4560E281">
            <w:pPr>
              <w:jc w:val="center"/>
              <w:rPr>
                <w:rFonts w:ascii="宋体" w:hAnsi="宋体"/>
                <w:color w:val="000000"/>
                <w:sz w:val="18"/>
                <w:szCs w:val="18"/>
              </w:rPr>
            </w:pPr>
            <w:r>
              <w:rPr>
                <w:rFonts w:ascii="宋体" w:hAnsi="宋体"/>
                <w:color w:val="000000"/>
                <w:sz w:val="18"/>
                <w:szCs w:val="18"/>
              </w:rPr>
              <w:t>72.2</w:t>
            </w:r>
          </w:p>
        </w:tc>
        <w:tc>
          <w:tcPr>
            <w:tcW w:w="988" w:type="dxa"/>
            <w:vAlign w:val="center"/>
          </w:tcPr>
          <w:p w14:paraId="093BF6E4">
            <w:pPr>
              <w:jc w:val="center"/>
              <w:rPr>
                <w:rFonts w:ascii="宋体" w:hAnsi="宋体"/>
                <w:color w:val="000000"/>
                <w:sz w:val="18"/>
                <w:szCs w:val="18"/>
              </w:rPr>
            </w:pPr>
            <w:r>
              <w:rPr>
                <w:rFonts w:ascii="宋体" w:hAnsi="宋体"/>
                <w:color w:val="000000"/>
                <w:sz w:val="18"/>
                <w:szCs w:val="18"/>
              </w:rPr>
              <w:t>30</w:t>
            </w:r>
            <w:r>
              <w:rPr>
                <w:rFonts w:hint="eastAsia" w:ascii="宋体" w:hAnsi="宋体"/>
                <w:color w:val="000000"/>
                <w:sz w:val="18"/>
                <w:szCs w:val="18"/>
              </w:rPr>
              <w:t>.0</w:t>
            </w:r>
          </w:p>
        </w:tc>
        <w:tc>
          <w:tcPr>
            <w:tcW w:w="1088" w:type="dxa"/>
            <w:vAlign w:val="center"/>
          </w:tcPr>
          <w:p w14:paraId="52842895">
            <w:pPr>
              <w:jc w:val="center"/>
              <w:rPr>
                <w:rFonts w:ascii="宋体" w:hAnsi="宋体"/>
                <w:color w:val="000000"/>
                <w:sz w:val="18"/>
                <w:szCs w:val="18"/>
              </w:rPr>
            </w:pPr>
            <w:r>
              <w:rPr>
                <w:rFonts w:ascii="宋体" w:hAnsi="宋体"/>
                <w:color w:val="000000"/>
                <w:sz w:val="18"/>
                <w:szCs w:val="18"/>
              </w:rPr>
              <w:t>21.7</w:t>
            </w:r>
          </w:p>
        </w:tc>
        <w:tc>
          <w:tcPr>
            <w:tcW w:w="1256" w:type="dxa"/>
            <w:vAlign w:val="center"/>
          </w:tcPr>
          <w:p w14:paraId="27EC8A78">
            <w:pPr>
              <w:jc w:val="center"/>
              <w:rPr>
                <w:rFonts w:ascii="宋体" w:hAnsi="宋体"/>
                <w:color w:val="000000"/>
                <w:sz w:val="18"/>
                <w:szCs w:val="18"/>
              </w:rPr>
            </w:pPr>
            <w:r>
              <w:rPr>
                <w:rFonts w:ascii="宋体" w:hAnsi="宋体"/>
                <w:color w:val="000000"/>
                <w:sz w:val="18"/>
                <w:szCs w:val="18"/>
              </w:rPr>
              <w:t>101,077.2</w:t>
            </w:r>
          </w:p>
        </w:tc>
        <w:tc>
          <w:tcPr>
            <w:tcW w:w="1136" w:type="dxa"/>
            <w:vAlign w:val="center"/>
          </w:tcPr>
          <w:p w14:paraId="0E69F34B">
            <w:pPr>
              <w:jc w:val="center"/>
              <w:rPr>
                <w:rFonts w:ascii="宋体" w:hAnsi="宋体"/>
                <w:color w:val="000000"/>
                <w:sz w:val="18"/>
                <w:szCs w:val="18"/>
              </w:rPr>
            </w:pPr>
            <w:r>
              <w:rPr>
                <w:rFonts w:ascii="宋体" w:hAnsi="宋体"/>
                <w:color w:val="000000"/>
                <w:sz w:val="18"/>
                <w:szCs w:val="18"/>
              </w:rPr>
              <w:t>21,900.0</w:t>
            </w:r>
          </w:p>
        </w:tc>
        <w:tc>
          <w:tcPr>
            <w:tcW w:w="1206" w:type="dxa"/>
            <w:vAlign w:val="center"/>
          </w:tcPr>
          <w:p w14:paraId="6B3B2E7E">
            <w:pPr>
              <w:jc w:val="center"/>
              <w:rPr>
                <w:rFonts w:ascii="宋体" w:hAnsi="宋体"/>
                <w:color w:val="000000"/>
                <w:sz w:val="18"/>
                <w:szCs w:val="18"/>
              </w:rPr>
            </w:pPr>
            <w:r>
              <w:rPr>
                <w:rFonts w:ascii="宋体" w:hAnsi="宋体"/>
                <w:color w:val="000000"/>
                <w:sz w:val="18"/>
                <w:szCs w:val="18"/>
              </w:rPr>
              <w:t>1,457,923.0</w:t>
            </w:r>
          </w:p>
        </w:tc>
        <w:tc>
          <w:tcPr>
            <w:tcW w:w="816" w:type="dxa"/>
            <w:vAlign w:val="center"/>
          </w:tcPr>
          <w:p w14:paraId="068FFEB2">
            <w:pPr>
              <w:jc w:val="center"/>
              <w:rPr>
                <w:rFonts w:ascii="宋体" w:hAnsi="宋体"/>
                <w:color w:val="000000"/>
                <w:sz w:val="18"/>
                <w:szCs w:val="18"/>
              </w:rPr>
            </w:pPr>
            <w:r>
              <w:rPr>
                <w:rFonts w:ascii="宋体" w:hAnsi="宋体"/>
                <w:color w:val="000000"/>
                <w:sz w:val="18"/>
                <w:szCs w:val="18"/>
              </w:rPr>
              <w:t>1.5</w:t>
            </w:r>
          </w:p>
        </w:tc>
      </w:tr>
      <w:tr w14:paraId="43235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76" w:type="dxa"/>
            <w:vMerge w:val="continue"/>
            <w:vAlign w:val="center"/>
          </w:tcPr>
          <w:p w14:paraId="58363EE2">
            <w:pPr>
              <w:widowControl/>
              <w:jc w:val="left"/>
              <w:rPr>
                <w:rFonts w:ascii="宋体" w:hAnsi="宋体"/>
                <w:color w:val="000000"/>
                <w:kern w:val="0"/>
                <w:sz w:val="18"/>
                <w:szCs w:val="18"/>
              </w:rPr>
            </w:pPr>
          </w:p>
        </w:tc>
        <w:tc>
          <w:tcPr>
            <w:tcW w:w="801" w:type="dxa"/>
            <w:vAlign w:val="center"/>
          </w:tcPr>
          <w:p w14:paraId="2634B0BB">
            <w:pPr>
              <w:widowControl/>
              <w:jc w:val="center"/>
              <w:rPr>
                <w:rFonts w:ascii="宋体" w:hAnsi="宋体"/>
                <w:color w:val="000000"/>
                <w:kern w:val="0"/>
                <w:sz w:val="18"/>
                <w:szCs w:val="18"/>
              </w:rPr>
            </w:pPr>
            <w:r>
              <w:rPr>
                <w:rFonts w:ascii="宋体" w:hAnsi="宋体"/>
                <w:color w:val="000000"/>
                <w:kern w:val="0"/>
                <w:sz w:val="18"/>
                <w:szCs w:val="18"/>
              </w:rPr>
              <w:t>2013</w:t>
            </w:r>
          </w:p>
        </w:tc>
        <w:tc>
          <w:tcPr>
            <w:tcW w:w="1211" w:type="dxa"/>
            <w:vAlign w:val="center"/>
          </w:tcPr>
          <w:p w14:paraId="63408CFF">
            <w:pPr>
              <w:jc w:val="center"/>
              <w:rPr>
                <w:rFonts w:ascii="宋体" w:hAnsi="宋体"/>
                <w:color w:val="000000"/>
                <w:sz w:val="18"/>
                <w:szCs w:val="18"/>
              </w:rPr>
            </w:pPr>
            <w:r>
              <w:rPr>
                <w:rFonts w:ascii="宋体" w:hAnsi="宋体"/>
                <w:color w:val="000000"/>
                <w:sz w:val="18"/>
                <w:szCs w:val="18"/>
              </w:rPr>
              <w:t>74.3</w:t>
            </w:r>
          </w:p>
        </w:tc>
        <w:tc>
          <w:tcPr>
            <w:tcW w:w="988" w:type="dxa"/>
            <w:vAlign w:val="center"/>
          </w:tcPr>
          <w:p w14:paraId="6AC4FD1C">
            <w:pPr>
              <w:jc w:val="center"/>
              <w:rPr>
                <w:rFonts w:ascii="宋体" w:hAnsi="宋体"/>
                <w:color w:val="000000"/>
                <w:sz w:val="18"/>
                <w:szCs w:val="18"/>
              </w:rPr>
            </w:pPr>
            <w:r>
              <w:rPr>
                <w:rFonts w:ascii="宋体" w:hAnsi="宋体"/>
                <w:color w:val="000000"/>
                <w:sz w:val="18"/>
                <w:szCs w:val="18"/>
              </w:rPr>
              <w:t>30</w:t>
            </w:r>
            <w:r>
              <w:rPr>
                <w:rFonts w:hint="eastAsia" w:ascii="宋体" w:hAnsi="宋体"/>
                <w:color w:val="000000"/>
                <w:sz w:val="18"/>
                <w:szCs w:val="18"/>
              </w:rPr>
              <w:t>.0</w:t>
            </w:r>
          </w:p>
        </w:tc>
        <w:tc>
          <w:tcPr>
            <w:tcW w:w="1088" w:type="dxa"/>
            <w:vAlign w:val="center"/>
          </w:tcPr>
          <w:p w14:paraId="76A1A017">
            <w:pPr>
              <w:jc w:val="center"/>
              <w:rPr>
                <w:rFonts w:ascii="宋体" w:hAnsi="宋体"/>
                <w:color w:val="000000"/>
                <w:sz w:val="18"/>
                <w:szCs w:val="18"/>
              </w:rPr>
            </w:pPr>
            <w:r>
              <w:rPr>
                <w:rFonts w:ascii="宋体" w:hAnsi="宋体"/>
                <w:color w:val="000000"/>
                <w:sz w:val="18"/>
                <w:szCs w:val="18"/>
              </w:rPr>
              <w:t>22.3</w:t>
            </w:r>
          </w:p>
        </w:tc>
        <w:tc>
          <w:tcPr>
            <w:tcW w:w="1256" w:type="dxa"/>
            <w:vAlign w:val="center"/>
          </w:tcPr>
          <w:p w14:paraId="3CC8037B">
            <w:pPr>
              <w:jc w:val="center"/>
              <w:rPr>
                <w:rFonts w:ascii="宋体" w:hAnsi="宋体"/>
                <w:color w:val="000000"/>
                <w:sz w:val="18"/>
                <w:szCs w:val="18"/>
              </w:rPr>
            </w:pPr>
            <w:r>
              <w:rPr>
                <w:rFonts w:ascii="宋体" w:hAnsi="宋体"/>
                <w:color w:val="000000"/>
                <w:sz w:val="18"/>
                <w:szCs w:val="18"/>
              </w:rPr>
              <w:t>115,969.0</w:t>
            </w:r>
          </w:p>
        </w:tc>
        <w:tc>
          <w:tcPr>
            <w:tcW w:w="1136" w:type="dxa"/>
            <w:vAlign w:val="center"/>
          </w:tcPr>
          <w:p w14:paraId="01594DDF">
            <w:pPr>
              <w:jc w:val="center"/>
              <w:rPr>
                <w:rFonts w:ascii="宋体" w:hAnsi="宋体"/>
                <w:color w:val="000000"/>
                <w:sz w:val="18"/>
                <w:szCs w:val="18"/>
              </w:rPr>
            </w:pPr>
            <w:r>
              <w:rPr>
                <w:rFonts w:ascii="宋体" w:hAnsi="宋体"/>
                <w:color w:val="000000"/>
                <w:sz w:val="18"/>
                <w:szCs w:val="18"/>
              </w:rPr>
              <w:t>25,844.1</w:t>
            </w:r>
          </w:p>
        </w:tc>
        <w:tc>
          <w:tcPr>
            <w:tcW w:w="1206" w:type="dxa"/>
            <w:vAlign w:val="center"/>
          </w:tcPr>
          <w:p w14:paraId="5CD64A0C">
            <w:pPr>
              <w:jc w:val="center"/>
              <w:rPr>
                <w:rFonts w:ascii="宋体" w:hAnsi="宋体"/>
                <w:color w:val="000000"/>
                <w:sz w:val="18"/>
                <w:szCs w:val="18"/>
              </w:rPr>
            </w:pPr>
            <w:r>
              <w:rPr>
                <w:rFonts w:ascii="宋体" w:hAnsi="宋体"/>
                <w:color w:val="000000"/>
                <w:sz w:val="18"/>
                <w:szCs w:val="18"/>
              </w:rPr>
              <w:t>1,671,798.6</w:t>
            </w:r>
          </w:p>
        </w:tc>
        <w:tc>
          <w:tcPr>
            <w:tcW w:w="816" w:type="dxa"/>
            <w:vAlign w:val="center"/>
          </w:tcPr>
          <w:p w14:paraId="5B6BD91F">
            <w:pPr>
              <w:jc w:val="center"/>
              <w:rPr>
                <w:rFonts w:ascii="宋体" w:hAnsi="宋体"/>
                <w:color w:val="000000"/>
                <w:sz w:val="18"/>
                <w:szCs w:val="18"/>
              </w:rPr>
            </w:pPr>
            <w:r>
              <w:rPr>
                <w:rFonts w:ascii="宋体" w:hAnsi="宋体"/>
                <w:color w:val="000000"/>
                <w:sz w:val="18"/>
                <w:szCs w:val="18"/>
              </w:rPr>
              <w:t>1.5</w:t>
            </w:r>
          </w:p>
        </w:tc>
      </w:tr>
      <w:tr w14:paraId="2D31D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576" w:type="dxa"/>
            <w:vMerge w:val="restart"/>
            <w:vAlign w:val="center"/>
          </w:tcPr>
          <w:p w14:paraId="4F64839B">
            <w:pPr>
              <w:widowControl/>
              <w:jc w:val="left"/>
              <w:rPr>
                <w:rFonts w:ascii="宋体" w:hAnsi="宋体"/>
                <w:color w:val="000000"/>
                <w:kern w:val="0"/>
                <w:sz w:val="18"/>
                <w:szCs w:val="18"/>
              </w:rPr>
            </w:pPr>
            <w:r>
              <w:rPr>
                <w:rFonts w:ascii="宋体" w:hAnsi="宋体"/>
                <w:color w:val="000000"/>
                <w:kern w:val="0"/>
                <w:sz w:val="18"/>
                <w:szCs w:val="18"/>
              </w:rPr>
              <w:t>康恩</w:t>
            </w:r>
          </w:p>
          <w:p w14:paraId="04BBCA94">
            <w:pPr>
              <w:widowControl/>
              <w:jc w:val="left"/>
              <w:rPr>
                <w:rFonts w:ascii="宋体" w:hAnsi="宋体"/>
                <w:color w:val="000000"/>
                <w:kern w:val="0"/>
                <w:sz w:val="18"/>
                <w:szCs w:val="18"/>
              </w:rPr>
            </w:pPr>
            <w:r>
              <w:rPr>
                <w:rFonts w:ascii="宋体" w:hAnsi="宋体"/>
                <w:color w:val="000000"/>
                <w:kern w:val="0"/>
                <w:sz w:val="18"/>
                <w:szCs w:val="18"/>
              </w:rPr>
              <w:t>贝</w:t>
            </w:r>
          </w:p>
        </w:tc>
        <w:tc>
          <w:tcPr>
            <w:tcW w:w="801" w:type="dxa"/>
            <w:vAlign w:val="center"/>
          </w:tcPr>
          <w:p w14:paraId="78020B2C">
            <w:pPr>
              <w:widowControl/>
              <w:jc w:val="center"/>
              <w:rPr>
                <w:rFonts w:ascii="宋体" w:hAnsi="宋体"/>
                <w:color w:val="000000"/>
                <w:kern w:val="0"/>
                <w:sz w:val="18"/>
                <w:szCs w:val="18"/>
              </w:rPr>
            </w:pPr>
            <w:r>
              <w:rPr>
                <w:rFonts w:ascii="宋体" w:hAnsi="宋体"/>
                <w:color w:val="000000"/>
                <w:kern w:val="0"/>
                <w:sz w:val="18"/>
                <w:szCs w:val="18"/>
              </w:rPr>
              <w:t>2011</w:t>
            </w:r>
          </w:p>
        </w:tc>
        <w:tc>
          <w:tcPr>
            <w:tcW w:w="1211" w:type="dxa"/>
            <w:vAlign w:val="center"/>
          </w:tcPr>
          <w:p w14:paraId="6080DBE9">
            <w:pPr>
              <w:jc w:val="center"/>
              <w:rPr>
                <w:rFonts w:ascii="宋体" w:hAnsi="宋体"/>
                <w:color w:val="000000"/>
                <w:sz w:val="18"/>
                <w:szCs w:val="18"/>
              </w:rPr>
            </w:pPr>
            <w:r>
              <w:rPr>
                <w:rFonts w:ascii="宋体" w:hAnsi="宋体"/>
                <w:color w:val="000000"/>
                <w:sz w:val="18"/>
                <w:szCs w:val="18"/>
              </w:rPr>
              <w:t>42.5</w:t>
            </w:r>
          </w:p>
        </w:tc>
        <w:tc>
          <w:tcPr>
            <w:tcW w:w="988" w:type="dxa"/>
            <w:vAlign w:val="center"/>
          </w:tcPr>
          <w:p w14:paraId="126D5CA2">
            <w:pPr>
              <w:jc w:val="center"/>
              <w:rPr>
                <w:rFonts w:ascii="宋体" w:hAnsi="宋体"/>
                <w:color w:val="000000"/>
                <w:sz w:val="18"/>
                <w:szCs w:val="18"/>
              </w:rPr>
            </w:pPr>
            <w:r>
              <w:rPr>
                <w:rFonts w:ascii="宋体" w:hAnsi="宋体"/>
                <w:color w:val="000000"/>
                <w:sz w:val="18"/>
                <w:szCs w:val="18"/>
              </w:rPr>
              <w:t>30</w:t>
            </w:r>
            <w:r>
              <w:rPr>
                <w:rFonts w:hint="eastAsia" w:ascii="宋体" w:hAnsi="宋体"/>
                <w:color w:val="000000"/>
                <w:sz w:val="18"/>
                <w:szCs w:val="18"/>
              </w:rPr>
              <w:t>.0</w:t>
            </w:r>
          </w:p>
        </w:tc>
        <w:tc>
          <w:tcPr>
            <w:tcW w:w="1088" w:type="dxa"/>
            <w:vAlign w:val="center"/>
          </w:tcPr>
          <w:p w14:paraId="0F715705">
            <w:pPr>
              <w:jc w:val="center"/>
              <w:rPr>
                <w:rFonts w:ascii="宋体" w:hAnsi="宋体"/>
                <w:color w:val="000000"/>
                <w:sz w:val="18"/>
                <w:szCs w:val="18"/>
              </w:rPr>
            </w:pPr>
            <w:r>
              <w:rPr>
                <w:rFonts w:ascii="宋体" w:hAnsi="宋体"/>
                <w:color w:val="000000"/>
                <w:sz w:val="18"/>
                <w:szCs w:val="18"/>
              </w:rPr>
              <w:t>12.7</w:t>
            </w:r>
          </w:p>
        </w:tc>
        <w:tc>
          <w:tcPr>
            <w:tcW w:w="1256" w:type="dxa"/>
            <w:vAlign w:val="center"/>
          </w:tcPr>
          <w:p w14:paraId="5422D209">
            <w:pPr>
              <w:jc w:val="center"/>
              <w:rPr>
                <w:rFonts w:ascii="宋体" w:hAnsi="宋体"/>
                <w:color w:val="000000"/>
                <w:sz w:val="18"/>
                <w:szCs w:val="18"/>
              </w:rPr>
            </w:pPr>
            <w:r>
              <w:rPr>
                <w:rFonts w:ascii="宋体" w:hAnsi="宋体"/>
                <w:color w:val="000000"/>
                <w:sz w:val="18"/>
                <w:szCs w:val="18"/>
              </w:rPr>
              <w:t>33,621.4</w:t>
            </w:r>
          </w:p>
        </w:tc>
        <w:tc>
          <w:tcPr>
            <w:tcW w:w="1136" w:type="dxa"/>
            <w:vAlign w:val="center"/>
          </w:tcPr>
          <w:p w14:paraId="23587805">
            <w:pPr>
              <w:jc w:val="center"/>
              <w:rPr>
                <w:rFonts w:ascii="宋体" w:hAnsi="宋体"/>
                <w:color w:val="000000"/>
                <w:sz w:val="18"/>
                <w:szCs w:val="18"/>
              </w:rPr>
            </w:pPr>
            <w:r>
              <w:rPr>
                <w:rFonts w:ascii="宋体" w:hAnsi="宋体"/>
                <w:color w:val="000000"/>
                <w:sz w:val="18"/>
                <w:szCs w:val="18"/>
              </w:rPr>
              <w:t>4,283.6</w:t>
            </w:r>
          </w:p>
        </w:tc>
        <w:tc>
          <w:tcPr>
            <w:tcW w:w="1206" w:type="dxa"/>
            <w:vAlign w:val="center"/>
          </w:tcPr>
          <w:p w14:paraId="4C1AD737">
            <w:pPr>
              <w:jc w:val="center"/>
              <w:rPr>
                <w:rFonts w:ascii="宋体" w:hAnsi="宋体"/>
                <w:color w:val="000000"/>
                <w:sz w:val="18"/>
                <w:szCs w:val="18"/>
              </w:rPr>
            </w:pPr>
            <w:r>
              <w:rPr>
                <w:rFonts w:ascii="宋体" w:hAnsi="宋体"/>
                <w:color w:val="000000"/>
                <w:sz w:val="18"/>
                <w:szCs w:val="18"/>
              </w:rPr>
              <w:t>212,281.6</w:t>
            </w:r>
          </w:p>
        </w:tc>
        <w:tc>
          <w:tcPr>
            <w:tcW w:w="816" w:type="dxa"/>
            <w:vAlign w:val="center"/>
          </w:tcPr>
          <w:p w14:paraId="53C3118C">
            <w:pPr>
              <w:jc w:val="center"/>
              <w:rPr>
                <w:rFonts w:ascii="宋体" w:hAnsi="宋体"/>
                <w:color w:val="000000"/>
                <w:sz w:val="18"/>
                <w:szCs w:val="18"/>
              </w:rPr>
            </w:pPr>
            <w:r>
              <w:rPr>
                <w:rFonts w:ascii="宋体" w:hAnsi="宋体"/>
                <w:color w:val="000000"/>
                <w:sz w:val="18"/>
                <w:szCs w:val="18"/>
              </w:rPr>
              <w:t>2.0</w:t>
            </w:r>
          </w:p>
        </w:tc>
      </w:tr>
      <w:tr w14:paraId="5C709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576" w:type="dxa"/>
            <w:vMerge w:val="continue"/>
            <w:vAlign w:val="center"/>
          </w:tcPr>
          <w:p w14:paraId="38C20D88">
            <w:pPr>
              <w:widowControl/>
              <w:jc w:val="left"/>
              <w:rPr>
                <w:rFonts w:ascii="宋体" w:hAnsi="宋体"/>
                <w:color w:val="000000"/>
                <w:kern w:val="0"/>
                <w:sz w:val="18"/>
                <w:szCs w:val="18"/>
              </w:rPr>
            </w:pPr>
          </w:p>
        </w:tc>
        <w:tc>
          <w:tcPr>
            <w:tcW w:w="801" w:type="dxa"/>
            <w:vAlign w:val="center"/>
          </w:tcPr>
          <w:p w14:paraId="1562EF99">
            <w:pPr>
              <w:widowControl/>
              <w:jc w:val="center"/>
              <w:rPr>
                <w:rFonts w:ascii="宋体" w:hAnsi="宋体"/>
                <w:color w:val="000000"/>
                <w:kern w:val="0"/>
                <w:sz w:val="18"/>
                <w:szCs w:val="18"/>
              </w:rPr>
            </w:pPr>
            <w:r>
              <w:rPr>
                <w:rFonts w:ascii="宋体" w:hAnsi="宋体"/>
                <w:color w:val="000000"/>
                <w:kern w:val="0"/>
                <w:sz w:val="18"/>
                <w:szCs w:val="18"/>
              </w:rPr>
              <w:t>2012</w:t>
            </w:r>
          </w:p>
        </w:tc>
        <w:tc>
          <w:tcPr>
            <w:tcW w:w="1211" w:type="dxa"/>
            <w:vAlign w:val="center"/>
          </w:tcPr>
          <w:p w14:paraId="6891BE77">
            <w:pPr>
              <w:jc w:val="center"/>
              <w:rPr>
                <w:rFonts w:ascii="宋体" w:hAnsi="宋体"/>
                <w:color w:val="000000"/>
                <w:sz w:val="18"/>
                <w:szCs w:val="18"/>
              </w:rPr>
            </w:pPr>
            <w:r>
              <w:rPr>
                <w:rFonts w:ascii="宋体" w:hAnsi="宋体"/>
                <w:color w:val="000000"/>
                <w:sz w:val="18"/>
                <w:szCs w:val="18"/>
              </w:rPr>
              <w:t>48.5</w:t>
            </w:r>
          </w:p>
        </w:tc>
        <w:tc>
          <w:tcPr>
            <w:tcW w:w="988" w:type="dxa"/>
            <w:vAlign w:val="center"/>
          </w:tcPr>
          <w:p w14:paraId="1F2A21DE">
            <w:pPr>
              <w:jc w:val="center"/>
              <w:rPr>
                <w:rFonts w:ascii="宋体" w:hAnsi="宋体"/>
                <w:color w:val="000000"/>
                <w:sz w:val="18"/>
                <w:szCs w:val="18"/>
              </w:rPr>
            </w:pPr>
            <w:r>
              <w:rPr>
                <w:rFonts w:ascii="宋体" w:hAnsi="宋体"/>
                <w:color w:val="000000"/>
                <w:sz w:val="18"/>
                <w:szCs w:val="18"/>
              </w:rPr>
              <w:t>30</w:t>
            </w:r>
            <w:r>
              <w:rPr>
                <w:rFonts w:hint="eastAsia" w:ascii="宋体" w:hAnsi="宋体"/>
                <w:color w:val="000000"/>
                <w:sz w:val="18"/>
                <w:szCs w:val="18"/>
              </w:rPr>
              <w:t>.0</w:t>
            </w:r>
          </w:p>
        </w:tc>
        <w:tc>
          <w:tcPr>
            <w:tcW w:w="1088" w:type="dxa"/>
            <w:vAlign w:val="center"/>
          </w:tcPr>
          <w:p w14:paraId="19FDD482">
            <w:pPr>
              <w:jc w:val="center"/>
              <w:rPr>
                <w:rFonts w:ascii="宋体" w:hAnsi="宋体"/>
                <w:color w:val="000000"/>
                <w:sz w:val="18"/>
                <w:szCs w:val="18"/>
              </w:rPr>
            </w:pPr>
            <w:r>
              <w:rPr>
                <w:rFonts w:ascii="宋体" w:hAnsi="宋体"/>
                <w:color w:val="000000"/>
                <w:sz w:val="18"/>
                <w:szCs w:val="18"/>
              </w:rPr>
              <w:t>14.5</w:t>
            </w:r>
          </w:p>
        </w:tc>
        <w:tc>
          <w:tcPr>
            <w:tcW w:w="1256" w:type="dxa"/>
            <w:vAlign w:val="center"/>
          </w:tcPr>
          <w:p w14:paraId="4FE639A2">
            <w:pPr>
              <w:jc w:val="center"/>
              <w:rPr>
                <w:rFonts w:ascii="宋体" w:hAnsi="宋体"/>
                <w:color w:val="000000"/>
                <w:sz w:val="18"/>
                <w:szCs w:val="18"/>
              </w:rPr>
            </w:pPr>
            <w:r>
              <w:rPr>
                <w:rFonts w:ascii="宋体" w:hAnsi="宋体"/>
                <w:color w:val="000000"/>
                <w:sz w:val="18"/>
                <w:szCs w:val="18"/>
              </w:rPr>
              <w:t>43,705.2</w:t>
            </w:r>
          </w:p>
        </w:tc>
        <w:tc>
          <w:tcPr>
            <w:tcW w:w="1136" w:type="dxa"/>
            <w:vAlign w:val="center"/>
          </w:tcPr>
          <w:p w14:paraId="4F1BEEB6">
            <w:pPr>
              <w:jc w:val="center"/>
              <w:rPr>
                <w:rFonts w:ascii="宋体" w:hAnsi="宋体"/>
                <w:color w:val="000000"/>
                <w:sz w:val="18"/>
                <w:szCs w:val="18"/>
              </w:rPr>
            </w:pPr>
            <w:r>
              <w:rPr>
                <w:rFonts w:ascii="宋体" w:hAnsi="宋体"/>
                <w:color w:val="000000"/>
                <w:sz w:val="18"/>
                <w:szCs w:val="18"/>
              </w:rPr>
              <w:t>6,358.2</w:t>
            </w:r>
          </w:p>
        </w:tc>
        <w:tc>
          <w:tcPr>
            <w:tcW w:w="1206" w:type="dxa"/>
            <w:vAlign w:val="center"/>
          </w:tcPr>
          <w:p w14:paraId="3BDA157B">
            <w:pPr>
              <w:jc w:val="center"/>
              <w:rPr>
                <w:rFonts w:ascii="宋体" w:hAnsi="宋体"/>
                <w:color w:val="000000"/>
                <w:sz w:val="18"/>
                <w:szCs w:val="18"/>
              </w:rPr>
            </w:pPr>
            <w:r>
              <w:rPr>
                <w:rFonts w:ascii="宋体" w:hAnsi="宋体"/>
                <w:color w:val="000000"/>
                <w:sz w:val="18"/>
                <w:szCs w:val="18"/>
              </w:rPr>
              <w:t>273,369.1</w:t>
            </w:r>
          </w:p>
        </w:tc>
        <w:tc>
          <w:tcPr>
            <w:tcW w:w="816" w:type="dxa"/>
            <w:vAlign w:val="center"/>
          </w:tcPr>
          <w:p w14:paraId="217A1C1F">
            <w:pPr>
              <w:jc w:val="center"/>
              <w:rPr>
                <w:rFonts w:ascii="宋体" w:hAnsi="宋体"/>
                <w:color w:val="000000"/>
                <w:sz w:val="18"/>
                <w:szCs w:val="18"/>
              </w:rPr>
            </w:pPr>
            <w:r>
              <w:rPr>
                <w:rFonts w:ascii="宋体" w:hAnsi="宋体"/>
                <w:color w:val="000000"/>
                <w:sz w:val="18"/>
                <w:szCs w:val="18"/>
              </w:rPr>
              <w:t>2.3</w:t>
            </w:r>
          </w:p>
        </w:tc>
      </w:tr>
      <w:tr w14:paraId="41CFC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576" w:type="dxa"/>
            <w:vMerge w:val="continue"/>
            <w:vAlign w:val="center"/>
          </w:tcPr>
          <w:p w14:paraId="6F7B1045">
            <w:pPr>
              <w:widowControl/>
              <w:jc w:val="left"/>
              <w:rPr>
                <w:rFonts w:ascii="宋体" w:hAnsi="宋体"/>
                <w:color w:val="000000"/>
                <w:kern w:val="0"/>
                <w:sz w:val="18"/>
                <w:szCs w:val="18"/>
              </w:rPr>
            </w:pPr>
          </w:p>
        </w:tc>
        <w:tc>
          <w:tcPr>
            <w:tcW w:w="801" w:type="dxa"/>
            <w:vAlign w:val="center"/>
          </w:tcPr>
          <w:p w14:paraId="6A5D1DDE">
            <w:pPr>
              <w:widowControl/>
              <w:jc w:val="center"/>
              <w:rPr>
                <w:rFonts w:ascii="宋体" w:hAnsi="宋体"/>
                <w:color w:val="000000"/>
                <w:kern w:val="0"/>
                <w:sz w:val="18"/>
                <w:szCs w:val="18"/>
              </w:rPr>
            </w:pPr>
            <w:r>
              <w:rPr>
                <w:rFonts w:ascii="宋体" w:hAnsi="宋体"/>
                <w:color w:val="000000"/>
                <w:kern w:val="0"/>
                <w:sz w:val="18"/>
                <w:szCs w:val="18"/>
              </w:rPr>
              <w:t>2013</w:t>
            </w:r>
          </w:p>
        </w:tc>
        <w:tc>
          <w:tcPr>
            <w:tcW w:w="1211" w:type="dxa"/>
            <w:vAlign w:val="center"/>
          </w:tcPr>
          <w:p w14:paraId="2549CCBC">
            <w:pPr>
              <w:jc w:val="center"/>
              <w:rPr>
                <w:rFonts w:ascii="宋体" w:hAnsi="宋体"/>
                <w:color w:val="000000"/>
                <w:sz w:val="18"/>
                <w:szCs w:val="18"/>
              </w:rPr>
            </w:pPr>
            <w:r>
              <w:rPr>
                <w:rFonts w:ascii="宋体" w:hAnsi="宋体"/>
                <w:color w:val="000000"/>
                <w:sz w:val="18"/>
                <w:szCs w:val="18"/>
              </w:rPr>
              <w:t>61.3</w:t>
            </w:r>
          </w:p>
        </w:tc>
        <w:tc>
          <w:tcPr>
            <w:tcW w:w="988" w:type="dxa"/>
            <w:vAlign w:val="center"/>
          </w:tcPr>
          <w:p w14:paraId="792DCD54">
            <w:pPr>
              <w:jc w:val="center"/>
              <w:rPr>
                <w:rFonts w:ascii="宋体" w:hAnsi="宋体"/>
                <w:color w:val="000000"/>
                <w:sz w:val="18"/>
                <w:szCs w:val="18"/>
              </w:rPr>
            </w:pPr>
            <w:r>
              <w:rPr>
                <w:rFonts w:ascii="宋体" w:hAnsi="宋体"/>
                <w:color w:val="000000"/>
                <w:sz w:val="18"/>
                <w:szCs w:val="18"/>
              </w:rPr>
              <w:t>30</w:t>
            </w:r>
            <w:r>
              <w:rPr>
                <w:rFonts w:hint="eastAsia" w:ascii="宋体" w:hAnsi="宋体"/>
                <w:color w:val="000000"/>
                <w:sz w:val="18"/>
                <w:szCs w:val="18"/>
              </w:rPr>
              <w:t>.0</w:t>
            </w:r>
          </w:p>
        </w:tc>
        <w:tc>
          <w:tcPr>
            <w:tcW w:w="1088" w:type="dxa"/>
            <w:vAlign w:val="center"/>
          </w:tcPr>
          <w:p w14:paraId="36340AAA">
            <w:pPr>
              <w:jc w:val="center"/>
              <w:rPr>
                <w:rFonts w:ascii="宋体" w:hAnsi="宋体"/>
                <w:color w:val="000000"/>
                <w:sz w:val="18"/>
                <w:szCs w:val="18"/>
              </w:rPr>
            </w:pPr>
            <w:r>
              <w:rPr>
                <w:rFonts w:ascii="宋体" w:hAnsi="宋体"/>
                <w:color w:val="000000"/>
                <w:sz w:val="18"/>
                <w:szCs w:val="18"/>
              </w:rPr>
              <w:t>18.4</w:t>
            </w:r>
          </w:p>
        </w:tc>
        <w:tc>
          <w:tcPr>
            <w:tcW w:w="1256" w:type="dxa"/>
            <w:vAlign w:val="center"/>
          </w:tcPr>
          <w:p w14:paraId="5495C3E5">
            <w:pPr>
              <w:jc w:val="center"/>
              <w:rPr>
                <w:rFonts w:ascii="宋体" w:hAnsi="宋体"/>
                <w:color w:val="000000"/>
                <w:sz w:val="18"/>
                <w:szCs w:val="18"/>
              </w:rPr>
            </w:pPr>
            <w:r>
              <w:rPr>
                <w:rFonts w:ascii="宋体" w:hAnsi="宋体"/>
                <w:color w:val="000000"/>
                <w:sz w:val="18"/>
                <w:szCs w:val="18"/>
              </w:rPr>
              <w:t>52,033.9</w:t>
            </w:r>
          </w:p>
        </w:tc>
        <w:tc>
          <w:tcPr>
            <w:tcW w:w="1136" w:type="dxa"/>
            <w:vAlign w:val="center"/>
          </w:tcPr>
          <w:p w14:paraId="6B2E2370">
            <w:pPr>
              <w:jc w:val="center"/>
              <w:rPr>
                <w:rFonts w:ascii="宋体" w:hAnsi="宋体"/>
                <w:color w:val="000000"/>
                <w:sz w:val="18"/>
                <w:szCs w:val="18"/>
              </w:rPr>
            </w:pPr>
            <w:r>
              <w:rPr>
                <w:rFonts w:ascii="宋体" w:hAnsi="宋体"/>
                <w:color w:val="000000"/>
                <w:sz w:val="18"/>
                <w:szCs w:val="18"/>
              </w:rPr>
              <w:t>9,570.6</w:t>
            </w:r>
          </w:p>
        </w:tc>
        <w:tc>
          <w:tcPr>
            <w:tcW w:w="1206" w:type="dxa"/>
            <w:vAlign w:val="center"/>
          </w:tcPr>
          <w:p w14:paraId="4895C90B">
            <w:pPr>
              <w:jc w:val="center"/>
              <w:rPr>
                <w:rFonts w:ascii="宋体" w:hAnsi="宋体"/>
                <w:color w:val="000000"/>
                <w:sz w:val="18"/>
                <w:szCs w:val="18"/>
              </w:rPr>
            </w:pPr>
            <w:r>
              <w:rPr>
                <w:rFonts w:ascii="宋体" w:hAnsi="宋体"/>
                <w:color w:val="000000"/>
                <w:sz w:val="18"/>
                <w:szCs w:val="18"/>
              </w:rPr>
              <w:t>292,415.9</w:t>
            </w:r>
          </w:p>
        </w:tc>
        <w:tc>
          <w:tcPr>
            <w:tcW w:w="816" w:type="dxa"/>
            <w:vAlign w:val="center"/>
          </w:tcPr>
          <w:p w14:paraId="27C85F22">
            <w:pPr>
              <w:jc w:val="center"/>
              <w:rPr>
                <w:rFonts w:ascii="宋体" w:hAnsi="宋体"/>
                <w:color w:val="000000"/>
                <w:sz w:val="18"/>
                <w:szCs w:val="18"/>
              </w:rPr>
            </w:pPr>
            <w:r>
              <w:rPr>
                <w:rFonts w:ascii="宋体" w:hAnsi="宋体"/>
                <w:color w:val="000000"/>
                <w:sz w:val="18"/>
                <w:szCs w:val="18"/>
              </w:rPr>
              <w:t>3.3</w:t>
            </w:r>
          </w:p>
        </w:tc>
      </w:tr>
      <w:tr w14:paraId="580C5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576" w:type="dxa"/>
            <w:vMerge w:val="restart"/>
            <w:vAlign w:val="center"/>
          </w:tcPr>
          <w:p w14:paraId="0487B272">
            <w:pPr>
              <w:widowControl/>
              <w:jc w:val="left"/>
              <w:rPr>
                <w:rFonts w:ascii="宋体" w:hAnsi="宋体"/>
                <w:color w:val="000000"/>
                <w:kern w:val="0"/>
                <w:sz w:val="18"/>
                <w:szCs w:val="18"/>
              </w:rPr>
            </w:pPr>
            <w:r>
              <w:rPr>
                <w:rFonts w:ascii="宋体" w:hAnsi="宋体"/>
                <w:color w:val="000000"/>
                <w:kern w:val="0"/>
                <w:sz w:val="18"/>
                <w:szCs w:val="18"/>
              </w:rPr>
              <w:t>奇正</w:t>
            </w:r>
          </w:p>
          <w:p w14:paraId="42479203">
            <w:pPr>
              <w:widowControl/>
              <w:jc w:val="left"/>
              <w:rPr>
                <w:rFonts w:ascii="宋体" w:hAnsi="宋体"/>
                <w:color w:val="000000"/>
                <w:kern w:val="0"/>
                <w:sz w:val="18"/>
                <w:szCs w:val="18"/>
              </w:rPr>
            </w:pPr>
            <w:r>
              <w:rPr>
                <w:rFonts w:ascii="宋体" w:hAnsi="宋体"/>
                <w:color w:val="000000"/>
                <w:kern w:val="0"/>
                <w:sz w:val="18"/>
                <w:szCs w:val="18"/>
              </w:rPr>
              <w:t>藏药</w:t>
            </w:r>
          </w:p>
        </w:tc>
        <w:tc>
          <w:tcPr>
            <w:tcW w:w="801" w:type="dxa"/>
            <w:vAlign w:val="center"/>
          </w:tcPr>
          <w:p w14:paraId="2A625CE4">
            <w:pPr>
              <w:widowControl/>
              <w:jc w:val="center"/>
              <w:rPr>
                <w:rFonts w:ascii="宋体" w:hAnsi="宋体"/>
                <w:color w:val="000000"/>
                <w:kern w:val="0"/>
                <w:sz w:val="18"/>
                <w:szCs w:val="18"/>
              </w:rPr>
            </w:pPr>
            <w:r>
              <w:rPr>
                <w:rFonts w:ascii="宋体" w:hAnsi="宋体"/>
                <w:color w:val="000000"/>
                <w:kern w:val="0"/>
                <w:sz w:val="18"/>
                <w:szCs w:val="18"/>
              </w:rPr>
              <w:t>2011</w:t>
            </w:r>
          </w:p>
        </w:tc>
        <w:tc>
          <w:tcPr>
            <w:tcW w:w="1211" w:type="dxa"/>
            <w:vAlign w:val="center"/>
          </w:tcPr>
          <w:p w14:paraId="58180242">
            <w:pPr>
              <w:jc w:val="center"/>
              <w:rPr>
                <w:rFonts w:ascii="宋体" w:hAnsi="宋体"/>
                <w:color w:val="000000"/>
                <w:sz w:val="18"/>
                <w:szCs w:val="18"/>
              </w:rPr>
            </w:pPr>
            <w:r>
              <w:rPr>
                <w:rFonts w:ascii="宋体" w:hAnsi="宋体"/>
                <w:color w:val="000000"/>
                <w:sz w:val="18"/>
                <w:szCs w:val="18"/>
              </w:rPr>
              <w:t>75.9</w:t>
            </w:r>
          </w:p>
        </w:tc>
        <w:tc>
          <w:tcPr>
            <w:tcW w:w="988" w:type="dxa"/>
            <w:vAlign w:val="center"/>
          </w:tcPr>
          <w:p w14:paraId="79DC131F">
            <w:pPr>
              <w:jc w:val="center"/>
              <w:rPr>
                <w:rFonts w:ascii="宋体" w:hAnsi="宋体"/>
                <w:color w:val="000000"/>
                <w:sz w:val="18"/>
                <w:szCs w:val="18"/>
              </w:rPr>
            </w:pPr>
            <w:r>
              <w:rPr>
                <w:rFonts w:ascii="宋体" w:hAnsi="宋体"/>
                <w:color w:val="000000"/>
                <w:sz w:val="18"/>
                <w:szCs w:val="18"/>
              </w:rPr>
              <w:t>30</w:t>
            </w:r>
            <w:r>
              <w:rPr>
                <w:rFonts w:hint="eastAsia" w:ascii="宋体" w:hAnsi="宋体"/>
                <w:color w:val="000000"/>
                <w:sz w:val="18"/>
                <w:szCs w:val="18"/>
              </w:rPr>
              <w:t>.0</w:t>
            </w:r>
          </w:p>
        </w:tc>
        <w:tc>
          <w:tcPr>
            <w:tcW w:w="1088" w:type="dxa"/>
            <w:vAlign w:val="center"/>
          </w:tcPr>
          <w:p w14:paraId="0959EE64">
            <w:pPr>
              <w:jc w:val="center"/>
              <w:rPr>
                <w:rFonts w:ascii="宋体" w:hAnsi="宋体"/>
                <w:color w:val="000000"/>
                <w:sz w:val="18"/>
                <w:szCs w:val="18"/>
              </w:rPr>
            </w:pPr>
            <w:r>
              <w:rPr>
                <w:rFonts w:ascii="宋体" w:hAnsi="宋体"/>
                <w:color w:val="000000"/>
                <w:sz w:val="18"/>
                <w:szCs w:val="18"/>
              </w:rPr>
              <w:t>22.8</w:t>
            </w:r>
          </w:p>
        </w:tc>
        <w:tc>
          <w:tcPr>
            <w:tcW w:w="1256" w:type="dxa"/>
            <w:vAlign w:val="center"/>
          </w:tcPr>
          <w:p w14:paraId="1CE1E6B7">
            <w:pPr>
              <w:jc w:val="center"/>
              <w:rPr>
                <w:rFonts w:ascii="宋体" w:hAnsi="宋体"/>
                <w:color w:val="000000"/>
                <w:sz w:val="18"/>
                <w:szCs w:val="18"/>
              </w:rPr>
            </w:pPr>
            <w:r>
              <w:rPr>
                <w:rFonts w:ascii="宋体" w:hAnsi="宋体"/>
                <w:color w:val="000000"/>
                <w:sz w:val="18"/>
                <w:szCs w:val="18"/>
              </w:rPr>
              <w:t>19,650.7</w:t>
            </w:r>
          </w:p>
        </w:tc>
        <w:tc>
          <w:tcPr>
            <w:tcW w:w="1136" w:type="dxa"/>
            <w:vAlign w:val="center"/>
          </w:tcPr>
          <w:p w14:paraId="42EE0AB4">
            <w:pPr>
              <w:jc w:val="center"/>
              <w:rPr>
                <w:rFonts w:ascii="宋体" w:hAnsi="宋体"/>
                <w:color w:val="000000"/>
                <w:sz w:val="18"/>
                <w:szCs w:val="18"/>
              </w:rPr>
            </w:pPr>
            <w:r>
              <w:rPr>
                <w:rFonts w:ascii="宋体" w:hAnsi="宋体"/>
                <w:color w:val="000000"/>
                <w:sz w:val="18"/>
                <w:szCs w:val="18"/>
              </w:rPr>
              <w:t>4,472.2</w:t>
            </w:r>
          </w:p>
        </w:tc>
        <w:tc>
          <w:tcPr>
            <w:tcW w:w="1206" w:type="dxa"/>
            <w:vAlign w:val="center"/>
          </w:tcPr>
          <w:p w14:paraId="38770E19">
            <w:pPr>
              <w:jc w:val="center"/>
              <w:rPr>
                <w:rFonts w:ascii="宋体" w:hAnsi="宋体"/>
                <w:color w:val="000000"/>
                <w:sz w:val="18"/>
                <w:szCs w:val="18"/>
              </w:rPr>
            </w:pPr>
            <w:r>
              <w:rPr>
                <w:rFonts w:ascii="宋体" w:hAnsi="宋体"/>
                <w:color w:val="000000"/>
                <w:sz w:val="18"/>
                <w:szCs w:val="18"/>
              </w:rPr>
              <w:t>78,922.5</w:t>
            </w:r>
          </w:p>
        </w:tc>
        <w:tc>
          <w:tcPr>
            <w:tcW w:w="816" w:type="dxa"/>
            <w:vAlign w:val="center"/>
          </w:tcPr>
          <w:p w14:paraId="5E14DBD8">
            <w:pPr>
              <w:jc w:val="center"/>
              <w:rPr>
                <w:rFonts w:ascii="宋体" w:hAnsi="宋体"/>
                <w:color w:val="000000"/>
                <w:sz w:val="18"/>
                <w:szCs w:val="18"/>
              </w:rPr>
            </w:pPr>
            <w:r>
              <w:rPr>
                <w:rFonts w:ascii="宋体" w:hAnsi="宋体"/>
                <w:color w:val="000000"/>
                <w:sz w:val="18"/>
                <w:szCs w:val="18"/>
              </w:rPr>
              <w:t>5.7</w:t>
            </w:r>
          </w:p>
        </w:tc>
      </w:tr>
      <w:tr w14:paraId="0DFEB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576" w:type="dxa"/>
            <w:vMerge w:val="continue"/>
            <w:vAlign w:val="center"/>
          </w:tcPr>
          <w:p w14:paraId="5177BB5F">
            <w:pPr>
              <w:widowControl/>
              <w:jc w:val="left"/>
              <w:rPr>
                <w:rFonts w:ascii="宋体" w:hAnsi="宋体"/>
                <w:color w:val="000000"/>
                <w:kern w:val="0"/>
                <w:sz w:val="18"/>
                <w:szCs w:val="18"/>
              </w:rPr>
            </w:pPr>
          </w:p>
        </w:tc>
        <w:tc>
          <w:tcPr>
            <w:tcW w:w="801" w:type="dxa"/>
            <w:vAlign w:val="center"/>
          </w:tcPr>
          <w:p w14:paraId="0A4A7AE4">
            <w:pPr>
              <w:widowControl/>
              <w:jc w:val="center"/>
              <w:rPr>
                <w:rFonts w:ascii="宋体" w:hAnsi="宋体"/>
                <w:color w:val="000000"/>
                <w:kern w:val="0"/>
                <w:sz w:val="18"/>
                <w:szCs w:val="18"/>
              </w:rPr>
            </w:pPr>
            <w:r>
              <w:rPr>
                <w:rFonts w:ascii="宋体" w:hAnsi="宋体"/>
                <w:color w:val="000000"/>
                <w:kern w:val="0"/>
                <w:sz w:val="18"/>
                <w:szCs w:val="18"/>
              </w:rPr>
              <w:t>2012</w:t>
            </w:r>
          </w:p>
        </w:tc>
        <w:tc>
          <w:tcPr>
            <w:tcW w:w="1211" w:type="dxa"/>
            <w:vAlign w:val="center"/>
          </w:tcPr>
          <w:p w14:paraId="5C8F3BAF">
            <w:pPr>
              <w:jc w:val="center"/>
              <w:rPr>
                <w:rFonts w:ascii="宋体" w:hAnsi="宋体"/>
                <w:color w:val="000000"/>
                <w:sz w:val="18"/>
                <w:szCs w:val="18"/>
              </w:rPr>
            </w:pPr>
            <w:r>
              <w:rPr>
                <w:rFonts w:ascii="宋体" w:hAnsi="宋体"/>
                <w:color w:val="000000"/>
                <w:sz w:val="18"/>
                <w:szCs w:val="18"/>
              </w:rPr>
              <w:t>70.7</w:t>
            </w:r>
          </w:p>
        </w:tc>
        <w:tc>
          <w:tcPr>
            <w:tcW w:w="988" w:type="dxa"/>
            <w:vAlign w:val="center"/>
          </w:tcPr>
          <w:p w14:paraId="265A2419">
            <w:pPr>
              <w:jc w:val="center"/>
              <w:rPr>
                <w:rFonts w:ascii="宋体" w:hAnsi="宋体"/>
                <w:color w:val="000000"/>
                <w:sz w:val="18"/>
                <w:szCs w:val="18"/>
              </w:rPr>
            </w:pPr>
            <w:r>
              <w:rPr>
                <w:rFonts w:ascii="宋体" w:hAnsi="宋体"/>
                <w:color w:val="000000"/>
                <w:sz w:val="18"/>
                <w:szCs w:val="18"/>
              </w:rPr>
              <w:t>30</w:t>
            </w:r>
            <w:r>
              <w:rPr>
                <w:rFonts w:hint="eastAsia" w:ascii="宋体" w:hAnsi="宋体"/>
                <w:color w:val="000000"/>
                <w:sz w:val="18"/>
                <w:szCs w:val="18"/>
              </w:rPr>
              <w:t>.0</w:t>
            </w:r>
          </w:p>
        </w:tc>
        <w:tc>
          <w:tcPr>
            <w:tcW w:w="1088" w:type="dxa"/>
            <w:vAlign w:val="center"/>
          </w:tcPr>
          <w:p w14:paraId="15BF2F0F">
            <w:pPr>
              <w:jc w:val="center"/>
              <w:rPr>
                <w:rFonts w:ascii="宋体" w:hAnsi="宋体"/>
                <w:color w:val="000000"/>
                <w:sz w:val="18"/>
                <w:szCs w:val="18"/>
              </w:rPr>
            </w:pPr>
            <w:r>
              <w:rPr>
                <w:rFonts w:ascii="宋体" w:hAnsi="宋体"/>
                <w:color w:val="000000"/>
                <w:sz w:val="18"/>
                <w:szCs w:val="18"/>
              </w:rPr>
              <w:t>21.2</w:t>
            </w:r>
          </w:p>
        </w:tc>
        <w:tc>
          <w:tcPr>
            <w:tcW w:w="1256" w:type="dxa"/>
            <w:vAlign w:val="center"/>
          </w:tcPr>
          <w:p w14:paraId="2A112D49">
            <w:pPr>
              <w:jc w:val="center"/>
              <w:rPr>
                <w:rFonts w:ascii="宋体" w:hAnsi="宋体"/>
                <w:color w:val="000000"/>
                <w:sz w:val="18"/>
                <w:szCs w:val="18"/>
              </w:rPr>
            </w:pPr>
            <w:r>
              <w:rPr>
                <w:rFonts w:ascii="宋体" w:hAnsi="宋体"/>
                <w:color w:val="000000"/>
                <w:sz w:val="18"/>
                <w:szCs w:val="18"/>
              </w:rPr>
              <w:t>21,218.4</w:t>
            </w:r>
          </w:p>
        </w:tc>
        <w:tc>
          <w:tcPr>
            <w:tcW w:w="1136" w:type="dxa"/>
            <w:vAlign w:val="center"/>
          </w:tcPr>
          <w:p w14:paraId="0A6F4657">
            <w:pPr>
              <w:jc w:val="center"/>
              <w:rPr>
                <w:rFonts w:ascii="宋体" w:hAnsi="宋体"/>
                <w:color w:val="000000"/>
                <w:sz w:val="18"/>
                <w:szCs w:val="18"/>
              </w:rPr>
            </w:pPr>
            <w:r>
              <w:rPr>
                <w:rFonts w:ascii="宋体" w:hAnsi="宋体"/>
                <w:color w:val="000000"/>
                <w:sz w:val="18"/>
                <w:szCs w:val="18"/>
              </w:rPr>
              <w:t>4,503.6</w:t>
            </w:r>
          </w:p>
        </w:tc>
        <w:tc>
          <w:tcPr>
            <w:tcW w:w="1206" w:type="dxa"/>
            <w:vAlign w:val="center"/>
          </w:tcPr>
          <w:p w14:paraId="71C005E4">
            <w:pPr>
              <w:jc w:val="center"/>
              <w:rPr>
                <w:rFonts w:ascii="宋体" w:hAnsi="宋体"/>
                <w:color w:val="000000"/>
                <w:sz w:val="18"/>
                <w:szCs w:val="18"/>
              </w:rPr>
            </w:pPr>
            <w:r>
              <w:rPr>
                <w:rFonts w:ascii="宋体" w:hAnsi="宋体"/>
                <w:color w:val="000000"/>
                <w:sz w:val="18"/>
                <w:szCs w:val="18"/>
              </w:rPr>
              <w:t>93,427.5</w:t>
            </w:r>
          </w:p>
        </w:tc>
        <w:tc>
          <w:tcPr>
            <w:tcW w:w="816" w:type="dxa"/>
            <w:vAlign w:val="center"/>
          </w:tcPr>
          <w:p w14:paraId="4BE094EE">
            <w:pPr>
              <w:jc w:val="center"/>
              <w:rPr>
                <w:rFonts w:ascii="宋体" w:hAnsi="宋体"/>
                <w:color w:val="000000"/>
                <w:sz w:val="18"/>
                <w:szCs w:val="18"/>
              </w:rPr>
            </w:pPr>
            <w:r>
              <w:rPr>
                <w:rFonts w:ascii="宋体" w:hAnsi="宋体"/>
                <w:color w:val="000000"/>
                <w:sz w:val="18"/>
                <w:szCs w:val="18"/>
              </w:rPr>
              <w:t>4.8</w:t>
            </w:r>
          </w:p>
        </w:tc>
      </w:tr>
      <w:tr w14:paraId="2C880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576" w:type="dxa"/>
            <w:vMerge w:val="continue"/>
            <w:vAlign w:val="center"/>
          </w:tcPr>
          <w:p w14:paraId="3BA13B13">
            <w:pPr>
              <w:widowControl/>
              <w:jc w:val="left"/>
              <w:rPr>
                <w:rFonts w:ascii="宋体" w:hAnsi="宋体"/>
                <w:color w:val="000000"/>
                <w:kern w:val="0"/>
                <w:sz w:val="18"/>
                <w:szCs w:val="18"/>
              </w:rPr>
            </w:pPr>
          </w:p>
        </w:tc>
        <w:tc>
          <w:tcPr>
            <w:tcW w:w="801" w:type="dxa"/>
            <w:vAlign w:val="center"/>
          </w:tcPr>
          <w:p w14:paraId="06BA1614">
            <w:pPr>
              <w:widowControl/>
              <w:jc w:val="center"/>
              <w:rPr>
                <w:rFonts w:ascii="宋体" w:hAnsi="宋体"/>
                <w:color w:val="000000"/>
                <w:kern w:val="0"/>
                <w:sz w:val="18"/>
                <w:szCs w:val="18"/>
              </w:rPr>
            </w:pPr>
            <w:r>
              <w:rPr>
                <w:rFonts w:ascii="宋体" w:hAnsi="宋体"/>
                <w:color w:val="000000"/>
                <w:kern w:val="0"/>
                <w:sz w:val="18"/>
                <w:szCs w:val="18"/>
              </w:rPr>
              <w:t>2013</w:t>
            </w:r>
          </w:p>
        </w:tc>
        <w:tc>
          <w:tcPr>
            <w:tcW w:w="1211" w:type="dxa"/>
            <w:vAlign w:val="center"/>
          </w:tcPr>
          <w:p w14:paraId="09D1A06B">
            <w:pPr>
              <w:jc w:val="center"/>
              <w:rPr>
                <w:rFonts w:ascii="宋体" w:hAnsi="宋体"/>
                <w:color w:val="000000"/>
                <w:sz w:val="18"/>
                <w:szCs w:val="18"/>
              </w:rPr>
            </w:pPr>
            <w:r>
              <w:rPr>
                <w:rFonts w:ascii="宋体" w:hAnsi="宋体"/>
                <w:color w:val="000000"/>
                <w:sz w:val="18"/>
                <w:szCs w:val="18"/>
              </w:rPr>
              <w:t>78.8</w:t>
            </w:r>
          </w:p>
        </w:tc>
        <w:tc>
          <w:tcPr>
            <w:tcW w:w="988" w:type="dxa"/>
            <w:vAlign w:val="center"/>
          </w:tcPr>
          <w:p w14:paraId="21CEE6E6">
            <w:pPr>
              <w:jc w:val="center"/>
              <w:rPr>
                <w:rFonts w:ascii="宋体" w:hAnsi="宋体"/>
                <w:color w:val="000000"/>
                <w:sz w:val="18"/>
                <w:szCs w:val="18"/>
              </w:rPr>
            </w:pPr>
            <w:r>
              <w:rPr>
                <w:rFonts w:ascii="宋体" w:hAnsi="宋体"/>
                <w:color w:val="000000"/>
                <w:sz w:val="18"/>
                <w:szCs w:val="18"/>
              </w:rPr>
              <w:t>30</w:t>
            </w:r>
            <w:r>
              <w:rPr>
                <w:rFonts w:hint="eastAsia" w:ascii="宋体" w:hAnsi="宋体"/>
                <w:color w:val="000000"/>
                <w:sz w:val="18"/>
                <w:szCs w:val="18"/>
              </w:rPr>
              <w:t>.0</w:t>
            </w:r>
          </w:p>
        </w:tc>
        <w:tc>
          <w:tcPr>
            <w:tcW w:w="1088" w:type="dxa"/>
            <w:vAlign w:val="center"/>
          </w:tcPr>
          <w:p w14:paraId="11609F33">
            <w:pPr>
              <w:jc w:val="center"/>
              <w:rPr>
                <w:rFonts w:ascii="宋体" w:hAnsi="宋体"/>
                <w:color w:val="000000"/>
                <w:sz w:val="18"/>
                <w:szCs w:val="18"/>
              </w:rPr>
            </w:pPr>
            <w:r>
              <w:rPr>
                <w:rFonts w:ascii="宋体" w:hAnsi="宋体"/>
                <w:color w:val="000000"/>
                <w:sz w:val="18"/>
                <w:szCs w:val="18"/>
              </w:rPr>
              <w:t>23.6</w:t>
            </w:r>
          </w:p>
        </w:tc>
        <w:tc>
          <w:tcPr>
            <w:tcW w:w="1256" w:type="dxa"/>
            <w:vAlign w:val="center"/>
          </w:tcPr>
          <w:p w14:paraId="52645180">
            <w:pPr>
              <w:jc w:val="center"/>
              <w:rPr>
                <w:rFonts w:ascii="宋体" w:hAnsi="宋体"/>
                <w:color w:val="000000"/>
                <w:sz w:val="18"/>
                <w:szCs w:val="18"/>
              </w:rPr>
            </w:pPr>
            <w:r>
              <w:rPr>
                <w:rFonts w:ascii="宋体" w:hAnsi="宋体"/>
                <w:color w:val="000000"/>
                <w:sz w:val="18"/>
                <w:szCs w:val="18"/>
              </w:rPr>
              <w:t>23,312.2</w:t>
            </w:r>
          </w:p>
        </w:tc>
        <w:tc>
          <w:tcPr>
            <w:tcW w:w="1136" w:type="dxa"/>
            <w:vAlign w:val="center"/>
          </w:tcPr>
          <w:p w14:paraId="2577C321">
            <w:pPr>
              <w:jc w:val="center"/>
              <w:rPr>
                <w:rFonts w:ascii="宋体" w:hAnsi="宋体"/>
                <w:color w:val="000000"/>
                <w:sz w:val="18"/>
                <w:szCs w:val="18"/>
              </w:rPr>
            </w:pPr>
            <w:r>
              <w:rPr>
                <w:rFonts w:ascii="宋体" w:hAnsi="宋体"/>
                <w:color w:val="000000"/>
                <w:sz w:val="18"/>
                <w:szCs w:val="18"/>
              </w:rPr>
              <w:t>5,512.8</w:t>
            </w:r>
          </w:p>
        </w:tc>
        <w:tc>
          <w:tcPr>
            <w:tcW w:w="1206" w:type="dxa"/>
            <w:vAlign w:val="center"/>
          </w:tcPr>
          <w:p w14:paraId="27371B74">
            <w:pPr>
              <w:jc w:val="center"/>
              <w:rPr>
                <w:rFonts w:ascii="宋体" w:hAnsi="宋体"/>
                <w:color w:val="000000"/>
                <w:sz w:val="18"/>
                <w:szCs w:val="18"/>
              </w:rPr>
            </w:pPr>
            <w:r>
              <w:rPr>
                <w:rFonts w:ascii="宋体" w:hAnsi="宋体"/>
                <w:color w:val="000000"/>
                <w:sz w:val="18"/>
                <w:szCs w:val="18"/>
              </w:rPr>
              <w:t>96,946.7</w:t>
            </w:r>
          </w:p>
        </w:tc>
        <w:tc>
          <w:tcPr>
            <w:tcW w:w="816" w:type="dxa"/>
            <w:vAlign w:val="center"/>
          </w:tcPr>
          <w:p w14:paraId="4B4F5285">
            <w:pPr>
              <w:jc w:val="center"/>
              <w:rPr>
                <w:rFonts w:ascii="宋体" w:hAnsi="宋体"/>
                <w:color w:val="000000"/>
                <w:sz w:val="18"/>
                <w:szCs w:val="18"/>
              </w:rPr>
            </w:pPr>
            <w:r>
              <w:rPr>
                <w:rFonts w:ascii="宋体" w:hAnsi="宋体"/>
                <w:color w:val="000000"/>
                <w:sz w:val="18"/>
                <w:szCs w:val="18"/>
              </w:rPr>
              <w:t>5.7</w:t>
            </w:r>
          </w:p>
        </w:tc>
      </w:tr>
      <w:tr w14:paraId="569B3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377" w:type="dxa"/>
            <w:gridSpan w:val="2"/>
            <w:vAlign w:val="center"/>
          </w:tcPr>
          <w:p w14:paraId="0385CA8B">
            <w:pPr>
              <w:widowControl/>
              <w:jc w:val="center"/>
              <w:rPr>
                <w:rFonts w:ascii="宋体" w:hAnsi="宋体"/>
                <w:color w:val="000000"/>
                <w:kern w:val="0"/>
                <w:sz w:val="18"/>
                <w:szCs w:val="18"/>
              </w:rPr>
            </w:pPr>
            <w:r>
              <w:rPr>
                <w:rFonts w:hint="eastAsia" w:ascii="宋体" w:hAnsi="宋体"/>
                <w:color w:val="000000"/>
                <w:kern w:val="0"/>
                <w:sz w:val="18"/>
                <w:szCs w:val="18"/>
              </w:rPr>
              <w:t>平均数</w:t>
            </w:r>
          </w:p>
        </w:tc>
        <w:tc>
          <w:tcPr>
            <w:tcW w:w="1211" w:type="dxa"/>
            <w:vAlign w:val="center"/>
          </w:tcPr>
          <w:p w14:paraId="0E9940E0">
            <w:pPr>
              <w:jc w:val="center"/>
              <w:rPr>
                <w:rFonts w:ascii="宋体" w:hAnsi="宋体"/>
                <w:color w:val="000000"/>
                <w:sz w:val="18"/>
                <w:szCs w:val="18"/>
              </w:rPr>
            </w:pPr>
            <w:r>
              <w:rPr>
                <w:rFonts w:hint="eastAsia" w:ascii="宋体" w:hAnsi="宋体"/>
                <w:color w:val="000000"/>
                <w:sz w:val="18"/>
                <w:szCs w:val="18"/>
              </w:rPr>
              <w:t>-</w:t>
            </w:r>
          </w:p>
        </w:tc>
        <w:tc>
          <w:tcPr>
            <w:tcW w:w="988" w:type="dxa"/>
            <w:vAlign w:val="center"/>
          </w:tcPr>
          <w:p w14:paraId="656F1058">
            <w:pPr>
              <w:jc w:val="center"/>
              <w:rPr>
                <w:rFonts w:ascii="宋体" w:hAnsi="宋体"/>
                <w:color w:val="000000"/>
                <w:sz w:val="18"/>
                <w:szCs w:val="18"/>
              </w:rPr>
            </w:pPr>
            <w:r>
              <w:rPr>
                <w:rFonts w:hint="eastAsia" w:ascii="宋体" w:hAnsi="宋体"/>
                <w:color w:val="000000"/>
                <w:sz w:val="18"/>
                <w:szCs w:val="18"/>
              </w:rPr>
              <w:t>-</w:t>
            </w:r>
          </w:p>
        </w:tc>
        <w:tc>
          <w:tcPr>
            <w:tcW w:w="1088" w:type="dxa"/>
            <w:vAlign w:val="center"/>
          </w:tcPr>
          <w:p w14:paraId="51BB6208">
            <w:pPr>
              <w:jc w:val="center"/>
              <w:rPr>
                <w:rFonts w:ascii="宋体" w:hAnsi="宋体"/>
                <w:color w:val="000000"/>
                <w:sz w:val="18"/>
                <w:szCs w:val="18"/>
              </w:rPr>
            </w:pPr>
            <w:r>
              <w:rPr>
                <w:rFonts w:hint="eastAsia" w:ascii="宋体" w:hAnsi="宋体"/>
                <w:color w:val="000000"/>
                <w:sz w:val="18"/>
                <w:szCs w:val="18"/>
              </w:rPr>
              <w:t>-</w:t>
            </w:r>
          </w:p>
        </w:tc>
        <w:tc>
          <w:tcPr>
            <w:tcW w:w="1256" w:type="dxa"/>
            <w:vAlign w:val="center"/>
          </w:tcPr>
          <w:p w14:paraId="36A34B2E">
            <w:pPr>
              <w:jc w:val="center"/>
              <w:rPr>
                <w:rFonts w:ascii="宋体" w:hAnsi="宋体"/>
                <w:color w:val="000000"/>
                <w:sz w:val="18"/>
                <w:szCs w:val="18"/>
              </w:rPr>
            </w:pPr>
            <w:r>
              <w:rPr>
                <w:rFonts w:hint="eastAsia" w:ascii="宋体" w:hAnsi="宋体"/>
                <w:color w:val="000000"/>
                <w:sz w:val="18"/>
                <w:szCs w:val="18"/>
              </w:rPr>
              <w:t>-</w:t>
            </w:r>
          </w:p>
        </w:tc>
        <w:tc>
          <w:tcPr>
            <w:tcW w:w="1136" w:type="dxa"/>
            <w:vAlign w:val="center"/>
          </w:tcPr>
          <w:p w14:paraId="3A5B620F">
            <w:pPr>
              <w:jc w:val="center"/>
              <w:rPr>
                <w:rFonts w:ascii="宋体" w:hAnsi="宋体"/>
                <w:color w:val="000000"/>
                <w:sz w:val="18"/>
                <w:szCs w:val="18"/>
              </w:rPr>
            </w:pPr>
            <w:r>
              <w:rPr>
                <w:rFonts w:hint="eastAsia" w:ascii="宋体" w:hAnsi="宋体"/>
                <w:color w:val="000000"/>
                <w:sz w:val="18"/>
                <w:szCs w:val="18"/>
              </w:rPr>
              <w:t>-</w:t>
            </w:r>
          </w:p>
        </w:tc>
        <w:tc>
          <w:tcPr>
            <w:tcW w:w="1206" w:type="dxa"/>
            <w:vAlign w:val="center"/>
          </w:tcPr>
          <w:p w14:paraId="1A6D6E2B">
            <w:pPr>
              <w:jc w:val="center"/>
              <w:rPr>
                <w:rFonts w:ascii="宋体" w:hAnsi="宋体"/>
                <w:color w:val="000000"/>
                <w:sz w:val="18"/>
                <w:szCs w:val="18"/>
              </w:rPr>
            </w:pPr>
            <w:r>
              <w:rPr>
                <w:rFonts w:hint="eastAsia" w:ascii="宋体" w:hAnsi="宋体"/>
                <w:color w:val="000000"/>
                <w:sz w:val="18"/>
                <w:szCs w:val="18"/>
              </w:rPr>
              <w:t>-</w:t>
            </w:r>
          </w:p>
        </w:tc>
        <w:tc>
          <w:tcPr>
            <w:tcW w:w="816" w:type="dxa"/>
            <w:vAlign w:val="center"/>
          </w:tcPr>
          <w:p w14:paraId="76E40893">
            <w:pPr>
              <w:jc w:val="center"/>
              <w:rPr>
                <w:rFonts w:ascii="宋体" w:hAnsi="宋体"/>
                <w:color w:val="000000"/>
                <w:sz w:val="18"/>
                <w:szCs w:val="18"/>
              </w:rPr>
            </w:pPr>
            <w:r>
              <w:rPr>
                <w:rFonts w:hint="eastAsia" w:ascii="宋体" w:hAnsi="宋体"/>
                <w:color w:val="000000"/>
                <w:sz w:val="18"/>
                <w:szCs w:val="18"/>
              </w:rPr>
              <w:t>3.1</w:t>
            </w:r>
          </w:p>
        </w:tc>
      </w:tr>
    </w:tbl>
    <w:p w14:paraId="12DCD5FF">
      <w:pPr>
        <w:tabs>
          <w:tab w:val="left" w:pos="420"/>
          <w:tab w:val="left" w:pos="540"/>
        </w:tabs>
        <w:spacing w:line="400" w:lineRule="exact"/>
        <w:ind w:firstLine="420" w:firstLineChars="200"/>
        <w:rPr>
          <w:rFonts w:ascii="宋体" w:hAnsi="宋体"/>
          <w:szCs w:val="21"/>
        </w:rPr>
      </w:pPr>
    </w:p>
    <w:p w14:paraId="79AB9D87">
      <w:pPr>
        <w:tabs>
          <w:tab w:val="left" w:pos="420"/>
          <w:tab w:val="left" w:pos="540"/>
        </w:tabs>
        <w:spacing w:line="400" w:lineRule="exact"/>
        <w:ind w:firstLine="420" w:firstLineChars="200"/>
        <w:rPr>
          <w:rFonts w:ascii="宋体" w:hAnsi="宋体"/>
          <w:szCs w:val="21"/>
        </w:rPr>
      </w:pPr>
      <w:r>
        <w:rPr>
          <w:rFonts w:ascii="宋体" w:hAnsi="宋体"/>
          <w:szCs w:val="21"/>
        </w:rPr>
        <w:t>本次评估将上表中</w:t>
      </w:r>
      <w:r>
        <w:rPr>
          <w:rFonts w:hint="eastAsia" w:ascii="宋体" w:hAnsi="宋体"/>
          <w:szCs w:val="21"/>
        </w:rPr>
        <w:t>专利</w:t>
      </w:r>
      <w:r>
        <w:rPr>
          <w:rFonts w:ascii="宋体" w:hAnsi="宋体"/>
          <w:szCs w:val="21"/>
        </w:rPr>
        <w:t>技术提成率的平均值3.1%作为对比提成率。</w:t>
      </w:r>
    </w:p>
    <w:p w14:paraId="05CEB859">
      <w:pPr>
        <w:tabs>
          <w:tab w:val="left" w:pos="420"/>
          <w:tab w:val="left" w:pos="540"/>
        </w:tabs>
        <w:spacing w:afterLines="50" w:line="400" w:lineRule="exact"/>
        <w:ind w:firstLine="420" w:firstLineChars="200"/>
        <w:rPr>
          <w:rFonts w:ascii="宋体" w:hAnsi="宋体"/>
          <w:szCs w:val="21"/>
        </w:rPr>
      </w:pPr>
      <w:r>
        <w:rPr>
          <w:rFonts w:hint="eastAsia" w:ascii="宋体" w:hAnsi="宋体"/>
          <w:szCs w:val="21"/>
        </w:rPr>
        <w:t>为了测算G公司</w:t>
      </w:r>
      <w:r>
        <w:rPr>
          <w:rFonts w:ascii="宋体" w:hAnsi="宋体"/>
          <w:szCs w:val="21"/>
        </w:rPr>
        <w:t>盐酸林可霉素</w:t>
      </w:r>
      <w:r>
        <w:rPr>
          <w:rFonts w:hint="eastAsia" w:ascii="宋体" w:hAnsi="宋体"/>
          <w:szCs w:val="21"/>
        </w:rPr>
        <w:t>的提成率，还需要比较对比</w:t>
      </w:r>
      <w:r>
        <w:rPr>
          <w:rFonts w:ascii="宋体" w:hAnsi="宋体"/>
          <w:szCs w:val="21"/>
        </w:rPr>
        <w:t>公司</w:t>
      </w:r>
      <w:r>
        <w:rPr>
          <w:rFonts w:hint="eastAsia" w:ascii="宋体" w:hAnsi="宋体"/>
          <w:szCs w:val="21"/>
        </w:rPr>
        <w:t>与G公司</w:t>
      </w:r>
      <w:r>
        <w:rPr>
          <w:rFonts w:ascii="宋体" w:hAnsi="宋体"/>
          <w:szCs w:val="21"/>
        </w:rPr>
        <w:t>盐酸林可霉素</w:t>
      </w:r>
      <w:r>
        <w:rPr>
          <w:rFonts w:hint="eastAsia" w:ascii="宋体" w:hAnsi="宋体"/>
          <w:szCs w:val="21"/>
        </w:rPr>
        <w:t>产品</w:t>
      </w:r>
      <w:r>
        <w:rPr>
          <w:rFonts w:ascii="宋体" w:hAnsi="宋体"/>
          <w:szCs w:val="21"/>
        </w:rPr>
        <w:t>的销售毛利率</w:t>
      </w:r>
      <w:r>
        <w:rPr>
          <w:rFonts w:hint="eastAsia" w:ascii="宋体" w:hAnsi="宋体"/>
          <w:szCs w:val="21"/>
        </w:rPr>
        <w:t>，根据对比公司销售收入的情况，可以测算出其</w:t>
      </w:r>
      <w:r>
        <w:rPr>
          <w:rFonts w:ascii="宋体" w:hAnsi="宋体"/>
          <w:szCs w:val="21"/>
        </w:rPr>
        <w:t>销售毛利率</w:t>
      </w:r>
      <w:r>
        <w:rPr>
          <w:rFonts w:hint="eastAsia" w:ascii="宋体" w:hAnsi="宋体"/>
          <w:szCs w:val="21"/>
        </w:rPr>
        <w:t>，具体见表1-7所示。</w:t>
      </w:r>
    </w:p>
    <w:p w14:paraId="45BF9006">
      <w:pPr>
        <w:tabs>
          <w:tab w:val="left" w:pos="420"/>
          <w:tab w:val="left" w:pos="540"/>
        </w:tabs>
        <w:spacing w:afterLines="50" w:line="400" w:lineRule="exact"/>
        <w:ind w:firstLine="420" w:firstLineChars="200"/>
        <w:rPr>
          <w:rFonts w:ascii="宋体" w:hAnsi="宋体"/>
          <w:szCs w:val="21"/>
        </w:rPr>
      </w:pPr>
    </w:p>
    <w:p w14:paraId="79CACDF2">
      <w:pPr>
        <w:tabs>
          <w:tab w:val="left" w:pos="420"/>
          <w:tab w:val="left" w:pos="540"/>
        </w:tabs>
        <w:spacing w:line="440" w:lineRule="exact"/>
        <w:ind w:firstLine="361" w:firstLineChars="200"/>
        <w:jc w:val="center"/>
        <w:rPr>
          <w:rFonts w:ascii="黑体" w:hAnsi="黑体" w:eastAsia="黑体" w:cs="黑体"/>
          <w:b/>
          <w:bCs/>
          <w:sz w:val="18"/>
          <w:szCs w:val="18"/>
        </w:rPr>
      </w:pPr>
      <w:r>
        <w:rPr>
          <w:rFonts w:hint="eastAsia" w:ascii="黑体" w:hAnsi="黑体" w:eastAsia="黑体" w:cs="黑体"/>
          <w:b/>
          <w:bCs/>
          <w:sz w:val="18"/>
          <w:szCs w:val="18"/>
        </w:rPr>
        <w:t>表1-7    对比公司的销售毛</w:t>
      </w:r>
      <w:r>
        <w:rPr>
          <w:rFonts w:hint="eastAsia" w:ascii="黑体" w:hAnsi="黑体" w:eastAsia="黑体" w:cs="黑体"/>
          <w:bCs/>
          <w:sz w:val="18"/>
          <w:szCs w:val="18"/>
        </w:rPr>
        <w:t>利率</w:t>
      </w:r>
      <w:r>
        <w:rPr>
          <w:rFonts w:hint="eastAsia" w:ascii="宋体" w:hAnsi="宋体"/>
          <w:color w:val="000000"/>
          <w:kern w:val="0"/>
          <w:sz w:val="18"/>
          <w:szCs w:val="18"/>
        </w:rPr>
        <w:t>（%）</w:t>
      </w:r>
    </w:p>
    <w:tbl>
      <w:tblPr>
        <w:tblStyle w:val="8"/>
        <w:tblW w:w="90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7"/>
        <w:gridCol w:w="1735"/>
        <w:gridCol w:w="1734"/>
        <w:gridCol w:w="1734"/>
        <w:gridCol w:w="1728"/>
      </w:tblGrid>
      <w:tr w14:paraId="1A771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2147" w:type="dxa"/>
            <w:vAlign w:val="center"/>
          </w:tcPr>
          <w:p w14:paraId="5AF30F01">
            <w:pPr>
              <w:widowControl/>
              <w:jc w:val="center"/>
              <w:rPr>
                <w:rFonts w:ascii="宋体" w:hAnsi="宋体"/>
                <w:color w:val="000000"/>
                <w:kern w:val="0"/>
                <w:sz w:val="18"/>
                <w:szCs w:val="18"/>
              </w:rPr>
            </w:pPr>
            <w:r>
              <w:rPr>
                <w:rFonts w:ascii="宋体" w:hAnsi="宋体"/>
                <w:color w:val="000000"/>
                <w:kern w:val="0"/>
                <w:sz w:val="18"/>
                <w:szCs w:val="18"/>
              </w:rPr>
              <w:t>对比公司名称</w:t>
            </w:r>
          </w:p>
        </w:tc>
        <w:tc>
          <w:tcPr>
            <w:tcW w:w="1735" w:type="dxa"/>
            <w:vAlign w:val="center"/>
          </w:tcPr>
          <w:p w14:paraId="25995282">
            <w:pPr>
              <w:widowControl/>
              <w:jc w:val="center"/>
              <w:rPr>
                <w:rFonts w:ascii="宋体" w:hAnsi="宋体"/>
                <w:color w:val="000000"/>
                <w:kern w:val="0"/>
                <w:sz w:val="18"/>
                <w:szCs w:val="18"/>
              </w:rPr>
            </w:pPr>
            <w:r>
              <w:rPr>
                <w:rFonts w:ascii="宋体" w:hAnsi="宋体"/>
                <w:color w:val="000000"/>
                <w:kern w:val="0"/>
                <w:sz w:val="18"/>
                <w:szCs w:val="18"/>
              </w:rPr>
              <w:t>2013年</w:t>
            </w:r>
          </w:p>
        </w:tc>
        <w:tc>
          <w:tcPr>
            <w:tcW w:w="1734" w:type="dxa"/>
            <w:vAlign w:val="center"/>
          </w:tcPr>
          <w:p w14:paraId="49BBA3BC">
            <w:pPr>
              <w:widowControl/>
              <w:jc w:val="center"/>
              <w:rPr>
                <w:rFonts w:ascii="宋体" w:hAnsi="宋体"/>
                <w:color w:val="000000"/>
                <w:kern w:val="0"/>
                <w:sz w:val="18"/>
                <w:szCs w:val="18"/>
              </w:rPr>
            </w:pPr>
            <w:r>
              <w:rPr>
                <w:rFonts w:ascii="宋体" w:hAnsi="宋体"/>
                <w:color w:val="000000"/>
                <w:kern w:val="0"/>
                <w:sz w:val="18"/>
                <w:szCs w:val="18"/>
              </w:rPr>
              <w:t>2012年</w:t>
            </w:r>
          </w:p>
        </w:tc>
        <w:tc>
          <w:tcPr>
            <w:tcW w:w="1734" w:type="dxa"/>
            <w:vAlign w:val="center"/>
          </w:tcPr>
          <w:p w14:paraId="5EEBBC0A">
            <w:pPr>
              <w:widowControl/>
              <w:jc w:val="center"/>
              <w:rPr>
                <w:rFonts w:ascii="宋体" w:hAnsi="宋体"/>
                <w:color w:val="000000"/>
                <w:kern w:val="0"/>
                <w:sz w:val="18"/>
                <w:szCs w:val="18"/>
              </w:rPr>
            </w:pPr>
            <w:r>
              <w:rPr>
                <w:rFonts w:ascii="宋体" w:hAnsi="宋体"/>
                <w:color w:val="000000"/>
                <w:kern w:val="0"/>
                <w:sz w:val="18"/>
                <w:szCs w:val="18"/>
              </w:rPr>
              <w:t>2011年</w:t>
            </w:r>
          </w:p>
        </w:tc>
        <w:tc>
          <w:tcPr>
            <w:tcW w:w="1728" w:type="dxa"/>
          </w:tcPr>
          <w:p w14:paraId="73B44058">
            <w:pPr>
              <w:widowControl/>
              <w:jc w:val="center"/>
              <w:rPr>
                <w:rFonts w:ascii="宋体" w:hAnsi="宋体"/>
                <w:color w:val="000000"/>
                <w:kern w:val="0"/>
                <w:sz w:val="18"/>
                <w:szCs w:val="18"/>
              </w:rPr>
            </w:pPr>
            <w:r>
              <w:rPr>
                <w:rFonts w:ascii="宋体" w:hAnsi="宋体"/>
                <w:color w:val="000000"/>
                <w:kern w:val="0"/>
                <w:sz w:val="18"/>
                <w:szCs w:val="18"/>
              </w:rPr>
              <w:t>三年平均</w:t>
            </w:r>
          </w:p>
        </w:tc>
      </w:tr>
      <w:tr w14:paraId="24EA2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2147" w:type="dxa"/>
            <w:vAlign w:val="center"/>
          </w:tcPr>
          <w:p w14:paraId="5B61C8FB">
            <w:pPr>
              <w:widowControl/>
              <w:jc w:val="center"/>
              <w:rPr>
                <w:rFonts w:ascii="宋体" w:hAnsi="宋体"/>
                <w:color w:val="000000"/>
                <w:kern w:val="0"/>
                <w:sz w:val="18"/>
                <w:szCs w:val="18"/>
              </w:rPr>
            </w:pPr>
            <w:r>
              <w:rPr>
                <w:rFonts w:ascii="宋体" w:hAnsi="宋体"/>
                <w:color w:val="000000"/>
                <w:kern w:val="0"/>
                <w:sz w:val="18"/>
                <w:szCs w:val="18"/>
              </w:rPr>
              <w:t>华东医药</w:t>
            </w:r>
          </w:p>
        </w:tc>
        <w:tc>
          <w:tcPr>
            <w:tcW w:w="1735" w:type="dxa"/>
            <w:vAlign w:val="center"/>
          </w:tcPr>
          <w:p w14:paraId="41E38CAD">
            <w:pPr>
              <w:widowControl/>
              <w:jc w:val="center"/>
              <w:rPr>
                <w:rFonts w:ascii="宋体" w:hAnsi="宋体"/>
                <w:color w:val="000000"/>
                <w:sz w:val="18"/>
                <w:szCs w:val="18"/>
              </w:rPr>
            </w:pPr>
            <w:r>
              <w:rPr>
                <w:rFonts w:ascii="宋体" w:hAnsi="宋体"/>
                <w:color w:val="000000"/>
                <w:sz w:val="18"/>
                <w:szCs w:val="18"/>
              </w:rPr>
              <w:t>20.2</w:t>
            </w:r>
          </w:p>
        </w:tc>
        <w:tc>
          <w:tcPr>
            <w:tcW w:w="1734" w:type="dxa"/>
            <w:vAlign w:val="center"/>
          </w:tcPr>
          <w:p w14:paraId="0B816219">
            <w:pPr>
              <w:jc w:val="center"/>
              <w:rPr>
                <w:rFonts w:ascii="宋体" w:hAnsi="宋体"/>
                <w:color w:val="000000"/>
                <w:sz w:val="18"/>
                <w:szCs w:val="18"/>
              </w:rPr>
            </w:pPr>
            <w:r>
              <w:rPr>
                <w:rFonts w:ascii="宋体" w:hAnsi="宋体"/>
                <w:color w:val="000000"/>
                <w:sz w:val="18"/>
                <w:szCs w:val="18"/>
              </w:rPr>
              <w:t>19.5</w:t>
            </w:r>
          </w:p>
        </w:tc>
        <w:tc>
          <w:tcPr>
            <w:tcW w:w="1734" w:type="dxa"/>
            <w:vAlign w:val="center"/>
          </w:tcPr>
          <w:p w14:paraId="6EFD0101">
            <w:pPr>
              <w:jc w:val="center"/>
              <w:rPr>
                <w:rFonts w:ascii="宋体" w:hAnsi="宋体"/>
                <w:color w:val="000000"/>
                <w:sz w:val="18"/>
                <w:szCs w:val="18"/>
              </w:rPr>
            </w:pPr>
            <w:r>
              <w:rPr>
                <w:rFonts w:ascii="宋体" w:hAnsi="宋体"/>
                <w:color w:val="000000"/>
                <w:sz w:val="18"/>
                <w:szCs w:val="18"/>
              </w:rPr>
              <w:t>19.6</w:t>
            </w:r>
          </w:p>
        </w:tc>
        <w:tc>
          <w:tcPr>
            <w:tcW w:w="1728" w:type="dxa"/>
            <w:vAlign w:val="center"/>
          </w:tcPr>
          <w:p w14:paraId="0A98FDFB">
            <w:pPr>
              <w:jc w:val="center"/>
              <w:rPr>
                <w:rFonts w:ascii="宋体" w:hAnsi="宋体"/>
                <w:color w:val="000000"/>
                <w:sz w:val="18"/>
                <w:szCs w:val="18"/>
              </w:rPr>
            </w:pPr>
            <w:r>
              <w:rPr>
                <w:rFonts w:ascii="宋体" w:hAnsi="宋体"/>
                <w:color w:val="000000"/>
                <w:sz w:val="18"/>
                <w:szCs w:val="18"/>
              </w:rPr>
              <w:t>19.8</w:t>
            </w:r>
          </w:p>
        </w:tc>
      </w:tr>
      <w:tr w14:paraId="46455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2147" w:type="dxa"/>
            <w:vAlign w:val="center"/>
          </w:tcPr>
          <w:p w14:paraId="707C2FAA">
            <w:pPr>
              <w:widowControl/>
              <w:jc w:val="center"/>
              <w:rPr>
                <w:rFonts w:ascii="宋体" w:hAnsi="宋体"/>
                <w:color w:val="000000"/>
                <w:kern w:val="0"/>
                <w:sz w:val="18"/>
                <w:szCs w:val="18"/>
              </w:rPr>
            </w:pPr>
            <w:r>
              <w:rPr>
                <w:rFonts w:ascii="宋体" w:hAnsi="宋体"/>
                <w:color w:val="000000"/>
                <w:kern w:val="0"/>
                <w:sz w:val="18"/>
                <w:szCs w:val="18"/>
              </w:rPr>
              <w:t>康恩贝</w:t>
            </w:r>
          </w:p>
        </w:tc>
        <w:tc>
          <w:tcPr>
            <w:tcW w:w="1735" w:type="dxa"/>
            <w:vAlign w:val="center"/>
          </w:tcPr>
          <w:p w14:paraId="371EB33E">
            <w:pPr>
              <w:jc w:val="center"/>
              <w:rPr>
                <w:rFonts w:ascii="宋体" w:hAnsi="宋体"/>
                <w:color w:val="000000"/>
                <w:sz w:val="18"/>
                <w:szCs w:val="18"/>
              </w:rPr>
            </w:pPr>
            <w:r>
              <w:rPr>
                <w:rFonts w:ascii="宋体" w:hAnsi="宋体"/>
                <w:color w:val="000000"/>
                <w:sz w:val="18"/>
                <w:szCs w:val="18"/>
              </w:rPr>
              <w:t>67.8</w:t>
            </w:r>
          </w:p>
        </w:tc>
        <w:tc>
          <w:tcPr>
            <w:tcW w:w="1734" w:type="dxa"/>
            <w:vAlign w:val="center"/>
          </w:tcPr>
          <w:p w14:paraId="2E12AD86">
            <w:pPr>
              <w:jc w:val="center"/>
              <w:rPr>
                <w:rFonts w:ascii="宋体" w:hAnsi="宋体"/>
                <w:color w:val="000000"/>
                <w:sz w:val="18"/>
                <w:szCs w:val="18"/>
              </w:rPr>
            </w:pPr>
            <w:r>
              <w:rPr>
                <w:rFonts w:ascii="宋体" w:hAnsi="宋体"/>
                <w:color w:val="000000"/>
                <w:sz w:val="18"/>
                <w:szCs w:val="18"/>
              </w:rPr>
              <w:t>66.7</w:t>
            </w:r>
          </w:p>
        </w:tc>
        <w:tc>
          <w:tcPr>
            <w:tcW w:w="1734" w:type="dxa"/>
            <w:vAlign w:val="center"/>
          </w:tcPr>
          <w:p w14:paraId="60A8550D">
            <w:pPr>
              <w:jc w:val="center"/>
              <w:rPr>
                <w:rFonts w:ascii="宋体" w:hAnsi="宋体"/>
                <w:color w:val="000000"/>
                <w:sz w:val="18"/>
                <w:szCs w:val="18"/>
              </w:rPr>
            </w:pPr>
            <w:r>
              <w:rPr>
                <w:rFonts w:ascii="宋体" w:hAnsi="宋体"/>
                <w:color w:val="000000"/>
                <w:sz w:val="18"/>
                <w:szCs w:val="18"/>
              </w:rPr>
              <w:t>65.9</w:t>
            </w:r>
          </w:p>
        </w:tc>
        <w:tc>
          <w:tcPr>
            <w:tcW w:w="1728" w:type="dxa"/>
            <w:vAlign w:val="center"/>
          </w:tcPr>
          <w:p w14:paraId="5F8C4CA8">
            <w:pPr>
              <w:jc w:val="center"/>
              <w:rPr>
                <w:rFonts w:ascii="宋体" w:hAnsi="宋体"/>
                <w:color w:val="000000"/>
                <w:sz w:val="18"/>
                <w:szCs w:val="18"/>
              </w:rPr>
            </w:pPr>
            <w:r>
              <w:rPr>
                <w:rFonts w:ascii="宋体" w:hAnsi="宋体"/>
                <w:color w:val="000000"/>
                <w:sz w:val="18"/>
                <w:szCs w:val="18"/>
              </w:rPr>
              <w:t>66.8</w:t>
            </w:r>
          </w:p>
        </w:tc>
      </w:tr>
      <w:tr w14:paraId="36B6E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2147" w:type="dxa"/>
            <w:vAlign w:val="center"/>
          </w:tcPr>
          <w:p w14:paraId="72D522B9">
            <w:pPr>
              <w:widowControl/>
              <w:jc w:val="center"/>
              <w:rPr>
                <w:rFonts w:ascii="宋体" w:hAnsi="宋体"/>
                <w:color w:val="000000"/>
                <w:kern w:val="0"/>
                <w:sz w:val="18"/>
                <w:szCs w:val="18"/>
              </w:rPr>
            </w:pPr>
            <w:r>
              <w:rPr>
                <w:rFonts w:ascii="宋体" w:hAnsi="宋体"/>
                <w:color w:val="000000"/>
                <w:kern w:val="0"/>
                <w:sz w:val="18"/>
                <w:szCs w:val="18"/>
              </w:rPr>
              <w:t>奇正藏药</w:t>
            </w:r>
          </w:p>
        </w:tc>
        <w:tc>
          <w:tcPr>
            <w:tcW w:w="1735" w:type="dxa"/>
            <w:vAlign w:val="center"/>
          </w:tcPr>
          <w:p w14:paraId="0CFCEC97">
            <w:pPr>
              <w:jc w:val="center"/>
              <w:rPr>
                <w:rFonts w:ascii="宋体" w:hAnsi="宋体"/>
                <w:color w:val="000000"/>
                <w:sz w:val="18"/>
                <w:szCs w:val="18"/>
              </w:rPr>
            </w:pPr>
            <w:r>
              <w:rPr>
                <w:rFonts w:ascii="宋体" w:hAnsi="宋体"/>
                <w:color w:val="000000"/>
                <w:sz w:val="18"/>
                <w:szCs w:val="18"/>
              </w:rPr>
              <w:t>63.2</w:t>
            </w:r>
          </w:p>
        </w:tc>
        <w:tc>
          <w:tcPr>
            <w:tcW w:w="1734" w:type="dxa"/>
            <w:vAlign w:val="center"/>
          </w:tcPr>
          <w:p w14:paraId="3D49E3E5">
            <w:pPr>
              <w:jc w:val="center"/>
              <w:rPr>
                <w:rFonts w:ascii="宋体" w:hAnsi="宋体"/>
                <w:color w:val="000000"/>
                <w:sz w:val="18"/>
                <w:szCs w:val="18"/>
              </w:rPr>
            </w:pPr>
            <w:r>
              <w:rPr>
                <w:rFonts w:ascii="宋体" w:hAnsi="宋体"/>
                <w:color w:val="000000"/>
                <w:sz w:val="18"/>
                <w:szCs w:val="18"/>
              </w:rPr>
              <w:t>53.3</w:t>
            </w:r>
          </w:p>
        </w:tc>
        <w:tc>
          <w:tcPr>
            <w:tcW w:w="1734" w:type="dxa"/>
            <w:vAlign w:val="center"/>
          </w:tcPr>
          <w:p w14:paraId="42B92C25">
            <w:pPr>
              <w:jc w:val="center"/>
              <w:rPr>
                <w:rFonts w:ascii="宋体" w:hAnsi="宋体"/>
                <w:color w:val="000000"/>
                <w:sz w:val="18"/>
                <w:szCs w:val="18"/>
              </w:rPr>
            </w:pPr>
            <w:r>
              <w:rPr>
                <w:rFonts w:ascii="宋体" w:hAnsi="宋体"/>
                <w:color w:val="000000"/>
                <w:sz w:val="18"/>
                <w:szCs w:val="18"/>
              </w:rPr>
              <w:t>54.5</w:t>
            </w:r>
          </w:p>
        </w:tc>
        <w:tc>
          <w:tcPr>
            <w:tcW w:w="1728" w:type="dxa"/>
            <w:vAlign w:val="center"/>
          </w:tcPr>
          <w:p w14:paraId="30602D28">
            <w:pPr>
              <w:jc w:val="center"/>
              <w:rPr>
                <w:rFonts w:ascii="宋体" w:hAnsi="宋体"/>
                <w:color w:val="000000"/>
                <w:sz w:val="18"/>
                <w:szCs w:val="18"/>
              </w:rPr>
            </w:pPr>
            <w:r>
              <w:rPr>
                <w:rFonts w:ascii="宋体" w:hAnsi="宋体"/>
                <w:color w:val="000000"/>
                <w:sz w:val="18"/>
                <w:szCs w:val="18"/>
              </w:rPr>
              <w:t>57.0</w:t>
            </w:r>
          </w:p>
        </w:tc>
      </w:tr>
      <w:tr w14:paraId="1FD55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2147" w:type="dxa"/>
            <w:vAlign w:val="center"/>
          </w:tcPr>
          <w:p w14:paraId="1B6F2EF5">
            <w:pPr>
              <w:widowControl/>
              <w:jc w:val="center"/>
              <w:rPr>
                <w:rFonts w:ascii="宋体" w:hAnsi="宋体"/>
                <w:color w:val="000000"/>
                <w:kern w:val="0"/>
                <w:sz w:val="18"/>
                <w:szCs w:val="18"/>
              </w:rPr>
            </w:pPr>
            <w:r>
              <w:rPr>
                <w:rFonts w:ascii="宋体" w:hAnsi="宋体"/>
                <w:color w:val="000000"/>
                <w:kern w:val="0"/>
                <w:sz w:val="18"/>
                <w:szCs w:val="18"/>
              </w:rPr>
              <w:t>平均值</w:t>
            </w:r>
          </w:p>
        </w:tc>
        <w:tc>
          <w:tcPr>
            <w:tcW w:w="1735" w:type="dxa"/>
            <w:vAlign w:val="center"/>
          </w:tcPr>
          <w:p w14:paraId="655EA28E">
            <w:pPr>
              <w:jc w:val="center"/>
              <w:rPr>
                <w:rFonts w:ascii="宋体" w:hAnsi="宋体"/>
                <w:color w:val="000000"/>
                <w:sz w:val="18"/>
                <w:szCs w:val="18"/>
              </w:rPr>
            </w:pPr>
            <w:r>
              <w:rPr>
                <w:rFonts w:ascii="宋体" w:hAnsi="宋体"/>
                <w:color w:val="000000"/>
                <w:sz w:val="18"/>
                <w:szCs w:val="18"/>
              </w:rPr>
              <w:t>50.4</w:t>
            </w:r>
          </w:p>
        </w:tc>
        <w:tc>
          <w:tcPr>
            <w:tcW w:w="1734" w:type="dxa"/>
            <w:vAlign w:val="center"/>
          </w:tcPr>
          <w:p w14:paraId="08D93D38">
            <w:pPr>
              <w:jc w:val="center"/>
              <w:rPr>
                <w:rFonts w:ascii="宋体" w:hAnsi="宋体"/>
                <w:color w:val="000000"/>
                <w:sz w:val="18"/>
                <w:szCs w:val="18"/>
              </w:rPr>
            </w:pPr>
            <w:r>
              <w:rPr>
                <w:rFonts w:ascii="宋体" w:hAnsi="宋体"/>
                <w:color w:val="000000"/>
                <w:sz w:val="18"/>
                <w:szCs w:val="18"/>
              </w:rPr>
              <w:t>46.5</w:t>
            </w:r>
          </w:p>
        </w:tc>
        <w:tc>
          <w:tcPr>
            <w:tcW w:w="1734" w:type="dxa"/>
            <w:vAlign w:val="center"/>
          </w:tcPr>
          <w:p w14:paraId="130ADF82">
            <w:pPr>
              <w:jc w:val="center"/>
              <w:rPr>
                <w:rFonts w:ascii="宋体" w:hAnsi="宋体"/>
                <w:color w:val="000000"/>
                <w:sz w:val="18"/>
                <w:szCs w:val="18"/>
              </w:rPr>
            </w:pPr>
            <w:r>
              <w:rPr>
                <w:rFonts w:ascii="宋体" w:hAnsi="宋体"/>
                <w:color w:val="000000"/>
                <w:sz w:val="18"/>
                <w:szCs w:val="18"/>
              </w:rPr>
              <w:t>46.7</w:t>
            </w:r>
          </w:p>
        </w:tc>
        <w:tc>
          <w:tcPr>
            <w:tcW w:w="1728" w:type="dxa"/>
            <w:vAlign w:val="center"/>
          </w:tcPr>
          <w:p w14:paraId="2547D1BB">
            <w:pPr>
              <w:jc w:val="center"/>
              <w:rPr>
                <w:rFonts w:ascii="宋体" w:hAnsi="宋体"/>
                <w:color w:val="000000"/>
                <w:sz w:val="18"/>
                <w:szCs w:val="18"/>
              </w:rPr>
            </w:pPr>
            <w:r>
              <w:rPr>
                <w:rFonts w:ascii="宋体" w:hAnsi="宋体"/>
                <w:color w:val="000000"/>
                <w:sz w:val="18"/>
                <w:szCs w:val="18"/>
              </w:rPr>
              <w:t>47.9</w:t>
            </w:r>
          </w:p>
        </w:tc>
      </w:tr>
    </w:tbl>
    <w:p w14:paraId="1FC5693B">
      <w:pPr>
        <w:tabs>
          <w:tab w:val="left" w:pos="420"/>
          <w:tab w:val="left" w:pos="540"/>
        </w:tabs>
        <w:spacing w:line="400" w:lineRule="exact"/>
        <w:ind w:firstLine="420" w:firstLineChars="200"/>
        <w:rPr>
          <w:rFonts w:ascii="宋体" w:hAnsi="宋体"/>
          <w:szCs w:val="21"/>
        </w:rPr>
      </w:pPr>
    </w:p>
    <w:p w14:paraId="4E871F9D">
      <w:pPr>
        <w:tabs>
          <w:tab w:val="left" w:pos="420"/>
          <w:tab w:val="left" w:pos="540"/>
        </w:tabs>
        <w:spacing w:line="400" w:lineRule="exact"/>
        <w:ind w:firstLine="420" w:firstLineChars="200"/>
        <w:rPr>
          <w:rFonts w:ascii="宋体" w:hAnsi="宋体"/>
          <w:szCs w:val="21"/>
        </w:rPr>
      </w:pPr>
      <w:r>
        <w:rPr>
          <w:rFonts w:hint="eastAsia" w:ascii="宋体" w:hAnsi="宋体"/>
          <w:szCs w:val="21"/>
        </w:rPr>
        <w:t>一般认为，</w:t>
      </w:r>
      <w:r>
        <w:rPr>
          <w:rFonts w:ascii="宋体" w:hAnsi="宋体"/>
          <w:szCs w:val="21"/>
        </w:rPr>
        <w:t>销售毛利率水平越高，则相应的技术贡献水平越高。</w:t>
      </w:r>
      <w:r>
        <w:rPr>
          <w:rFonts w:hint="eastAsia" w:ascii="宋体" w:hAnsi="宋体"/>
          <w:szCs w:val="21"/>
        </w:rPr>
        <w:t>所以在最终确定分成率时还应考虑销售利润率，而我们认为销售率和销售分成率是呈线性关系。根据测算，G公司</w:t>
      </w:r>
      <w:r>
        <w:rPr>
          <w:rFonts w:ascii="宋体" w:hAnsi="宋体"/>
          <w:szCs w:val="21"/>
        </w:rPr>
        <w:t>盐酸林可霉素</w:t>
      </w:r>
      <w:r>
        <w:rPr>
          <w:rFonts w:hint="eastAsia" w:ascii="宋体" w:hAnsi="宋体"/>
          <w:szCs w:val="21"/>
        </w:rPr>
        <w:t>的历史</w:t>
      </w:r>
      <w:r>
        <w:rPr>
          <w:rFonts w:ascii="宋体" w:hAnsi="宋体"/>
          <w:szCs w:val="21"/>
        </w:rPr>
        <w:t>销售毛利率约为8%。</w:t>
      </w:r>
      <w:r>
        <w:rPr>
          <w:rFonts w:hint="eastAsia" w:ascii="宋体" w:hAnsi="宋体"/>
          <w:szCs w:val="21"/>
        </w:rPr>
        <w:t>通过对比公司与目标公司销售利润率的差异测算</w:t>
      </w:r>
      <w:r>
        <w:rPr>
          <w:rFonts w:ascii="宋体" w:hAnsi="宋体"/>
          <w:szCs w:val="21"/>
        </w:rPr>
        <w:t>委估专利的提成率</w:t>
      </w:r>
      <w:r>
        <w:rPr>
          <w:rFonts w:hint="eastAsia" w:ascii="宋体" w:hAnsi="宋体"/>
          <w:szCs w:val="21"/>
        </w:rPr>
        <w:t>如表1-8所示。</w:t>
      </w:r>
    </w:p>
    <w:p w14:paraId="3AB40036">
      <w:pPr>
        <w:tabs>
          <w:tab w:val="left" w:pos="420"/>
          <w:tab w:val="left" w:pos="540"/>
        </w:tabs>
        <w:spacing w:line="440" w:lineRule="exact"/>
        <w:ind w:firstLine="361" w:firstLineChars="200"/>
        <w:jc w:val="center"/>
        <w:rPr>
          <w:rFonts w:ascii="黑体" w:hAnsi="黑体" w:eastAsia="黑体" w:cs="黑体"/>
          <w:b/>
          <w:bCs/>
          <w:sz w:val="18"/>
          <w:szCs w:val="18"/>
        </w:rPr>
      </w:pPr>
    </w:p>
    <w:p w14:paraId="4F5BB194">
      <w:pPr>
        <w:tabs>
          <w:tab w:val="left" w:pos="420"/>
          <w:tab w:val="left" w:pos="540"/>
        </w:tabs>
        <w:spacing w:line="440" w:lineRule="exact"/>
        <w:ind w:firstLine="361" w:firstLineChars="200"/>
        <w:jc w:val="center"/>
        <w:rPr>
          <w:rFonts w:ascii="黑体" w:hAnsi="黑体" w:eastAsia="黑体" w:cs="黑体"/>
          <w:b/>
          <w:bCs/>
          <w:sz w:val="18"/>
          <w:szCs w:val="18"/>
        </w:rPr>
      </w:pPr>
      <w:r>
        <w:rPr>
          <w:rFonts w:hint="eastAsia" w:ascii="黑体" w:hAnsi="黑体" w:eastAsia="黑体" w:cs="黑体"/>
          <w:b/>
          <w:bCs/>
          <w:sz w:val="18"/>
          <w:szCs w:val="18"/>
        </w:rPr>
        <w:t>表1-8    委估专利销售收入分成率</w:t>
      </w:r>
    </w:p>
    <w:tbl>
      <w:tblPr>
        <w:tblStyle w:val="8"/>
        <w:tblW w:w="876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5"/>
        <w:gridCol w:w="1437"/>
        <w:gridCol w:w="1437"/>
        <w:gridCol w:w="1437"/>
        <w:gridCol w:w="1437"/>
        <w:gridCol w:w="1437"/>
      </w:tblGrid>
      <w:tr w14:paraId="37A79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575" w:type="dxa"/>
            <w:vMerge w:val="restart"/>
            <w:vAlign w:val="center"/>
          </w:tcPr>
          <w:p w14:paraId="59027558">
            <w:pPr>
              <w:widowControl/>
              <w:jc w:val="center"/>
              <w:rPr>
                <w:rFonts w:ascii="宋体" w:hAnsi="宋体"/>
                <w:color w:val="000000"/>
                <w:kern w:val="0"/>
                <w:sz w:val="18"/>
                <w:szCs w:val="18"/>
              </w:rPr>
            </w:pPr>
            <w:r>
              <w:rPr>
                <w:rFonts w:ascii="宋体" w:hAnsi="宋体"/>
                <w:color w:val="000000"/>
                <w:kern w:val="0"/>
                <w:sz w:val="18"/>
                <w:szCs w:val="18"/>
              </w:rPr>
              <w:t>项目</w:t>
            </w:r>
          </w:p>
        </w:tc>
        <w:tc>
          <w:tcPr>
            <w:tcW w:w="1437" w:type="dxa"/>
            <w:vAlign w:val="center"/>
          </w:tcPr>
          <w:p w14:paraId="096ED675">
            <w:pPr>
              <w:widowControl/>
              <w:jc w:val="center"/>
              <w:rPr>
                <w:rFonts w:ascii="宋体" w:hAnsi="宋体"/>
                <w:color w:val="000000"/>
                <w:kern w:val="0"/>
                <w:sz w:val="18"/>
                <w:szCs w:val="18"/>
              </w:rPr>
            </w:pPr>
            <w:r>
              <w:rPr>
                <w:rFonts w:ascii="宋体" w:hAnsi="宋体"/>
                <w:color w:val="000000"/>
                <w:kern w:val="0"/>
                <w:sz w:val="18"/>
                <w:szCs w:val="18"/>
              </w:rPr>
              <w:t>对比公司平均销售利润率</w:t>
            </w:r>
            <w:r>
              <w:rPr>
                <w:rFonts w:hint="eastAsia" w:ascii="宋体" w:hAnsi="宋体"/>
                <w:color w:val="000000"/>
                <w:kern w:val="0"/>
                <w:sz w:val="18"/>
                <w:szCs w:val="18"/>
              </w:rPr>
              <w:t>（%）</w:t>
            </w:r>
          </w:p>
        </w:tc>
        <w:tc>
          <w:tcPr>
            <w:tcW w:w="1437" w:type="dxa"/>
            <w:vAlign w:val="center"/>
          </w:tcPr>
          <w:p w14:paraId="75CAD7C8">
            <w:pPr>
              <w:widowControl/>
              <w:jc w:val="center"/>
              <w:rPr>
                <w:rFonts w:ascii="宋体" w:hAnsi="宋体"/>
                <w:color w:val="000000"/>
                <w:kern w:val="0"/>
                <w:sz w:val="18"/>
                <w:szCs w:val="18"/>
              </w:rPr>
            </w:pPr>
            <w:r>
              <w:rPr>
                <w:rFonts w:ascii="宋体" w:hAnsi="宋体"/>
                <w:color w:val="000000"/>
                <w:kern w:val="0"/>
                <w:sz w:val="18"/>
                <w:szCs w:val="18"/>
              </w:rPr>
              <w:t>目标公司销售利润率</w:t>
            </w:r>
            <w:r>
              <w:rPr>
                <w:rFonts w:hint="eastAsia" w:ascii="宋体" w:hAnsi="宋体"/>
                <w:color w:val="000000"/>
                <w:kern w:val="0"/>
                <w:sz w:val="18"/>
                <w:szCs w:val="18"/>
              </w:rPr>
              <w:t>（%）</w:t>
            </w:r>
          </w:p>
        </w:tc>
        <w:tc>
          <w:tcPr>
            <w:tcW w:w="1437" w:type="dxa"/>
            <w:vAlign w:val="center"/>
          </w:tcPr>
          <w:p w14:paraId="2B47E1CC">
            <w:pPr>
              <w:widowControl/>
              <w:jc w:val="center"/>
              <w:rPr>
                <w:rFonts w:ascii="宋体" w:hAnsi="宋体"/>
                <w:color w:val="000000"/>
                <w:kern w:val="0"/>
                <w:sz w:val="18"/>
                <w:szCs w:val="18"/>
              </w:rPr>
            </w:pPr>
            <w:r>
              <w:rPr>
                <w:rFonts w:ascii="宋体" w:hAnsi="宋体"/>
                <w:color w:val="000000"/>
                <w:kern w:val="0"/>
                <w:sz w:val="18"/>
                <w:szCs w:val="18"/>
              </w:rPr>
              <w:t>差异率</w:t>
            </w:r>
          </w:p>
        </w:tc>
        <w:tc>
          <w:tcPr>
            <w:tcW w:w="1437" w:type="dxa"/>
            <w:vAlign w:val="center"/>
          </w:tcPr>
          <w:p w14:paraId="3700B263">
            <w:pPr>
              <w:widowControl/>
              <w:jc w:val="center"/>
              <w:rPr>
                <w:rFonts w:ascii="宋体" w:hAnsi="宋体"/>
                <w:color w:val="000000"/>
                <w:spacing w:val="-10"/>
                <w:kern w:val="0"/>
                <w:sz w:val="18"/>
                <w:szCs w:val="18"/>
              </w:rPr>
            </w:pPr>
            <w:r>
              <w:rPr>
                <w:rFonts w:ascii="宋体" w:hAnsi="宋体"/>
                <w:color w:val="000000"/>
                <w:spacing w:val="-10"/>
                <w:kern w:val="0"/>
                <w:sz w:val="18"/>
                <w:szCs w:val="18"/>
              </w:rPr>
              <w:t>对比公司专利提成率平均值</w:t>
            </w:r>
            <w:r>
              <w:rPr>
                <w:rFonts w:hint="eastAsia" w:ascii="宋体" w:hAnsi="宋体"/>
                <w:color w:val="000000"/>
                <w:spacing w:val="-10"/>
                <w:kern w:val="0"/>
                <w:sz w:val="18"/>
                <w:szCs w:val="18"/>
              </w:rPr>
              <w:t>（%）</w:t>
            </w:r>
          </w:p>
        </w:tc>
        <w:tc>
          <w:tcPr>
            <w:tcW w:w="1437" w:type="dxa"/>
            <w:vAlign w:val="center"/>
          </w:tcPr>
          <w:p w14:paraId="7F313C39">
            <w:pPr>
              <w:widowControl/>
              <w:jc w:val="center"/>
              <w:rPr>
                <w:rFonts w:ascii="宋体" w:hAnsi="宋体"/>
                <w:color w:val="000000"/>
                <w:kern w:val="0"/>
                <w:sz w:val="18"/>
                <w:szCs w:val="18"/>
              </w:rPr>
            </w:pPr>
            <w:r>
              <w:rPr>
                <w:rFonts w:ascii="宋体" w:hAnsi="宋体"/>
                <w:color w:val="000000"/>
                <w:kern w:val="0"/>
                <w:sz w:val="18"/>
                <w:szCs w:val="18"/>
              </w:rPr>
              <w:t>目标公司专利提成率</w:t>
            </w:r>
            <w:r>
              <w:rPr>
                <w:rFonts w:hint="eastAsia" w:ascii="宋体" w:hAnsi="宋体"/>
                <w:color w:val="000000"/>
                <w:kern w:val="0"/>
                <w:sz w:val="18"/>
                <w:szCs w:val="18"/>
              </w:rPr>
              <w:t>（%）</w:t>
            </w:r>
          </w:p>
        </w:tc>
      </w:tr>
      <w:tr w14:paraId="3BC00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575" w:type="dxa"/>
            <w:vMerge w:val="continue"/>
            <w:vAlign w:val="center"/>
          </w:tcPr>
          <w:p w14:paraId="2C1175F2">
            <w:pPr>
              <w:widowControl/>
              <w:jc w:val="left"/>
              <w:rPr>
                <w:rFonts w:ascii="宋体" w:hAnsi="宋体"/>
                <w:color w:val="000000"/>
                <w:kern w:val="0"/>
                <w:sz w:val="18"/>
                <w:szCs w:val="18"/>
              </w:rPr>
            </w:pPr>
          </w:p>
        </w:tc>
        <w:tc>
          <w:tcPr>
            <w:tcW w:w="1437" w:type="dxa"/>
            <w:vAlign w:val="center"/>
          </w:tcPr>
          <w:p w14:paraId="42E4D7BD">
            <w:pPr>
              <w:widowControl/>
              <w:jc w:val="center"/>
              <w:rPr>
                <w:rFonts w:ascii="宋体" w:hAnsi="宋体"/>
                <w:color w:val="000000"/>
                <w:kern w:val="0"/>
                <w:sz w:val="18"/>
                <w:szCs w:val="18"/>
              </w:rPr>
            </w:pPr>
            <w:r>
              <w:rPr>
                <w:rFonts w:ascii="宋体" w:hAnsi="宋体"/>
                <w:color w:val="000000"/>
                <w:kern w:val="0"/>
                <w:sz w:val="18"/>
                <w:szCs w:val="18"/>
              </w:rPr>
              <w:t>A</w:t>
            </w:r>
          </w:p>
        </w:tc>
        <w:tc>
          <w:tcPr>
            <w:tcW w:w="1437" w:type="dxa"/>
            <w:vAlign w:val="center"/>
          </w:tcPr>
          <w:p w14:paraId="0FE40D49">
            <w:pPr>
              <w:widowControl/>
              <w:jc w:val="center"/>
              <w:rPr>
                <w:rFonts w:ascii="宋体" w:hAnsi="宋体"/>
                <w:color w:val="000000"/>
                <w:kern w:val="0"/>
                <w:sz w:val="18"/>
                <w:szCs w:val="18"/>
              </w:rPr>
            </w:pPr>
            <w:r>
              <w:rPr>
                <w:rFonts w:ascii="宋体" w:hAnsi="宋体"/>
                <w:color w:val="000000"/>
                <w:kern w:val="0"/>
                <w:sz w:val="18"/>
                <w:szCs w:val="18"/>
              </w:rPr>
              <w:t>B</w:t>
            </w:r>
          </w:p>
        </w:tc>
        <w:tc>
          <w:tcPr>
            <w:tcW w:w="1437" w:type="dxa"/>
            <w:vAlign w:val="center"/>
          </w:tcPr>
          <w:p w14:paraId="2CCD7691">
            <w:pPr>
              <w:widowControl/>
              <w:jc w:val="center"/>
              <w:rPr>
                <w:rFonts w:ascii="宋体" w:hAnsi="宋体"/>
                <w:color w:val="000000"/>
                <w:kern w:val="0"/>
                <w:sz w:val="18"/>
                <w:szCs w:val="18"/>
              </w:rPr>
            </w:pPr>
            <w:r>
              <w:rPr>
                <w:rFonts w:ascii="宋体" w:hAnsi="宋体"/>
                <w:color w:val="000000"/>
                <w:kern w:val="0"/>
                <w:sz w:val="18"/>
                <w:szCs w:val="18"/>
              </w:rPr>
              <w:t>C=B/A</w:t>
            </w:r>
          </w:p>
        </w:tc>
        <w:tc>
          <w:tcPr>
            <w:tcW w:w="1437" w:type="dxa"/>
            <w:vAlign w:val="center"/>
          </w:tcPr>
          <w:p w14:paraId="497B22AE">
            <w:pPr>
              <w:widowControl/>
              <w:jc w:val="center"/>
              <w:rPr>
                <w:rFonts w:ascii="宋体" w:hAnsi="宋体"/>
                <w:color w:val="000000"/>
                <w:kern w:val="0"/>
                <w:sz w:val="18"/>
                <w:szCs w:val="18"/>
              </w:rPr>
            </w:pPr>
            <w:r>
              <w:rPr>
                <w:rFonts w:ascii="宋体" w:hAnsi="宋体"/>
                <w:color w:val="000000"/>
                <w:kern w:val="0"/>
                <w:sz w:val="18"/>
                <w:szCs w:val="18"/>
              </w:rPr>
              <w:t>D</w:t>
            </w:r>
          </w:p>
        </w:tc>
        <w:tc>
          <w:tcPr>
            <w:tcW w:w="1437" w:type="dxa"/>
            <w:vAlign w:val="center"/>
          </w:tcPr>
          <w:p w14:paraId="7D8B3669">
            <w:pPr>
              <w:widowControl/>
              <w:jc w:val="center"/>
              <w:rPr>
                <w:rFonts w:ascii="宋体" w:hAnsi="宋体"/>
                <w:color w:val="000000"/>
                <w:kern w:val="0"/>
                <w:sz w:val="18"/>
                <w:szCs w:val="18"/>
              </w:rPr>
            </w:pPr>
            <w:r>
              <w:rPr>
                <w:rFonts w:ascii="宋体" w:hAnsi="宋体"/>
                <w:color w:val="000000"/>
                <w:kern w:val="0"/>
                <w:sz w:val="18"/>
                <w:szCs w:val="18"/>
              </w:rPr>
              <w:t>E=C*D</w:t>
            </w:r>
          </w:p>
        </w:tc>
      </w:tr>
      <w:tr w14:paraId="23798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575" w:type="dxa"/>
            <w:vAlign w:val="center"/>
          </w:tcPr>
          <w:p w14:paraId="1A4BE7BA">
            <w:pPr>
              <w:widowControl/>
              <w:jc w:val="center"/>
              <w:rPr>
                <w:rFonts w:ascii="宋体" w:hAnsi="宋体"/>
                <w:color w:val="000000"/>
                <w:kern w:val="0"/>
                <w:sz w:val="18"/>
                <w:szCs w:val="18"/>
              </w:rPr>
            </w:pPr>
            <w:r>
              <w:rPr>
                <w:rFonts w:ascii="宋体" w:hAnsi="宋体"/>
                <w:color w:val="000000"/>
                <w:kern w:val="0"/>
                <w:sz w:val="18"/>
                <w:szCs w:val="18"/>
              </w:rPr>
              <w:t>委估专利</w:t>
            </w:r>
          </w:p>
        </w:tc>
        <w:tc>
          <w:tcPr>
            <w:tcW w:w="1437" w:type="dxa"/>
            <w:vAlign w:val="center"/>
          </w:tcPr>
          <w:p w14:paraId="31B42708">
            <w:pPr>
              <w:widowControl/>
              <w:jc w:val="center"/>
              <w:rPr>
                <w:rFonts w:ascii="宋体" w:hAnsi="宋体"/>
                <w:color w:val="000000"/>
                <w:kern w:val="0"/>
                <w:sz w:val="18"/>
                <w:szCs w:val="18"/>
              </w:rPr>
            </w:pPr>
            <w:r>
              <w:rPr>
                <w:rFonts w:ascii="宋体" w:hAnsi="宋体"/>
                <w:color w:val="000000"/>
                <w:kern w:val="0"/>
                <w:sz w:val="18"/>
                <w:szCs w:val="18"/>
              </w:rPr>
              <w:t>47.9</w:t>
            </w:r>
            <w:r>
              <w:rPr>
                <w:rFonts w:hint="eastAsia" w:ascii="宋体" w:hAnsi="宋体"/>
                <w:color w:val="000000"/>
                <w:kern w:val="0"/>
                <w:sz w:val="18"/>
                <w:szCs w:val="18"/>
              </w:rPr>
              <w:t>0</w:t>
            </w:r>
          </w:p>
        </w:tc>
        <w:tc>
          <w:tcPr>
            <w:tcW w:w="1437" w:type="dxa"/>
            <w:vAlign w:val="center"/>
          </w:tcPr>
          <w:p w14:paraId="2B5A10BA">
            <w:pPr>
              <w:widowControl/>
              <w:jc w:val="center"/>
              <w:rPr>
                <w:rFonts w:ascii="宋体" w:hAnsi="宋体"/>
                <w:color w:val="000000"/>
                <w:kern w:val="0"/>
                <w:sz w:val="18"/>
                <w:szCs w:val="18"/>
              </w:rPr>
            </w:pPr>
            <w:r>
              <w:rPr>
                <w:rFonts w:ascii="宋体" w:hAnsi="宋体"/>
                <w:color w:val="000000"/>
                <w:kern w:val="0"/>
                <w:sz w:val="18"/>
                <w:szCs w:val="18"/>
              </w:rPr>
              <w:t>8</w:t>
            </w:r>
            <w:r>
              <w:rPr>
                <w:rFonts w:hint="eastAsia" w:ascii="宋体" w:hAnsi="宋体"/>
                <w:color w:val="000000"/>
                <w:kern w:val="0"/>
                <w:sz w:val="18"/>
                <w:szCs w:val="18"/>
              </w:rPr>
              <w:t>.00</w:t>
            </w:r>
          </w:p>
        </w:tc>
        <w:tc>
          <w:tcPr>
            <w:tcW w:w="1437" w:type="dxa"/>
            <w:vAlign w:val="center"/>
          </w:tcPr>
          <w:p w14:paraId="707FBCE3">
            <w:pPr>
              <w:widowControl/>
              <w:jc w:val="center"/>
              <w:rPr>
                <w:rFonts w:ascii="宋体" w:hAnsi="宋体"/>
                <w:color w:val="000000"/>
                <w:kern w:val="0"/>
                <w:sz w:val="18"/>
                <w:szCs w:val="18"/>
              </w:rPr>
            </w:pPr>
            <w:r>
              <w:rPr>
                <w:rFonts w:ascii="宋体" w:hAnsi="宋体"/>
                <w:color w:val="000000"/>
                <w:kern w:val="0"/>
                <w:sz w:val="18"/>
                <w:szCs w:val="18"/>
              </w:rPr>
              <w:t>0.17</w:t>
            </w:r>
          </w:p>
        </w:tc>
        <w:tc>
          <w:tcPr>
            <w:tcW w:w="1437" w:type="dxa"/>
            <w:vAlign w:val="center"/>
          </w:tcPr>
          <w:p w14:paraId="4ABE5859">
            <w:pPr>
              <w:widowControl/>
              <w:jc w:val="center"/>
              <w:rPr>
                <w:rFonts w:ascii="宋体" w:hAnsi="宋体"/>
                <w:color w:val="000000"/>
                <w:kern w:val="0"/>
                <w:sz w:val="18"/>
                <w:szCs w:val="18"/>
              </w:rPr>
            </w:pPr>
            <w:r>
              <w:rPr>
                <w:rFonts w:ascii="宋体" w:hAnsi="宋体"/>
                <w:color w:val="000000"/>
                <w:kern w:val="0"/>
                <w:sz w:val="18"/>
                <w:szCs w:val="18"/>
              </w:rPr>
              <w:t>3.1</w:t>
            </w:r>
            <w:r>
              <w:rPr>
                <w:rFonts w:hint="eastAsia" w:ascii="宋体" w:hAnsi="宋体"/>
                <w:color w:val="000000"/>
                <w:kern w:val="0"/>
                <w:sz w:val="18"/>
                <w:szCs w:val="18"/>
              </w:rPr>
              <w:t>0</w:t>
            </w:r>
          </w:p>
        </w:tc>
        <w:tc>
          <w:tcPr>
            <w:tcW w:w="1437" w:type="dxa"/>
            <w:vAlign w:val="center"/>
          </w:tcPr>
          <w:p w14:paraId="0AF2989C">
            <w:pPr>
              <w:widowControl/>
              <w:jc w:val="center"/>
              <w:rPr>
                <w:rFonts w:ascii="宋体" w:hAnsi="宋体"/>
                <w:color w:val="000000"/>
                <w:kern w:val="0"/>
                <w:sz w:val="18"/>
                <w:szCs w:val="18"/>
              </w:rPr>
            </w:pPr>
            <w:r>
              <w:rPr>
                <w:rFonts w:ascii="宋体" w:hAnsi="宋体"/>
                <w:color w:val="000000"/>
                <w:kern w:val="0"/>
                <w:sz w:val="18"/>
                <w:szCs w:val="18"/>
              </w:rPr>
              <w:t>0.5</w:t>
            </w:r>
            <w:r>
              <w:rPr>
                <w:rFonts w:hint="eastAsia" w:ascii="宋体" w:hAnsi="宋体"/>
                <w:color w:val="000000"/>
                <w:kern w:val="0"/>
                <w:sz w:val="18"/>
                <w:szCs w:val="18"/>
              </w:rPr>
              <w:t>0</w:t>
            </w:r>
          </w:p>
        </w:tc>
      </w:tr>
    </w:tbl>
    <w:p w14:paraId="5B1C711A">
      <w:pPr>
        <w:tabs>
          <w:tab w:val="left" w:pos="420"/>
          <w:tab w:val="left" w:pos="540"/>
        </w:tabs>
        <w:spacing w:line="400" w:lineRule="exact"/>
        <w:ind w:firstLine="420" w:firstLineChars="200"/>
        <w:rPr>
          <w:rFonts w:ascii="宋体" w:hAnsi="宋体"/>
          <w:szCs w:val="21"/>
        </w:rPr>
      </w:pPr>
    </w:p>
    <w:p w14:paraId="6F300CAE">
      <w:pPr>
        <w:tabs>
          <w:tab w:val="left" w:pos="420"/>
          <w:tab w:val="left" w:pos="540"/>
        </w:tabs>
        <w:spacing w:line="400" w:lineRule="exact"/>
        <w:ind w:firstLine="420" w:firstLineChars="200"/>
        <w:rPr>
          <w:rFonts w:ascii="宋体" w:hAnsi="宋体"/>
          <w:szCs w:val="21"/>
        </w:rPr>
      </w:pPr>
      <w:r>
        <w:rPr>
          <w:rFonts w:ascii="宋体" w:hAnsi="宋体"/>
          <w:szCs w:val="21"/>
        </w:rPr>
        <w:t>因此，委估专利销售收入分成率取0.5%（税前），</w:t>
      </w:r>
      <w:r>
        <w:rPr>
          <w:rFonts w:hint="eastAsia" w:ascii="宋体" w:hAnsi="宋体"/>
          <w:szCs w:val="21"/>
        </w:rPr>
        <w:t>所得税按照边际税率20%计算，</w:t>
      </w:r>
      <w:r>
        <w:rPr>
          <w:rFonts w:ascii="宋体" w:hAnsi="宋体"/>
          <w:szCs w:val="21"/>
        </w:rPr>
        <w:t>销售收入净分成率为</w:t>
      </w:r>
      <w:r>
        <w:rPr>
          <w:szCs w:val="21"/>
        </w:rPr>
        <w:t>0.5%×（1-20%）=0.4%</w:t>
      </w:r>
      <w:r>
        <w:rPr>
          <w:rFonts w:ascii="宋体" w:hAnsi="宋体"/>
          <w:szCs w:val="21"/>
        </w:rPr>
        <w:t>（税后）。</w:t>
      </w:r>
    </w:p>
    <w:p w14:paraId="1BF17AC8">
      <w:pPr>
        <w:autoSpaceDE w:val="0"/>
        <w:autoSpaceDN w:val="0"/>
        <w:adjustRightInd w:val="0"/>
        <w:spacing w:beforeLines="25" w:afterLines="25" w:line="300" w:lineRule="auto"/>
        <w:ind w:firstLine="420" w:firstLineChars="200"/>
        <w:rPr>
          <w:rFonts w:ascii="宋体" w:hAnsi="宋体"/>
          <w:bCs/>
          <w:szCs w:val="21"/>
        </w:rPr>
      </w:pPr>
      <w:bookmarkStart w:id="12" w:name="_Toc252451826"/>
      <w:bookmarkStart w:id="13" w:name="_Toc252452136"/>
      <w:bookmarkStart w:id="14" w:name="_Toc223368394"/>
      <w:bookmarkStart w:id="15" w:name="_Toc339525544"/>
      <w:r>
        <w:rPr>
          <w:rFonts w:hint="eastAsia" w:ascii="宋体" w:hAnsi="宋体"/>
          <w:bCs/>
          <w:szCs w:val="21"/>
        </w:rPr>
        <w:t>4.</w:t>
      </w:r>
      <w:r>
        <w:rPr>
          <w:rFonts w:ascii="宋体" w:hAnsi="宋体"/>
          <w:bCs/>
          <w:szCs w:val="21"/>
        </w:rPr>
        <w:t>折现率的选取</w:t>
      </w:r>
      <w:bookmarkEnd w:id="12"/>
      <w:bookmarkEnd w:id="13"/>
      <w:bookmarkEnd w:id="14"/>
      <w:bookmarkEnd w:id="15"/>
    </w:p>
    <w:p w14:paraId="0D3E77FB">
      <w:pPr>
        <w:spacing w:line="400" w:lineRule="exact"/>
        <w:ind w:firstLine="420" w:firstLineChars="200"/>
        <w:rPr>
          <w:rFonts w:ascii="宋体" w:hAnsi="宋体"/>
          <w:szCs w:val="21"/>
        </w:rPr>
      </w:pPr>
      <w:r>
        <w:rPr>
          <w:rFonts w:ascii="宋体" w:hAnsi="宋体"/>
          <w:szCs w:val="21"/>
        </w:rPr>
        <w:t>折现是指通过将未来收入的货币量按一定的比率折算成现时货币量的折算过程。折现时所采用的比率称为折现率。折现率与资本化率在本质上是没有区别，它们都属于投资报酬率或资产收益率</w:t>
      </w:r>
      <w:r>
        <w:rPr>
          <w:rFonts w:hint="eastAsia" w:ascii="宋体" w:hAnsi="宋体"/>
          <w:szCs w:val="21"/>
        </w:rPr>
        <w:t>。</w:t>
      </w:r>
      <w:r>
        <w:rPr>
          <w:rFonts w:ascii="宋体" w:hAnsi="宋体"/>
          <w:szCs w:val="21"/>
        </w:rPr>
        <w:t>确定无形资产折现率时一般应遵循以下几条原则：</w:t>
      </w:r>
    </w:p>
    <w:p w14:paraId="413056D3">
      <w:pPr>
        <w:spacing w:line="400" w:lineRule="exact"/>
        <w:ind w:firstLine="420" w:firstLineChars="200"/>
        <w:rPr>
          <w:rFonts w:ascii="宋体" w:hAnsi="宋体"/>
          <w:szCs w:val="21"/>
        </w:rPr>
      </w:pPr>
      <w:r>
        <w:rPr>
          <w:rFonts w:hint="eastAsia" w:ascii="宋体" w:hAnsi="宋体" w:cs="宋体"/>
          <w:szCs w:val="21"/>
        </w:rPr>
        <w:t>（1）</w:t>
      </w:r>
      <w:r>
        <w:rPr>
          <w:rFonts w:ascii="宋体" w:hAnsi="宋体"/>
          <w:szCs w:val="21"/>
        </w:rPr>
        <w:t>不低于行业平均净资产收益率</w:t>
      </w:r>
      <w:r>
        <w:rPr>
          <w:rFonts w:hint="eastAsia" w:ascii="宋体" w:hAnsi="宋体"/>
          <w:szCs w:val="21"/>
        </w:rPr>
        <w:t>。无形资产由于存在较大的风险，其对应的收益率一般高于有形资产的收益率，一般也高于所在行业平均净资产收益率。</w:t>
      </w:r>
    </w:p>
    <w:p w14:paraId="76A35DF6">
      <w:pPr>
        <w:spacing w:line="400" w:lineRule="exact"/>
        <w:ind w:firstLine="420" w:firstLineChars="200"/>
        <w:rPr>
          <w:rFonts w:ascii="宋体" w:hAnsi="宋体"/>
          <w:szCs w:val="21"/>
        </w:rPr>
      </w:pPr>
      <w:r>
        <w:rPr>
          <w:rFonts w:hint="eastAsia" w:ascii="宋体" w:hAnsi="宋体" w:cs="宋体"/>
          <w:szCs w:val="21"/>
        </w:rPr>
        <w:t>（2）</w:t>
      </w:r>
      <w:r>
        <w:rPr>
          <w:rFonts w:ascii="宋体" w:hAnsi="宋体"/>
          <w:szCs w:val="21"/>
        </w:rPr>
        <w:t>折现率与收益额相匹配</w:t>
      </w:r>
      <w:r>
        <w:rPr>
          <w:rFonts w:hint="eastAsia" w:ascii="宋体" w:hAnsi="宋体"/>
          <w:szCs w:val="21"/>
        </w:rPr>
        <w:t>。折现率与收益额存在计算口径的匹配问题，即如果采用的是税前的收益额，则需要采用税前的折现率，反之如果采用的是税后的收益额，则需要采用税后的折现率：同时，如果收益额采用的是利润口径的，则折现率需要采用利润口径的折现率，如果收益额采用的是现金流口径的，则折现率需要采用现金流口径的折现率。</w:t>
      </w:r>
    </w:p>
    <w:p w14:paraId="0A457111">
      <w:pPr>
        <w:spacing w:line="400" w:lineRule="exact"/>
        <w:ind w:firstLine="420" w:firstLineChars="200"/>
        <w:rPr>
          <w:rFonts w:ascii="宋体" w:hAnsi="宋体"/>
          <w:szCs w:val="21"/>
        </w:rPr>
      </w:pPr>
      <w:r>
        <w:rPr>
          <w:rFonts w:hint="eastAsia" w:ascii="宋体" w:hAnsi="宋体" w:cs="宋体"/>
          <w:szCs w:val="21"/>
        </w:rPr>
        <w:t>（3）</w:t>
      </w:r>
      <w:r>
        <w:rPr>
          <w:rFonts w:ascii="宋体" w:hAnsi="宋体"/>
          <w:szCs w:val="21"/>
        </w:rPr>
        <w:t>综合考虑投资者的期望回报率及交易双方的利益均衡性。</w:t>
      </w:r>
      <w:r>
        <w:rPr>
          <w:rFonts w:hint="eastAsia" w:ascii="宋体" w:hAnsi="宋体"/>
          <w:szCs w:val="21"/>
        </w:rPr>
        <w:t>无形资产通常通过产品销售或者服务实现其价值，这时就需要考虑作为无形资产拥有方的投资回报率，也需要考虑除无形资产以外其他资产的回报率，本案例中，无形资产回报率需要考虑全部资产在产品销售收入中的贡献，根据不同类型资产所要求的回报率来确定。</w:t>
      </w:r>
    </w:p>
    <w:p w14:paraId="22087F61">
      <w:pPr>
        <w:spacing w:line="400" w:lineRule="exact"/>
        <w:ind w:firstLine="420" w:firstLineChars="200"/>
        <w:rPr>
          <w:rFonts w:ascii="宋体" w:hAnsi="宋体"/>
          <w:szCs w:val="21"/>
        </w:rPr>
      </w:pPr>
      <w:r>
        <w:rPr>
          <w:rFonts w:hint="eastAsia" w:ascii="宋体" w:hAnsi="宋体"/>
          <w:szCs w:val="21"/>
        </w:rPr>
        <w:t>这里将G公司的全部资产分为无形资产、营运资金和有形非流动资产，其对应的资产回报率分别为无形资产折现率、股东权益资本成本和</w:t>
      </w:r>
      <w:r>
        <w:rPr>
          <w:rFonts w:ascii="宋体" w:hAnsi="宋体"/>
          <w:kern w:val="0"/>
          <w:szCs w:val="21"/>
        </w:rPr>
        <w:t>有形非流动资产回报率</w:t>
      </w:r>
      <w:r>
        <w:rPr>
          <w:rFonts w:hint="eastAsia" w:ascii="宋体" w:hAnsi="宋体"/>
          <w:kern w:val="0"/>
          <w:szCs w:val="21"/>
        </w:rPr>
        <w:t>，全部资产的回报率则是加权平均资本成本。</w:t>
      </w:r>
      <w:r>
        <w:rPr>
          <w:rFonts w:hint="eastAsia" w:ascii="宋体" w:hAnsi="宋体"/>
          <w:szCs w:val="21"/>
        </w:rPr>
        <w:t>那么</w:t>
      </w:r>
      <w:r>
        <w:rPr>
          <w:rFonts w:ascii="宋体" w:hAnsi="宋体"/>
          <w:szCs w:val="21"/>
        </w:rPr>
        <w:t>无形资产折现率R</w:t>
      </w:r>
      <w:r>
        <w:rPr>
          <w:rFonts w:ascii="宋体" w:hAnsi="宋体"/>
          <w:szCs w:val="21"/>
          <w:vertAlign w:val="subscript"/>
        </w:rPr>
        <w:t>i</w:t>
      </w:r>
      <w:r>
        <w:rPr>
          <w:rFonts w:ascii="宋体" w:hAnsi="宋体"/>
          <w:szCs w:val="21"/>
        </w:rPr>
        <w:t xml:space="preserve"> 计算公式</w:t>
      </w:r>
      <w:r>
        <w:rPr>
          <w:rFonts w:hint="eastAsia" w:ascii="宋体" w:hAnsi="宋体"/>
          <w:szCs w:val="21"/>
        </w:rPr>
        <w:t>可采用</w:t>
      </w:r>
      <w:r>
        <w:rPr>
          <w:rFonts w:ascii="宋体" w:hAnsi="宋体"/>
          <w:szCs w:val="21"/>
        </w:rPr>
        <w:t>如下</w:t>
      </w:r>
      <w:r>
        <w:rPr>
          <w:rFonts w:hint="eastAsia" w:ascii="宋体" w:hAnsi="宋体"/>
          <w:szCs w:val="21"/>
        </w:rPr>
        <w:t>的公式表示。</w:t>
      </w:r>
    </w:p>
    <w:p w14:paraId="211A97DF">
      <w:pPr>
        <w:spacing w:line="400" w:lineRule="exact"/>
        <w:ind w:left="480" w:right="-17"/>
        <w:rPr>
          <w:rFonts w:ascii="宋体" w:hAnsi="宋体"/>
          <w:kern w:val="0"/>
          <w:szCs w:val="21"/>
        </w:rPr>
      </w:pPr>
      <w:r>
        <w:rPr>
          <w:rFonts w:ascii="宋体" w:hAnsi="宋体"/>
          <w:szCs w:val="21"/>
          <w:lang w:val="zh-CN"/>
        </w:rPr>
        <w:pict>
          <v:shape id="Object 4" o:spid="_x0000_s1027" o:spt="75" type="#_x0000_t75" style="position:absolute;left:0pt;margin-left:33.15pt;margin-top:7.85pt;height:28.4pt;width:279.65pt;z-index:251660288;mso-width-relative:page;mso-height-relative:page;" o:ole="t" filled="f" o:preferrelative="t" stroked="f" coordsize="21600,21600">
            <v:path/>
            <v:fill on="f" focussize="0,0"/>
            <v:stroke on="f" joinstyle="miter"/>
            <v:imagedata r:id="rId12" o:title=""/>
            <o:lock v:ext="edit" aspectratio="t"/>
          </v:shape>
          <o:OLEObject Type="Embed" ProgID="Equation.3" ShapeID="Object 4" DrawAspect="Content" ObjectID="_1468075728" r:id="rId11">
            <o:LockedField>false</o:LockedField>
          </o:OLEObject>
        </w:pict>
      </w:r>
    </w:p>
    <w:p w14:paraId="20426DAA">
      <w:pPr>
        <w:spacing w:line="400" w:lineRule="exact"/>
        <w:ind w:left="480" w:right="-17"/>
        <w:rPr>
          <w:rFonts w:ascii="宋体" w:hAnsi="宋体"/>
          <w:kern w:val="0"/>
          <w:szCs w:val="21"/>
        </w:rPr>
      </w:pPr>
    </w:p>
    <w:p w14:paraId="1BE709E2">
      <w:pPr>
        <w:tabs>
          <w:tab w:val="left" w:pos="1440"/>
        </w:tabs>
        <w:spacing w:line="400" w:lineRule="exact"/>
        <w:ind w:right="-17" w:firstLine="420" w:firstLineChars="200"/>
        <w:rPr>
          <w:rFonts w:ascii="宋体" w:hAnsi="宋体"/>
          <w:kern w:val="0"/>
          <w:szCs w:val="21"/>
        </w:rPr>
      </w:pPr>
      <w:r>
        <w:rPr>
          <w:rFonts w:hint="eastAsia" w:ascii="宋体" w:hAnsi="宋体"/>
          <w:kern w:val="0"/>
          <w:szCs w:val="21"/>
        </w:rPr>
        <w:t>式</w:t>
      </w:r>
      <w:r>
        <w:rPr>
          <w:rFonts w:ascii="宋体" w:hAnsi="宋体"/>
          <w:kern w:val="0"/>
          <w:szCs w:val="21"/>
        </w:rPr>
        <w:t>中</w:t>
      </w:r>
      <w:r>
        <w:rPr>
          <w:rFonts w:hint="eastAsia" w:ascii="宋体" w:hAnsi="宋体"/>
          <w:kern w:val="0"/>
          <w:szCs w:val="21"/>
        </w:rPr>
        <w:t>，</w:t>
      </w:r>
      <w:r>
        <w:rPr>
          <w:rFonts w:ascii="宋体" w:hAnsi="宋体"/>
          <w:kern w:val="0"/>
          <w:szCs w:val="21"/>
        </w:rPr>
        <w:t>全部资产=股权价值+</w:t>
      </w:r>
      <w:r>
        <w:rPr>
          <w:rFonts w:hint="eastAsia" w:ascii="宋体" w:hAnsi="宋体"/>
          <w:kern w:val="0"/>
          <w:szCs w:val="21"/>
        </w:rPr>
        <w:t>付</w:t>
      </w:r>
      <w:r>
        <w:rPr>
          <w:rFonts w:ascii="宋体" w:hAnsi="宋体"/>
          <w:kern w:val="0"/>
          <w:szCs w:val="21"/>
        </w:rPr>
        <w:t>息</w:t>
      </w:r>
      <w:r>
        <w:rPr>
          <w:rFonts w:hint="eastAsia" w:ascii="宋体" w:hAnsi="宋体"/>
          <w:kern w:val="0"/>
          <w:szCs w:val="21"/>
        </w:rPr>
        <w:t>债务</w:t>
      </w:r>
      <w:r>
        <w:rPr>
          <w:rFonts w:ascii="宋体" w:hAnsi="宋体"/>
          <w:kern w:val="0"/>
          <w:szCs w:val="21"/>
        </w:rPr>
        <w:t>价值</w:t>
      </w:r>
    </w:p>
    <w:p w14:paraId="2A3AD282">
      <w:pPr>
        <w:pStyle w:val="11"/>
        <w:spacing w:line="400" w:lineRule="exact"/>
        <w:ind w:left="900" w:right="-17" w:firstLine="210" w:firstLineChars="100"/>
        <w:rPr>
          <w:rFonts w:ascii="宋体" w:hAnsi="宋体" w:eastAsia="宋体"/>
          <w:kern w:val="0"/>
          <w:sz w:val="21"/>
          <w:szCs w:val="21"/>
        </w:rPr>
      </w:pPr>
      <w:r>
        <w:rPr>
          <w:rFonts w:ascii="宋体" w:hAnsi="宋体" w:eastAsia="宋体"/>
          <w:kern w:val="0"/>
          <w:sz w:val="21"/>
          <w:szCs w:val="21"/>
        </w:rPr>
        <w:t>营运资金=流动资产-非</w:t>
      </w:r>
      <w:r>
        <w:rPr>
          <w:rFonts w:hint="eastAsia" w:ascii="宋体" w:hAnsi="宋体" w:eastAsia="宋体"/>
          <w:kern w:val="0"/>
          <w:sz w:val="21"/>
          <w:szCs w:val="21"/>
        </w:rPr>
        <w:t>付</w:t>
      </w:r>
      <w:r>
        <w:rPr>
          <w:rFonts w:ascii="宋体" w:hAnsi="宋体" w:eastAsia="宋体"/>
          <w:kern w:val="0"/>
          <w:sz w:val="21"/>
          <w:szCs w:val="21"/>
        </w:rPr>
        <w:t>息负债</w:t>
      </w:r>
    </w:p>
    <w:p w14:paraId="2A788209">
      <w:pPr>
        <w:pStyle w:val="11"/>
        <w:spacing w:line="400" w:lineRule="exact"/>
        <w:ind w:left="900" w:right="-17" w:firstLine="210" w:firstLineChars="100"/>
        <w:rPr>
          <w:rFonts w:ascii="宋体" w:hAnsi="宋体" w:eastAsia="宋体"/>
          <w:kern w:val="0"/>
          <w:sz w:val="21"/>
          <w:szCs w:val="21"/>
        </w:rPr>
      </w:pPr>
      <w:r>
        <w:rPr>
          <w:rFonts w:ascii="宋体" w:hAnsi="宋体" w:eastAsia="宋体"/>
          <w:kern w:val="0"/>
          <w:sz w:val="21"/>
          <w:szCs w:val="21"/>
        </w:rPr>
        <w:t>有形非流动资产 =有形非流动资产账面价值</w:t>
      </w:r>
    </w:p>
    <w:p w14:paraId="590FF78B">
      <w:pPr>
        <w:pStyle w:val="11"/>
        <w:spacing w:line="400" w:lineRule="exact"/>
        <w:ind w:left="900" w:right="-17" w:firstLine="210" w:firstLineChars="100"/>
        <w:rPr>
          <w:rFonts w:ascii="宋体" w:hAnsi="宋体" w:eastAsia="宋体"/>
          <w:kern w:val="0"/>
          <w:sz w:val="21"/>
          <w:szCs w:val="21"/>
        </w:rPr>
      </w:pPr>
      <w:r>
        <w:rPr>
          <w:rFonts w:ascii="宋体" w:hAnsi="宋体" w:eastAsia="宋体"/>
          <w:kern w:val="0"/>
          <w:sz w:val="21"/>
          <w:szCs w:val="21"/>
        </w:rPr>
        <w:t>无形资产=全部资产-营运资金-有形非流动资产</w:t>
      </w:r>
    </w:p>
    <w:p w14:paraId="75820ACC">
      <w:pPr>
        <w:pStyle w:val="11"/>
        <w:spacing w:line="400" w:lineRule="exact"/>
        <w:ind w:left="900" w:right="-17" w:firstLine="210" w:firstLineChars="100"/>
        <w:rPr>
          <w:rFonts w:ascii="宋体" w:hAnsi="宋体" w:eastAsia="宋体"/>
          <w:kern w:val="0"/>
          <w:sz w:val="21"/>
          <w:szCs w:val="21"/>
        </w:rPr>
      </w:pPr>
      <w:r>
        <w:rPr>
          <w:rFonts w:ascii="宋体" w:hAnsi="宋体" w:eastAsia="宋体"/>
          <w:kern w:val="0"/>
          <w:sz w:val="21"/>
          <w:szCs w:val="21"/>
        </w:rPr>
        <w:t>R</w:t>
      </w:r>
      <w:r>
        <w:rPr>
          <w:rFonts w:ascii="宋体" w:hAnsi="宋体" w:eastAsia="宋体"/>
          <w:kern w:val="0"/>
          <w:sz w:val="21"/>
          <w:szCs w:val="21"/>
          <w:vertAlign w:val="subscript"/>
        </w:rPr>
        <w:t>c</w:t>
      </w:r>
      <w:r>
        <w:rPr>
          <w:rFonts w:ascii="宋体" w:hAnsi="宋体" w:eastAsia="宋体"/>
          <w:kern w:val="0"/>
          <w:sz w:val="21"/>
          <w:szCs w:val="21"/>
        </w:rPr>
        <w:t>: 营运资金回报率</w:t>
      </w:r>
    </w:p>
    <w:p w14:paraId="656329D0">
      <w:pPr>
        <w:pStyle w:val="11"/>
        <w:spacing w:line="400" w:lineRule="exact"/>
        <w:ind w:left="900" w:firstLine="210" w:firstLineChars="100"/>
        <w:rPr>
          <w:rFonts w:ascii="宋体" w:hAnsi="宋体" w:eastAsia="宋体"/>
          <w:kern w:val="0"/>
          <w:sz w:val="21"/>
          <w:szCs w:val="21"/>
        </w:rPr>
      </w:pPr>
      <w:r>
        <w:rPr>
          <w:rFonts w:ascii="宋体" w:hAnsi="宋体" w:eastAsia="宋体"/>
          <w:kern w:val="0"/>
          <w:sz w:val="21"/>
          <w:szCs w:val="21"/>
        </w:rPr>
        <w:t>R</w:t>
      </w:r>
      <w:r>
        <w:rPr>
          <w:rFonts w:ascii="宋体" w:hAnsi="宋体" w:eastAsia="宋体"/>
          <w:kern w:val="0"/>
          <w:sz w:val="21"/>
          <w:szCs w:val="21"/>
          <w:vertAlign w:val="subscript"/>
        </w:rPr>
        <w:t>f</w:t>
      </w:r>
      <w:r>
        <w:rPr>
          <w:rFonts w:ascii="宋体" w:hAnsi="宋体" w:eastAsia="宋体"/>
          <w:kern w:val="0"/>
          <w:sz w:val="21"/>
          <w:szCs w:val="21"/>
        </w:rPr>
        <w:t>: 有形非流动资产回报率</w:t>
      </w:r>
    </w:p>
    <w:p w14:paraId="3A378B6F">
      <w:pPr>
        <w:adjustRightInd w:val="0"/>
        <w:spacing w:line="400" w:lineRule="exact"/>
        <w:ind w:firstLine="945" w:firstLineChars="450"/>
        <w:jc w:val="left"/>
        <w:textAlignment w:val="baseline"/>
        <w:rPr>
          <w:rFonts w:ascii="宋体" w:hAnsi="宋体"/>
          <w:kern w:val="0"/>
          <w:szCs w:val="21"/>
          <w:vertAlign w:val="subscript"/>
        </w:rPr>
      </w:pPr>
      <w:r>
        <w:rPr>
          <w:rFonts w:ascii="宋体" w:hAnsi="宋体"/>
          <w:kern w:val="0"/>
          <w:szCs w:val="21"/>
        </w:rPr>
        <w:t>WACC=K</w:t>
      </w:r>
      <w:r>
        <w:rPr>
          <w:rFonts w:ascii="宋体" w:hAnsi="宋体"/>
          <w:kern w:val="0"/>
          <w:szCs w:val="21"/>
          <w:vertAlign w:val="subscript"/>
        </w:rPr>
        <w:t>e</w:t>
      </w:r>
      <w:r>
        <w:rPr>
          <w:rFonts w:ascii="宋体" w:hAnsi="宋体"/>
          <w:kern w:val="0"/>
          <w:szCs w:val="21"/>
        </w:rPr>
        <w:t>×W</w:t>
      </w:r>
      <w:r>
        <w:rPr>
          <w:rFonts w:ascii="宋体" w:hAnsi="宋体"/>
          <w:kern w:val="0"/>
          <w:szCs w:val="21"/>
          <w:vertAlign w:val="subscript"/>
        </w:rPr>
        <w:t>e</w:t>
      </w:r>
      <w:r>
        <w:rPr>
          <w:rFonts w:ascii="宋体" w:hAnsi="宋体"/>
          <w:kern w:val="0"/>
          <w:szCs w:val="21"/>
        </w:rPr>
        <w:t>+K</w:t>
      </w:r>
      <w:r>
        <w:rPr>
          <w:rFonts w:ascii="宋体" w:hAnsi="宋体"/>
          <w:kern w:val="0"/>
          <w:szCs w:val="21"/>
          <w:vertAlign w:val="subscript"/>
        </w:rPr>
        <w:t>d</w:t>
      </w:r>
      <w:r>
        <w:rPr>
          <w:rFonts w:ascii="宋体" w:hAnsi="宋体"/>
          <w:kern w:val="0"/>
          <w:szCs w:val="21"/>
        </w:rPr>
        <w:t>×(1-t)×W</w:t>
      </w:r>
      <w:r>
        <w:rPr>
          <w:rFonts w:ascii="宋体" w:hAnsi="宋体"/>
          <w:kern w:val="0"/>
          <w:szCs w:val="21"/>
          <w:vertAlign w:val="subscript"/>
        </w:rPr>
        <w:t>d</w:t>
      </w:r>
    </w:p>
    <w:p w14:paraId="25C0559B">
      <w:pPr>
        <w:spacing w:line="400" w:lineRule="exact"/>
        <w:ind w:right="-15" w:firstLine="525"/>
        <w:rPr>
          <w:rFonts w:ascii="宋体" w:hAnsi="宋体"/>
          <w:kern w:val="0"/>
          <w:szCs w:val="21"/>
        </w:rPr>
      </w:pPr>
      <w:r>
        <w:rPr>
          <w:rFonts w:hint="eastAsia" w:ascii="宋体" w:hAnsi="宋体"/>
          <w:szCs w:val="21"/>
        </w:rPr>
        <w:t>式</w:t>
      </w:r>
      <w:r>
        <w:rPr>
          <w:rFonts w:ascii="宋体" w:hAnsi="宋体"/>
          <w:szCs w:val="21"/>
        </w:rPr>
        <w:t>中</w:t>
      </w:r>
      <w:r>
        <w:rPr>
          <w:rFonts w:hint="eastAsia" w:ascii="宋体" w:hAnsi="宋体"/>
          <w:szCs w:val="21"/>
        </w:rPr>
        <w:t>，</w:t>
      </w:r>
      <w:r>
        <w:rPr>
          <w:rFonts w:ascii="宋体" w:hAnsi="宋体"/>
          <w:szCs w:val="21"/>
        </w:rPr>
        <w:t>WACC：</w:t>
      </w:r>
      <w:r>
        <w:rPr>
          <w:rFonts w:ascii="宋体" w:hAnsi="宋体"/>
          <w:kern w:val="0"/>
          <w:szCs w:val="21"/>
        </w:rPr>
        <w:t>加权平均资本成本</w:t>
      </w:r>
    </w:p>
    <w:p w14:paraId="1C41DFC2">
      <w:pPr>
        <w:spacing w:line="400" w:lineRule="exact"/>
        <w:ind w:right="-15" w:firstLine="1050" w:firstLineChars="500"/>
        <w:rPr>
          <w:rFonts w:ascii="宋体" w:hAnsi="宋体"/>
          <w:kern w:val="0"/>
          <w:szCs w:val="21"/>
        </w:rPr>
      </w:pPr>
      <w:r>
        <w:rPr>
          <w:rFonts w:ascii="宋体" w:hAnsi="宋体"/>
          <w:kern w:val="0"/>
          <w:szCs w:val="21"/>
        </w:rPr>
        <w:t>K</w:t>
      </w:r>
      <w:r>
        <w:rPr>
          <w:rFonts w:ascii="宋体" w:hAnsi="宋体"/>
          <w:kern w:val="0"/>
          <w:szCs w:val="21"/>
          <w:vertAlign w:val="subscript"/>
        </w:rPr>
        <w:t>e</w:t>
      </w:r>
      <w:r>
        <w:rPr>
          <w:rFonts w:ascii="宋体" w:hAnsi="宋体"/>
          <w:kern w:val="0"/>
          <w:szCs w:val="21"/>
        </w:rPr>
        <w:t>：公司权益资本成本</w:t>
      </w:r>
    </w:p>
    <w:p w14:paraId="654C0592">
      <w:pPr>
        <w:spacing w:line="400" w:lineRule="exact"/>
        <w:ind w:right="-15" w:firstLine="1050" w:firstLineChars="500"/>
        <w:rPr>
          <w:rFonts w:ascii="宋体" w:hAnsi="宋体"/>
          <w:kern w:val="0"/>
          <w:szCs w:val="21"/>
        </w:rPr>
      </w:pPr>
      <w:r>
        <w:rPr>
          <w:rFonts w:ascii="宋体" w:hAnsi="宋体"/>
          <w:kern w:val="0"/>
          <w:szCs w:val="21"/>
        </w:rPr>
        <w:t>K</w:t>
      </w:r>
      <w:r>
        <w:rPr>
          <w:rFonts w:ascii="宋体" w:hAnsi="宋体"/>
          <w:kern w:val="0"/>
          <w:szCs w:val="21"/>
          <w:vertAlign w:val="subscript"/>
        </w:rPr>
        <w:t>d</w:t>
      </w:r>
      <w:r>
        <w:rPr>
          <w:rFonts w:ascii="宋体" w:hAnsi="宋体"/>
          <w:kern w:val="0"/>
          <w:szCs w:val="21"/>
        </w:rPr>
        <w:t>：公司债务资本成本</w:t>
      </w:r>
    </w:p>
    <w:p w14:paraId="53E13D50">
      <w:pPr>
        <w:spacing w:line="400" w:lineRule="exact"/>
        <w:ind w:right="-15" w:firstLine="1050" w:firstLineChars="500"/>
        <w:rPr>
          <w:rFonts w:ascii="宋体" w:hAnsi="宋体"/>
          <w:kern w:val="0"/>
          <w:szCs w:val="21"/>
        </w:rPr>
      </w:pPr>
      <w:r>
        <w:rPr>
          <w:rFonts w:ascii="宋体" w:hAnsi="宋体"/>
          <w:kern w:val="0"/>
          <w:szCs w:val="21"/>
        </w:rPr>
        <w:t>W</w:t>
      </w:r>
      <w:r>
        <w:rPr>
          <w:rFonts w:ascii="宋体" w:hAnsi="宋体"/>
          <w:kern w:val="0"/>
          <w:szCs w:val="21"/>
          <w:vertAlign w:val="subscript"/>
        </w:rPr>
        <w:t>e</w:t>
      </w:r>
      <w:r>
        <w:rPr>
          <w:rFonts w:ascii="宋体" w:hAnsi="宋体"/>
          <w:kern w:val="0"/>
          <w:szCs w:val="21"/>
        </w:rPr>
        <w:t>：权益资本在资本结构中的百分比</w:t>
      </w:r>
    </w:p>
    <w:p w14:paraId="6B587466">
      <w:pPr>
        <w:spacing w:line="400" w:lineRule="exact"/>
        <w:ind w:right="-17" w:firstLine="1050" w:firstLineChars="500"/>
        <w:rPr>
          <w:rFonts w:ascii="宋体" w:hAnsi="宋体"/>
          <w:kern w:val="0"/>
          <w:szCs w:val="21"/>
        </w:rPr>
      </w:pPr>
      <w:r>
        <w:rPr>
          <w:rFonts w:ascii="宋体" w:hAnsi="宋体"/>
          <w:kern w:val="0"/>
          <w:szCs w:val="21"/>
        </w:rPr>
        <w:t>W</w:t>
      </w:r>
      <w:r>
        <w:rPr>
          <w:rFonts w:ascii="宋体" w:hAnsi="宋体"/>
          <w:kern w:val="0"/>
          <w:szCs w:val="21"/>
          <w:vertAlign w:val="subscript"/>
        </w:rPr>
        <w:t>d</w:t>
      </w:r>
      <w:r>
        <w:rPr>
          <w:rFonts w:ascii="宋体" w:hAnsi="宋体"/>
          <w:kern w:val="0"/>
          <w:szCs w:val="21"/>
        </w:rPr>
        <w:t>：债务资本在资本结构中的百分比</w:t>
      </w:r>
    </w:p>
    <w:p w14:paraId="502692DD">
      <w:pPr>
        <w:pStyle w:val="11"/>
        <w:spacing w:line="400" w:lineRule="exact"/>
        <w:ind w:firstLine="0" w:firstLineChars="0"/>
        <w:rPr>
          <w:rFonts w:ascii="宋体" w:hAnsi="宋体" w:eastAsia="宋体"/>
          <w:kern w:val="0"/>
          <w:sz w:val="21"/>
          <w:szCs w:val="21"/>
        </w:rPr>
      </w:pPr>
      <w:r>
        <w:rPr>
          <w:rFonts w:hint="eastAsia" w:ascii="宋体" w:hAnsi="宋体" w:eastAsia="宋体"/>
          <w:kern w:val="0"/>
          <w:sz w:val="21"/>
          <w:szCs w:val="21"/>
        </w:rPr>
        <w:t xml:space="preserve">          </w:t>
      </w:r>
      <w:r>
        <w:rPr>
          <w:rFonts w:ascii="宋体" w:hAnsi="宋体" w:eastAsia="宋体"/>
          <w:kern w:val="0"/>
          <w:sz w:val="21"/>
          <w:szCs w:val="21"/>
        </w:rPr>
        <w:t>t：公司所得税税率</w:t>
      </w:r>
    </w:p>
    <w:p w14:paraId="063C3E88">
      <w:pPr>
        <w:spacing w:line="400" w:lineRule="exact"/>
        <w:ind w:left="900"/>
        <w:rPr>
          <w:rFonts w:ascii="宋体" w:hAnsi="宋体"/>
          <w:szCs w:val="21"/>
        </w:rPr>
      </w:pPr>
      <w:r>
        <w:rPr>
          <w:rFonts w:hint="eastAsia" w:ascii="宋体" w:hAnsi="宋体"/>
          <w:szCs w:val="21"/>
        </w:rPr>
        <w:t>股东</w:t>
      </w:r>
      <w:r>
        <w:rPr>
          <w:rFonts w:ascii="宋体" w:hAnsi="宋体"/>
          <w:szCs w:val="21"/>
        </w:rPr>
        <w:t>权益资本成本</w:t>
      </w:r>
      <w:r>
        <w:rPr>
          <w:rFonts w:ascii="宋体" w:hAnsi="宋体"/>
          <w:kern w:val="0"/>
          <w:szCs w:val="21"/>
        </w:rPr>
        <w:t>K</w:t>
      </w:r>
      <w:r>
        <w:rPr>
          <w:rFonts w:ascii="宋体" w:hAnsi="宋体"/>
          <w:kern w:val="0"/>
          <w:szCs w:val="21"/>
          <w:vertAlign w:val="subscript"/>
        </w:rPr>
        <w:t>e</w:t>
      </w:r>
      <w:r>
        <w:rPr>
          <w:rFonts w:ascii="宋体" w:hAnsi="宋体"/>
          <w:szCs w:val="21"/>
        </w:rPr>
        <w:t>的确定</w:t>
      </w:r>
      <w:r>
        <w:rPr>
          <w:rFonts w:hint="eastAsia" w:ascii="宋体" w:hAnsi="宋体"/>
          <w:szCs w:val="21"/>
        </w:rPr>
        <w:t>：</w:t>
      </w:r>
    </w:p>
    <w:p w14:paraId="08FBB607">
      <w:pPr>
        <w:spacing w:line="520" w:lineRule="exact"/>
        <w:ind w:firstLine="945" w:firstLineChars="450"/>
        <w:rPr>
          <w:rFonts w:ascii="宋体" w:hAnsi="宋体"/>
          <w:szCs w:val="21"/>
          <w:lang w:val="de-DE"/>
        </w:rPr>
      </w:pPr>
      <w:r>
        <w:rPr>
          <w:rFonts w:hint="eastAsia" w:ascii="宋体" w:hAnsi="宋体"/>
          <w:kern w:val="0"/>
          <w:szCs w:val="21"/>
        </w:rPr>
        <w:t xml:space="preserve"> </w:t>
      </w:r>
      <w:r>
        <w:rPr>
          <w:rFonts w:ascii="宋体" w:hAnsi="宋体"/>
          <w:kern w:val="0"/>
          <w:szCs w:val="21"/>
        </w:rPr>
        <w:t>K</w:t>
      </w:r>
      <w:r>
        <w:rPr>
          <w:rFonts w:ascii="宋体" w:hAnsi="宋体"/>
          <w:kern w:val="0"/>
          <w:szCs w:val="21"/>
          <w:vertAlign w:val="subscript"/>
        </w:rPr>
        <w:t>e</w:t>
      </w:r>
      <w:r>
        <w:rPr>
          <w:rFonts w:hint="eastAsia" w:ascii="宋体" w:hAnsi="宋体"/>
          <w:szCs w:val="21"/>
          <w:lang w:val="de-DE"/>
        </w:rPr>
        <w:t xml:space="preserve">= </w:t>
      </w:r>
      <w:r>
        <w:rPr>
          <w:rFonts w:ascii="宋体" w:hAnsi="宋体"/>
          <w:kern w:val="0"/>
          <w:szCs w:val="21"/>
        </w:rPr>
        <w:t>R</w:t>
      </w:r>
      <w:r>
        <w:rPr>
          <w:rFonts w:ascii="宋体" w:hAnsi="宋体"/>
          <w:kern w:val="0"/>
          <w:szCs w:val="21"/>
          <w:vertAlign w:val="subscript"/>
        </w:rPr>
        <w:t>f</w:t>
      </w:r>
      <w:r>
        <w:rPr>
          <w:rFonts w:hint="eastAsia" w:ascii="宋体" w:hAnsi="宋体"/>
          <w:szCs w:val="21"/>
          <w:lang w:val="de-DE"/>
        </w:rPr>
        <w:t xml:space="preserve"> +</w:t>
      </w:r>
      <w:r>
        <w:rPr>
          <w:rFonts w:ascii="宋体" w:hAnsi="宋体"/>
          <w:kern w:val="0"/>
          <w:szCs w:val="21"/>
        </w:rPr>
        <w:t xml:space="preserve"> ERP</w:t>
      </w:r>
      <w:r>
        <w:rPr>
          <w:rFonts w:hint="eastAsia" w:ascii="宋体" w:hAnsi="宋体"/>
          <w:szCs w:val="21"/>
          <w:lang w:val="de-DE"/>
        </w:rPr>
        <w:t>×</w:t>
      </w:r>
      <w:r>
        <w:rPr>
          <w:rFonts w:hint="eastAsia" w:ascii="宋体" w:hAnsi="宋体"/>
          <w:szCs w:val="21"/>
        </w:rPr>
        <w:t>β</w:t>
      </w:r>
      <w:r>
        <w:rPr>
          <w:rFonts w:hint="eastAsia" w:ascii="宋体" w:hAnsi="宋体"/>
          <w:szCs w:val="21"/>
          <w:lang w:val="de-DE"/>
        </w:rPr>
        <w:t>+</w:t>
      </w:r>
      <w:r>
        <w:rPr>
          <w:rFonts w:ascii="宋体" w:hAnsi="宋体"/>
          <w:szCs w:val="21"/>
        </w:rPr>
        <w:t xml:space="preserve"> R</w:t>
      </w:r>
      <w:r>
        <w:rPr>
          <w:rFonts w:ascii="宋体" w:hAnsi="宋体"/>
          <w:szCs w:val="21"/>
          <w:vertAlign w:val="subscript"/>
        </w:rPr>
        <w:t>c</w:t>
      </w:r>
    </w:p>
    <w:p w14:paraId="2531ED10">
      <w:pPr>
        <w:adjustRightInd w:val="0"/>
        <w:spacing w:line="400" w:lineRule="exact"/>
        <w:ind w:firstLine="480"/>
        <w:jc w:val="left"/>
        <w:textAlignment w:val="baseline"/>
        <w:rPr>
          <w:rFonts w:ascii="宋体" w:hAnsi="宋体"/>
          <w:kern w:val="0"/>
          <w:szCs w:val="21"/>
        </w:rPr>
      </w:pPr>
      <w:r>
        <w:rPr>
          <w:rFonts w:ascii="宋体" w:hAnsi="宋体"/>
          <w:kern w:val="0"/>
          <w:szCs w:val="21"/>
        </w:rPr>
        <w:t>其中，R</w:t>
      </w:r>
      <w:r>
        <w:rPr>
          <w:rFonts w:ascii="宋体" w:hAnsi="宋体"/>
          <w:kern w:val="0"/>
          <w:szCs w:val="21"/>
          <w:vertAlign w:val="subscript"/>
        </w:rPr>
        <w:t>f</w:t>
      </w:r>
      <w:r>
        <w:rPr>
          <w:rFonts w:ascii="宋体" w:hAnsi="宋体"/>
          <w:kern w:val="0"/>
          <w:szCs w:val="21"/>
        </w:rPr>
        <w:t>：无风险报酬率</w:t>
      </w:r>
    </w:p>
    <w:p w14:paraId="475F96DD">
      <w:pPr>
        <w:adjustRightInd w:val="0"/>
        <w:spacing w:line="400" w:lineRule="exact"/>
        <w:ind w:firstLine="1050" w:firstLineChars="500"/>
        <w:jc w:val="left"/>
        <w:textAlignment w:val="baseline"/>
        <w:rPr>
          <w:rFonts w:ascii="宋体" w:hAnsi="宋体"/>
          <w:kern w:val="0"/>
          <w:szCs w:val="21"/>
        </w:rPr>
      </w:pPr>
      <w:r>
        <w:rPr>
          <w:rFonts w:ascii="宋体" w:hAnsi="宋体"/>
          <w:kern w:val="0"/>
          <w:szCs w:val="21"/>
        </w:rPr>
        <w:t>ERP：市场风险溢价</w:t>
      </w:r>
    </w:p>
    <w:p w14:paraId="50C6749C">
      <w:pPr>
        <w:adjustRightInd w:val="0"/>
        <w:spacing w:line="400" w:lineRule="exact"/>
        <w:ind w:firstLine="1050" w:firstLineChars="500"/>
        <w:jc w:val="left"/>
        <w:textAlignment w:val="baseline"/>
        <w:rPr>
          <w:rFonts w:ascii="宋体" w:hAnsi="宋体"/>
          <w:kern w:val="0"/>
          <w:szCs w:val="21"/>
        </w:rPr>
      </w:pPr>
      <w:r>
        <w:rPr>
          <w:rFonts w:ascii="宋体" w:hAnsi="宋体"/>
          <w:kern w:val="0"/>
          <w:szCs w:val="21"/>
        </w:rPr>
        <w:t>β：权益预期市场风险系数</w:t>
      </w:r>
    </w:p>
    <w:p w14:paraId="27DA04F1">
      <w:pPr>
        <w:pStyle w:val="4"/>
        <w:spacing w:line="400" w:lineRule="exact"/>
        <w:ind w:firstLine="1050" w:firstLineChars="500"/>
        <w:rPr>
          <w:rFonts w:ascii="宋体" w:hAnsi="宋体" w:eastAsia="宋体"/>
          <w:sz w:val="21"/>
          <w:szCs w:val="21"/>
        </w:rPr>
      </w:pPr>
      <w:r>
        <w:rPr>
          <w:rFonts w:ascii="宋体" w:hAnsi="宋体" w:eastAsia="宋体"/>
          <w:sz w:val="21"/>
          <w:szCs w:val="21"/>
        </w:rPr>
        <w:t>R</w:t>
      </w:r>
      <w:r>
        <w:rPr>
          <w:rFonts w:ascii="宋体" w:hAnsi="宋体" w:eastAsia="宋体"/>
          <w:sz w:val="21"/>
          <w:szCs w:val="21"/>
          <w:vertAlign w:val="subscript"/>
        </w:rPr>
        <w:t>c</w:t>
      </w:r>
      <w:r>
        <w:rPr>
          <w:rFonts w:ascii="宋体" w:hAnsi="宋体" w:eastAsia="宋体"/>
          <w:sz w:val="21"/>
          <w:szCs w:val="21"/>
        </w:rPr>
        <w:t>：企业个别风险调整系数</w:t>
      </w:r>
    </w:p>
    <w:p w14:paraId="36A6D4CD">
      <w:pPr>
        <w:pStyle w:val="12"/>
        <w:numPr>
          <w:ilvl w:val="0"/>
          <w:numId w:val="1"/>
        </w:numPr>
        <w:adjustRightInd w:val="0"/>
        <w:spacing w:line="400" w:lineRule="exact"/>
        <w:ind w:firstLineChars="0"/>
        <w:jc w:val="left"/>
        <w:textAlignment w:val="baseline"/>
        <w:rPr>
          <w:rFonts w:ascii="宋体" w:hAnsi="宋体"/>
          <w:kern w:val="0"/>
          <w:szCs w:val="21"/>
        </w:rPr>
      </w:pPr>
      <w:r>
        <w:rPr>
          <w:rFonts w:ascii="宋体" w:hAnsi="宋体"/>
          <w:kern w:val="0"/>
          <w:szCs w:val="21"/>
        </w:rPr>
        <w:t>无风险报酬率R</w:t>
      </w:r>
      <w:r>
        <w:rPr>
          <w:rFonts w:ascii="宋体" w:hAnsi="宋体"/>
          <w:kern w:val="0"/>
          <w:szCs w:val="21"/>
          <w:vertAlign w:val="subscript"/>
        </w:rPr>
        <w:t>f</w:t>
      </w:r>
      <w:r>
        <w:rPr>
          <w:rFonts w:ascii="宋体" w:hAnsi="宋体"/>
          <w:szCs w:val="21"/>
        </w:rPr>
        <w:t xml:space="preserve"> </w:t>
      </w:r>
    </w:p>
    <w:p w14:paraId="607C6E3E">
      <w:pPr>
        <w:spacing w:line="400" w:lineRule="exact"/>
        <w:ind w:firstLine="420" w:firstLineChars="200"/>
        <w:rPr>
          <w:rFonts w:ascii="宋体" w:hAnsi="宋体"/>
          <w:szCs w:val="21"/>
        </w:rPr>
      </w:pPr>
      <w:r>
        <w:rPr>
          <w:rFonts w:ascii="宋体" w:hAnsi="宋体"/>
          <w:szCs w:val="21"/>
        </w:rPr>
        <w:t>R</w:t>
      </w:r>
      <w:r>
        <w:rPr>
          <w:rFonts w:ascii="宋体" w:hAnsi="宋体"/>
          <w:szCs w:val="21"/>
          <w:vertAlign w:val="subscript"/>
        </w:rPr>
        <w:t>f</w:t>
      </w:r>
      <w:r>
        <w:rPr>
          <w:rFonts w:ascii="宋体" w:hAnsi="宋体"/>
          <w:szCs w:val="21"/>
        </w:rPr>
        <w:t>为无风险报酬率，无风险报酬率是对资金时间价值的补偿，这种补偿</w:t>
      </w:r>
      <w:r>
        <w:rPr>
          <w:rFonts w:hint="eastAsia" w:ascii="宋体" w:hAnsi="宋体"/>
          <w:szCs w:val="21"/>
        </w:rPr>
        <w:t>可以分为两个方面考虑</w:t>
      </w:r>
      <w:r>
        <w:rPr>
          <w:rFonts w:ascii="宋体" w:hAnsi="宋体"/>
          <w:szCs w:val="21"/>
        </w:rPr>
        <w:t>，一方面是在无通货膨胀、无风险情况下的平均利润率，是转让资金使用权的报酬；另一方面是通货膨胀附加率，是对因通货膨胀造成购买力下降的补偿。由于现实中无法将这两种补偿分开，它们共同构成无风险利率。本次估值选取</w:t>
      </w:r>
      <w:r>
        <w:rPr>
          <w:rFonts w:hint="eastAsia" w:ascii="宋体" w:hAnsi="宋体"/>
          <w:szCs w:val="21"/>
        </w:rPr>
        <w:t>Wind</w:t>
      </w:r>
      <w:r>
        <w:rPr>
          <w:rFonts w:ascii="宋体" w:hAnsi="宋体"/>
          <w:szCs w:val="21"/>
        </w:rPr>
        <w:t>金融终端上市交易的长期国债到期收益率平均值4.37%作为无风险报酬率。</w:t>
      </w:r>
    </w:p>
    <w:p w14:paraId="11339A0D">
      <w:pPr>
        <w:spacing w:line="400" w:lineRule="exact"/>
        <w:ind w:firstLine="420" w:firstLineChars="200"/>
        <w:rPr>
          <w:rFonts w:ascii="宋体" w:hAnsi="宋体"/>
          <w:kern w:val="0"/>
          <w:szCs w:val="21"/>
        </w:rPr>
      </w:pPr>
      <w:r>
        <w:rPr>
          <w:rFonts w:hint="eastAsia" w:ascii="宋体" w:hAnsi="宋体" w:cs="宋体"/>
          <w:kern w:val="0"/>
          <w:szCs w:val="21"/>
        </w:rPr>
        <w:t>②</w:t>
      </w:r>
      <w:r>
        <w:rPr>
          <w:rFonts w:ascii="宋体" w:hAnsi="宋体"/>
          <w:kern w:val="0"/>
          <w:szCs w:val="21"/>
        </w:rPr>
        <w:t>市场风险溢价</w:t>
      </w:r>
      <w:r>
        <w:rPr>
          <w:rFonts w:ascii="宋体" w:hAnsi="宋体"/>
          <w:bCs/>
          <w:szCs w:val="21"/>
        </w:rPr>
        <w:t>ERP</w:t>
      </w:r>
      <w:r>
        <w:rPr>
          <w:rFonts w:ascii="宋体" w:hAnsi="宋体"/>
          <w:kern w:val="0"/>
          <w:szCs w:val="21"/>
        </w:rPr>
        <w:t>的确定</w:t>
      </w:r>
    </w:p>
    <w:p w14:paraId="7F8079CD">
      <w:pPr>
        <w:pStyle w:val="4"/>
        <w:spacing w:line="400" w:lineRule="exact"/>
        <w:ind w:firstLine="482"/>
        <w:rPr>
          <w:rFonts w:ascii="宋体" w:hAnsi="宋体" w:eastAsia="宋体"/>
          <w:sz w:val="21"/>
          <w:szCs w:val="21"/>
          <w:lang w:val="zh-CN"/>
        </w:rPr>
      </w:pPr>
      <w:r>
        <w:rPr>
          <w:rFonts w:ascii="宋体" w:hAnsi="宋体" w:eastAsia="宋体"/>
          <w:sz w:val="21"/>
          <w:szCs w:val="21"/>
        </w:rPr>
        <w:t>市场风险溢价ERP是</w:t>
      </w:r>
      <w:r>
        <w:rPr>
          <w:rFonts w:hint="eastAsia" w:ascii="宋体" w:hAnsi="宋体" w:eastAsia="宋体"/>
          <w:sz w:val="21"/>
          <w:szCs w:val="21"/>
        </w:rPr>
        <w:t>指</w:t>
      </w:r>
      <w:r>
        <w:rPr>
          <w:rFonts w:ascii="宋体" w:hAnsi="宋体" w:eastAsia="宋体"/>
          <w:sz w:val="21"/>
          <w:szCs w:val="21"/>
        </w:rPr>
        <w:t>投资者对于一个充分风险分散的市场投资组合所要求的高于无风险利率的回报率，市场风险溢价是利用CAPM</w:t>
      </w:r>
      <w:r>
        <w:rPr>
          <w:rFonts w:hint="eastAsia" w:ascii="宋体" w:hAnsi="宋体" w:eastAsia="宋体"/>
          <w:sz w:val="21"/>
          <w:szCs w:val="21"/>
        </w:rPr>
        <w:t>模型</w:t>
      </w:r>
      <w:r>
        <w:rPr>
          <w:rFonts w:ascii="宋体" w:hAnsi="宋体" w:eastAsia="宋体"/>
          <w:sz w:val="21"/>
          <w:szCs w:val="21"/>
        </w:rPr>
        <w:t>估计权益成本时</w:t>
      </w:r>
      <w:r>
        <w:rPr>
          <w:rFonts w:hint="eastAsia" w:ascii="宋体" w:hAnsi="宋体" w:eastAsia="宋体"/>
          <w:sz w:val="21"/>
          <w:szCs w:val="21"/>
        </w:rPr>
        <w:t>需要</w:t>
      </w:r>
      <w:r>
        <w:rPr>
          <w:rFonts w:ascii="宋体" w:hAnsi="宋体" w:eastAsia="宋体"/>
          <w:sz w:val="21"/>
          <w:szCs w:val="21"/>
        </w:rPr>
        <w:t>的一个重要参数，在估值项目中起着重要的作用。</w:t>
      </w:r>
    </w:p>
    <w:p w14:paraId="43CAF169">
      <w:pPr>
        <w:tabs>
          <w:tab w:val="left" w:pos="1176"/>
          <w:tab w:val="left" w:pos="1843"/>
        </w:tabs>
        <w:spacing w:line="400" w:lineRule="exact"/>
        <w:ind w:firstLine="420" w:firstLineChars="200"/>
        <w:rPr>
          <w:rFonts w:ascii="宋体" w:hAnsi="宋体"/>
          <w:kern w:val="0"/>
          <w:szCs w:val="21"/>
          <w:lang w:val="zh-CN"/>
        </w:rPr>
      </w:pPr>
      <w:r>
        <w:rPr>
          <w:rFonts w:ascii="宋体" w:hAnsi="宋体"/>
          <w:kern w:val="0"/>
          <w:szCs w:val="21"/>
          <w:lang w:val="zh-CN"/>
        </w:rPr>
        <w:t>结合中国股票市场相关数据进行研究，我们按如下方式计算中国的市场风险溢价</w:t>
      </w:r>
      <w:r>
        <w:rPr>
          <w:rFonts w:hint="eastAsia" w:ascii="宋体" w:hAnsi="宋体"/>
          <w:kern w:val="0"/>
          <w:szCs w:val="21"/>
          <w:lang w:val="zh-CN"/>
        </w:rPr>
        <w:t>。</w:t>
      </w:r>
    </w:p>
    <w:p w14:paraId="02FBCD6E">
      <w:pPr>
        <w:tabs>
          <w:tab w:val="left" w:pos="1176"/>
          <w:tab w:val="left" w:pos="1843"/>
        </w:tabs>
        <w:spacing w:line="400" w:lineRule="exact"/>
        <w:ind w:firstLine="420" w:firstLineChars="200"/>
        <w:rPr>
          <w:rFonts w:ascii="宋体" w:hAnsi="宋体"/>
          <w:kern w:val="0"/>
          <w:szCs w:val="21"/>
          <w:lang w:val="zh-CN"/>
        </w:rPr>
      </w:pPr>
      <w:r>
        <w:rPr>
          <w:rFonts w:hint="eastAsia" w:ascii="宋体" w:hAnsi="宋体"/>
          <w:kern w:val="0"/>
          <w:szCs w:val="21"/>
        </w:rPr>
        <w:t>第一步</w:t>
      </w:r>
      <w:r>
        <w:rPr>
          <w:rFonts w:ascii="宋体" w:hAnsi="宋体"/>
          <w:kern w:val="0"/>
          <w:szCs w:val="21"/>
          <w:lang w:val="zh-CN"/>
        </w:rPr>
        <w:t>确定衡量股市整体变化的指数</w:t>
      </w:r>
      <w:r>
        <w:rPr>
          <w:rFonts w:hint="eastAsia" w:ascii="宋体" w:hAnsi="宋体"/>
          <w:kern w:val="0"/>
          <w:szCs w:val="21"/>
          <w:lang w:val="zh-CN"/>
        </w:rPr>
        <w:t>。</w:t>
      </w:r>
      <w:r>
        <w:rPr>
          <w:rFonts w:ascii="宋体" w:hAnsi="宋体"/>
          <w:kern w:val="0"/>
          <w:szCs w:val="21"/>
          <w:lang w:val="zh-CN"/>
        </w:rPr>
        <w:t>目前国内沪、深两市有许多指数，选用的指数应该是能最好反映市场主流股票变化的指数，在估算中国ERP时选用了沪深300指数</w:t>
      </w:r>
      <w:r>
        <w:rPr>
          <w:rFonts w:hint="eastAsia" w:ascii="宋体" w:hAnsi="宋体"/>
          <w:kern w:val="0"/>
          <w:szCs w:val="21"/>
        </w:rPr>
        <w:t>作为测算指数</w:t>
      </w:r>
      <w:r>
        <w:rPr>
          <w:rFonts w:ascii="宋体" w:hAnsi="宋体"/>
          <w:kern w:val="0"/>
          <w:szCs w:val="21"/>
          <w:lang w:val="zh-CN"/>
        </w:rPr>
        <w:t>。该指数由沪深A股中规模大、流动性好、最具代表性的300只股票组成，以综合反映沪深A股市场整体表现。</w:t>
      </w:r>
    </w:p>
    <w:p w14:paraId="44B9447D">
      <w:pPr>
        <w:tabs>
          <w:tab w:val="left" w:pos="1176"/>
          <w:tab w:val="left" w:pos="1843"/>
        </w:tabs>
        <w:spacing w:line="400" w:lineRule="exact"/>
        <w:ind w:firstLine="420" w:firstLineChars="200"/>
        <w:rPr>
          <w:rFonts w:ascii="宋体" w:hAnsi="宋体"/>
          <w:kern w:val="0"/>
          <w:szCs w:val="21"/>
          <w:lang w:val="zh-CN"/>
        </w:rPr>
      </w:pPr>
      <w:r>
        <w:rPr>
          <w:rFonts w:hint="eastAsia" w:ascii="宋体" w:hAnsi="宋体"/>
          <w:kern w:val="0"/>
          <w:szCs w:val="21"/>
        </w:rPr>
        <w:t>第二步是</w:t>
      </w:r>
      <w:r>
        <w:rPr>
          <w:rFonts w:ascii="宋体" w:hAnsi="宋体"/>
          <w:kern w:val="0"/>
          <w:szCs w:val="21"/>
          <w:lang w:val="zh-CN"/>
        </w:rPr>
        <w:t>收益率计算年期的选择</w:t>
      </w:r>
      <w:r>
        <w:rPr>
          <w:rFonts w:hint="eastAsia" w:ascii="宋体" w:hAnsi="宋体"/>
          <w:kern w:val="0"/>
          <w:szCs w:val="21"/>
          <w:lang w:val="zh-CN"/>
        </w:rPr>
        <w:t>。</w:t>
      </w:r>
      <w:r>
        <w:rPr>
          <w:rFonts w:ascii="宋体" w:hAnsi="宋体"/>
          <w:kern w:val="0"/>
          <w:szCs w:val="21"/>
          <w:lang w:val="zh-CN"/>
        </w:rPr>
        <w:t>考虑到中国股市股票波动的特性，本次对具体指数的时间区间选择为2001年到2013年。</w:t>
      </w:r>
    </w:p>
    <w:p w14:paraId="32278194">
      <w:pPr>
        <w:tabs>
          <w:tab w:val="left" w:pos="1176"/>
          <w:tab w:val="left" w:pos="1843"/>
        </w:tabs>
        <w:spacing w:line="400" w:lineRule="exact"/>
        <w:ind w:firstLine="420" w:firstLineChars="200"/>
        <w:rPr>
          <w:rFonts w:ascii="宋体" w:hAnsi="宋体"/>
          <w:kern w:val="0"/>
          <w:szCs w:val="21"/>
          <w:lang w:val="zh-CN"/>
        </w:rPr>
      </w:pPr>
      <w:r>
        <w:rPr>
          <w:rFonts w:hint="eastAsia" w:ascii="宋体" w:hAnsi="宋体"/>
          <w:kern w:val="0"/>
          <w:szCs w:val="21"/>
        </w:rPr>
        <w:t>第三步是</w:t>
      </w:r>
      <w:r>
        <w:rPr>
          <w:rFonts w:ascii="宋体" w:hAnsi="宋体"/>
          <w:kern w:val="0"/>
          <w:szCs w:val="21"/>
          <w:lang w:val="zh-CN"/>
        </w:rPr>
        <w:t>指数成分股的确定</w:t>
      </w:r>
      <w:r>
        <w:rPr>
          <w:rFonts w:hint="eastAsia" w:ascii="宋体" w:hAnsi="宋体"/>
          <w:kern w:val="0"/>
          <w:szCs w:val="21"/>
          <w:lang w:val="zh-CN"/>
        </w:rPr>
        <w:t>。</w:t>
      </w:r>
      <w:r>
        <w:rPr>
          <w:rFonts w:ascii="宋体" w:hAnsi="宋体"/>
          <w:kern w:val="0"/>
          <w:szCs w:val="21"/>
          <w:lang w:val="zh-CN"/>
        </w:rPr>
        <w:t>沪深300指数的成分股每年是发生变化的，因此我们在估算时采用每年年底时沪深300指数的成分股。</w:t>
      </w:r>
    </w:p>
    <w:p w14:paraId="31C190DB">
      <w:pPr>
        <w:tabs>
          <w:tab w:val="left" w:pos="1176"/>
          <w:tab w:val="left" w:pos="1843"/>
        </w:tabs>
        <w:spacing w:line="400" w:lineRule="exact"/>
        <w:ind w:firstLine="420" w:firstLineChars="200"/>
        <w:rPr>
          <w:rFonts w:ascii="宋体" w:hAnsi="宋体"/>
          <w:kern w:val="0"/>
          <w:szCs w:val="21"/>
        </w:rPr>
      </w:pPr>
      <w:r>
        <w:rPr>
          <w:rFonts w:hint="eastAsia" w:ascii="宋体" w:hAnsi="宋体"/>
          <w:kern w:val="0"/>
          <w:szCs w:val="21"/>
        </w:rPr>
        <w:t>第四步是</w:t>
      </w:r>
      <w:r>
        <w:rPr>
          <w:rFonts w:ascii="宋体" w:hAnsi="宋体"/>
          <w:kern w:val="0"/>
          <w:szCs w:val="21"/>
          <w:lang w:val="zh-CN"/>
        </w:rPr>
        <w:t>数据的采集</w:t>
      </w:r>
      <w:r>
        <w:rPr>
          <w:rFonts w:hint="eastAsia" w:ascii="宋体" w:hAnsi="宋体"/>
          <w:kern w:val="0"/>
          <w:szCs w:val="21"/>
          <w:lang w:val="zh-CN"/>
        </w:rPr>
        <w:t>。</w:t>
      </w:r>
      <w:r>
        <w:rPr>
          <w:rFonts w:ascii="宋体" w:hAnsi="宋体"/>
          <w:kern w:val="0"/>
          <w:szCs w:val="21"/>
          <w:lang w:val="zh-CN"/>
        </w:rPr>
        <w:t>借助</w:t>
      </w:r>
      <w:r>
        <w:rPr>
          <w:rFonts w:hint="eastAsia" w:ascii="宋体" w:hAnsi="宋体"/>
          <w:kern w:val="0"/>
          <w:szCs w:val="21"/>
        </w:rPr>
        <w:t>Wind金融经济</w:t>
      </w:r>
      <w:r>
        <w:rPr>
          <w:rFonts w:ascii="宋体" w:hAnsi="宋体"/>
          <w:kern w:val="0"/>
          <w:szCs w:val="21"/>
          <w:lang w:val="zh-CN"/>
        </w:rPr>
        <w:t>的数据系统提供所选择的各成分股每年年末的交易收盘价。由于成分股收益中应该包括每年分红、派息等产生的收益，需要考虑所谓分红、派息等产生的收益，为此我们选用的年末收盘价是</w:t>
      </w:r>
      <w:r>
        <w:rPr>
          <w:rFonts w:hint="eastAsia" w:ascii="宋体" w:hAnsi="宋体"/>
          <w:kern w:val="0"/>
          <w:szCs w:val="21"/>
        </w:rPr>
        <w:t>Wind金融经济</w:t>
      </w:r>
      <w:r>
        <w:rPr>
          <w:rFonts w:ascii="宋体" w:hAnsi="宋体"/>
          <w:kern w:val="0"/>
          <w:szCs w:val="21"/>
          <w:lang w:val="zh-CN"/>
        </w:rPr>
        <w:t>数据中的年末“复权”价，已经有效的将每年由于分红、派息等产生的收益反映在价格中。</w:t>
      </w:r>
      <w:r>
        <w:rPr>
          <w:rFonts w:ascii="宋体" w:hAnsi="宋体"/>
          <w:kern w:val="0"/>
          <w:szCs w:val="21"/>
        </w:rPr>
        <w:t>对于沪深300指数没有推出之前的2001</w:t>
      </w:r>
      <w:r>
        <w:rPr>
          <w:rFonts w:ascii="Arial" w:hAnsi="Arial" w:cs="Arial"/>
          <w:color w:val="333333"/>
          <w:szCs w:val="21"/>
          <w:shd w:val="clear" w:color="auto" w:fill="FFFFFF"/>
        </w:rPr>
        <w:t>～</w:t>
      </w:r>
      <w:r>
        <w:rPr>
          <w:rFonts w:ascii="宋体" w:hAnsi="宋体"/>
          <w:kern w:val="0"/>
          <w:szCs w:val="21"/>
        </w:rPr>
        <w:t>2003年，评估人员采用外推的方式推算其相关数据，即采用 2004年年末沪深 300指数的成分股外推到上述年份，亦即假定2001</w:t>
      </w:r>
      <w:r>
        <w:rPr>
          <w:rFonts w:ascii="Arial" w:hAnsi="Arial" w:cs="Arial"/>
          <w:color w:val="333333"/>
          <w:szCs w:val="21"/>
          <w:shd w:val="clear" w:color="auto" w:fill="FFFFFF"/>
        </w:rPr>
        <w:t>～</w:t>
      </w:r>
      <w:r>
        <w:rPr>
          <w:rFonts w:ascii="宋体" w:hAnsi="宋体"/>
          <w:kern w:val="0"/>
          <w:szCs w:val="21"/>
        </w:rPr>
        <w:t>2003年的成分股与 2004年年末</w:t>
      </w:r>
      <w:r>
        <w:rPr>
          <w:rFonts w:hint="eastAsia" w:ascii="宋体" w:hAnsi="宋体"/>
          <w:kern w:val="0"/>
          <w:szCs w:val="21"/>
        </w:rPr>
        <w:t>相同</w:t>
      </w:r>
      <w:r>
        <w:rPr>
          <w:rFonts w:ascii="宋体" w:hAnsi="宋体"/>
          <w:kern w:val="0"/>
          <w:szCs w:val="21"/>
        </w:rPr>
        <w:t>。</w:t>
      </w:r>
    </w:p>
    <w:p w14:paraId="53C91495">
      <w:pPr>
        <w:tabs>
          <w:tab w:val="left" w:pos="1176"/>
          <w:tab w:val="left" w:pos="1843"/>
        </w:tabs>
        <w:spacing w:line="400" w:lineRule="exact"/>
        <w:ind w:firstLine="420" w:firstLineChars="200"/>
        <w:rPr>
          <w:rFonts w:ascii="宋体" w:hAnsi="宋体"/>
          <w:kern w:val="0"/>
          <w:szCs w:val="21"/>
        </w:rPr>
      </w:pPr>
      <w:r>
        <w:rPr>
          <w:rFonts w:ascii="宋体" w:hAnsi="宋体"/>
          <w:kern w:val="0"/>
          <w:szCs w:val="21"/>
        </w:rPr>
        <w:t>为简化本次测算过程，评估人员选择</w:t>
      </w:r>
      <w:r>
        <w:rPr>
          <w:rFonts w:hint="eastAsia" w:ascii="宋体" w:hAnsi="宋体"/>
          <w:kern w:val="0"/>
          <w:szCs w:val="21"/>
        </w:rPr>
        <w:t>将各</w:t>
      </w:r>
      <w:r>
        <w:rPr>
          <w:rFonts w:ascii="宋体" w:hAnsi="宋体"/>
          <w:kern w:val="0"/>
          <w:szCs w:val="21"/>
        </w:rPr>
        <w:t>年</w:t>
      </w:r>
      <w:r>
        <w:rPr>
          <w:rFonts w:hint="eastAsia" w:ascii="宋体" w:hAnsi="宋体"/>
          <w:kern w:val="0"/>
          <w:szCs w:val="21"/>
        </w:rPr>
        <w:t>年</w:t>
      </w:r>
      <w:r>
        <w:rPr>
          <w:rFonts w:ascii="宋体" w:hAnsi="宋体"/>
          <w:kern w:val="0"/>
          <w:szCs w:val="21"/>
        </w:rPr>
        <w:t>末成分股的交易收盘价作为基础数据进行测算。由于成分股收益中应该包括每年分红、派息和送股等产生的收益，因此评估人员选用的成分股年末收盘价是包含了每年分红、派息和送股等产生的收益的复权年末收盘价格，以全面反映各成分股各年的收益状况。</w:t>
      </w:r>
    </w:p>
    <w:p w14:paraId="3DFC70CB">
      <w:pPr>
        <w:tabs>
          <w:tab w:val="left" w:pos="1176"/>
          <w:tab w:val="left" w:pos="1843"/>
        </w:tabs>
        <w:spacing w:line="400" w:lineRule="exact"/>
        <w:ind w:firstLine="420" w:firstLineChars="200"/>
        <w:rPr>
          <w:rFonts w:ascii="宋体" w:hAnsi="宋体"/>
          <w:kern w:val="0"/>
          <w:szCs w:val="21"/>
          <w:lang w:val="zh-CN"/>
        </w:rPr>
      </w:pPr>
      <w:r>
        <w:rPr>
          <w:rFonts w:hint="eastAsia" w:ascii="宋体" w:hAnsi="宋体"/>
          <w:kern w:val="0"/>
          <w:szCs w:val="21"/>
        </w:rPr>
        <w:t>第五步是</w:t>
      </w:r>
      <w:r>
        <w:rPr>
          <w:rFonts w:ascii="宋体" w:hAnsi="宋体"/>
          <w:kern w:val="0"/>
          <w:szCs w:val="21"/>
          <w:lang w:val="zh-CN"/>
        </w:rPr>
        <w:t>无风险收益率的估算</w:t>
      </w:r>
      <w:r>
        <w:rPr>
          <w:rFonts w:hint="eastAsia" w:ascii="宋体" w:hAnsi="宋体"/>
          <w:kern w:val="0"/>
          <w:szCs w:val="21"/>
          <w:lang w:val="zh-CN"/>
        </w:rPr>
        <w:t>。</w:t>
      </w:r>
      <w:r>
        <w:rPr>
          <w:rFonts w:ascii="宋体" w:hAnsi="宋体"/>
          <w:kern w:val="0"/>
          <w:szCs w:val="21"/>
          <w:lang w:val="zh-CN"/>
        </w:rPr>
        <w:t>选择每年年末距到期日剩余年限超过10年的国债收益率。</w:t>
      </w:r>
    </w:p>
    <w:p w14:paraId="1281C9AF">
      <w:pPr>
        <w:spacing w:line="400" w:lineRule="exact"/>
        <w:ind w:firstLine="420" w:firstLineChars="200"/>
        <w:rPr>
          <w:rFonts w:ascii="宋体" w:hAnsi="宋体"/>
          <w:kern w:val="0"/>
          <w:szCs w:val="21"/>
        </w:rPr>
      </w:pPr>
      <w:r>
        <w:rPr>
          <w:rFonts w:ascii="宋体" w:hAnsi="宋体"/>
          <w:kern w:val="0"/>
          <w:szCs w:val="21"/>
          <w:lang w:val="zh-CN"/>
        </w:rPr>
        <w:t>经过计算，当前我国的市场风险溢价约为7.6%。</w:t>
      </w:r>
    </w:p>
    <w:p w14:paraId="638F7686">
      <w:pPr>
        <w:pStyle w:val="12"/>
        <w:numPr>
          <w:ilvl w:val="0"/>
          <w:numId w:val="1"/>
        </w:numPr>
        <w:spacing w:line="400" w:lineRule="exact"/>
        <w:ind w:firstLineChars="0"/>
        <w:rPr>
          <w:rFonts w:ascii="宋体" w:hAnsi="宋体"/>
          <w:kern w:val="0"/>
          <w:szCs w:val="21"/>
        </w:rPr>
      </w:pPr>
      <w:r>
        <w:object>
          <v:shape id="_x0000_i1027" o:spt="75" type="#_x0000_t75" style="height:16.3pt;width:14.2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9" r:id="rId13">
            <o:LockedField>false</o:LockedField>
          </o:OLEObject>
        </w:object>
      </w:r>
      <w:r>
        <w:rPr>
          <w:rFonts w:hint="eastAsia" w:ascii="宋体" w:hAnsi="宋体"/>
          <w:kern w:val="0"/>
          <w:szCs w:val="21"/>
        </w:rPr>
        <w:t>系数的确定</w:t>
      </w:r>
    </w:p>
    <w:p w14:paraId="62472A96">
      <w:pPr>
        <w:spacing w:line="400" w:lineRule="exact"/>
        <w:ind w:firstLine="420" w:firstLineChars="200"/>
        <w:rPr>
          <w:rFonts w:ascii="宋体" w:hAnsi="宋体"/>
          <w:kern w:val="0"/>
          <w:szCs w:val="21"/>
        </w:rPr>
      </w:pPr>
      <w:r>
        <w:rPr>
          <w:rFonts w:ascii="宋体" w:hAnsi="宋体"/>
          <w:position w:val="-10"/>
          <w:szCs w:val="21"/>
        </w:rPr>
        <w:object>
          <v:shape id="_x0000_i1028" o:spt="75" type="#_x0000_t75" style="height:16.3pt;width:14.25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30" r:id="rId15">
            <o:LockedField>false</o:LockedField>
          </o:OLEObject>
        </w:object>
      </w:r>
      <w:r>
        <w:rPr>
          <w:rFonts w:ascii="宋体" w:hAnsi="宋体"/>
          <w:kern w:val="0"/>
          <w:szCs w:val="21"/>
        </w:rPr>
        <w:t>系数是衡量委估企业相对于资本市场整体回报的风险溢价程度，也用来衡量个别股票受包括股市价格变动在内的整个经济环境影响程度的指标。</w:t>
      </w:r>
      <w:r>
        <w:rPr>
          <w:rFonts w:hint="eastAsia" w:ascii="宋体" w:hAnsi="宋体"/>
          <w:kern w:val="0"/>
          <w:szCs w:val="21"/>
        </w:rPr>
        <w:t>对比</w:t>
      </w:r>
      <w:r>
        <w:rPr>
          <w:rFonts w:ascii="宋体" w:hAnsi="宋体"/>
          <w:kern w:val="0"/>
          <w:szCs w:val="21"/>
        </w:rPr>
        <w:t>公司的选择，通常来说选择与被评估公司</w:t>
      </w:r>
      <w:r>
        <w:rPr>
          <w:rFonts w:hint="eastAsia" w:ascii="宋体" w:hAnsi="宋体"/>
          <w:kern w:val="0"/>
          <w:szCs w:val="21"/>
        </w:rPr>
        <w:t>所</w:t>
      </w:r>
      <w:r>
        <w:rPr>
          <w:rFonts w:ascii="宋体" w:hAnsi="宋体"/>
          <w:kern w:val="0"/>
          <w:szCs w:val="21"/>
        </w:rPr>
        <w:t>在同一行业或受同一经济因素影响的上市公司作为参考公司，且尽量选择与被评估公司</w:t>
      </w:r>
      <w:r>
        <w:rPr>
          <w:rFonts w:hint="eastAsia" w:ascii="宋体" w:hAnsi="宋体"/>
          <w:kern w:val="0"/>
          <w:szCs w:val="21"/>
        </w:rPr>
        <w:t>所</w:t>
      </w:r>
      <w:r>
        <w:rPr>
          <w:rFonts w:ascii="宋体" w:hAnsi="宋体"/>
          <w:kern w:val="0"/>
          <w:szCs w:val="21"/>
        </w:rPr>
        <w:t>在同一国家或地区的企业作为参考公司。</w:t>
      </w:r>
      <w:r>
        <w:rPr>
          <w:rFonts w:hint="eastAsia" w:ascii="宋体" w:hAnsi="宋体"/>
          <w:kern w:val="0"/>
          <w:szCs w:val="21"/>
        </w:rPr>
        <w:t>G公司</w:t>
      </w:r>
      <w:r>
        <w:rPr>
          <w:rFonts w:ascii="宋体" w:hAnsi="宋体"/>
          <w:kern w:val="0"/>
          <w:szCs w:val="21"/>
        </w:rPr>
        <w:t>属于医药制造行业，我们选取了该行业的3家上市公司，通过</w:t>
      </w:r>
      <w:r>
        <w:rPr>
          <w:rFonts w:hint="eastAsia" w:ascii="宋体" w:hAnsi="宋体"/>
          <w:kern w:val="0"/>
          <w:szCs w:val="21"/>
        </w:rPr>
        <w:t>Wind</w:t>
      </w:r>
      <w:r>
        <w:rPr>
          <w:rFonts w:ascii="宋体" w:hAnsi="宋体"/>
          <w:kern w:val="0"/>
          <w:szCs w:val="21"/>
        </w:rPr>
        <w:t>金融终端查询了其调整后</w:t>
      </w:r>
      <w:r>
        <w:rPr>
          <w:rFonts w:ascii="宋体" w:hAnsi="宋体"/>
          <w:position w:val="-10"/>
          <w:szCs w:val="21"/>
        </w:rPr>
        <w:object>
          <v:shape id="_x0000_i1029" o:spt="75" type="#_x0000_t75" style="height:16.3pt;width:14.25pt;" o:ole="t" filled="f" o:preferrelative="t" stroked="f" coordsize="21600,21600">
            <v:path/>
            <v:fill on="f" focussize="0,0"/>
            <v:stroke on="f" joinstyle="miter"/>
            <v:imagedata r:id="rId14" o:title=""/>
            <o:lock v:ext="edit" aspectratio="t"/>
            <w10:wrap type="none"/>
            <w10:anchorlock/>
          </v:shape>
          <o:OLEObject Type="Embed" ProgID="Equation.3" ShapeID="_x0000_i1029" DrawAspect="Content" ObjectID="_1468075731" r:id="rId16">
            <o:LockedField>false</o:LockedField>
          </o:OLEObject>
        </w:object>
      </w:r>
      <w:r>
        <w:rPr>
          <w:rFonts w:ascii="宋体" w:hAnsi="宋体"/>
          <w:kern w:val="0"/>
          <w:szCs w:val="21"/>
        </w:rPr>
        <w:t>值，将参考公司有财务杠杆</w:t>
      </w:r>
      <w:r>
        <w:rPr>
          <w:rFonts w:hint="eastAsia" w:asciiTheme="minorEastAsia" w:hAnsiTheme="minorEastAsia" w:eastAsiaTheme="minorEastAsia" w:cstheme="minorEastAsia"/>
          <w:szCs w:val="21"/>
        </w:rPr>
        <w:t>β</w:t>
      </w:r>
      <w:r>
        <w:rPr>
          <w:rFonts w:ascii="宋体" w:hAnsi="宋体"/>
          <w:kern w:val="0"/>
          <w:szCs w:val="21"/>
        </w:rPr>
        <w:t>系数换算为无财务杠杆</w:t>
      </w:r>
      <w:r>
        <w:rPr>
          <w:rFonts w:hint="eastAsia" w:asciiTheme="minorEastAsia" w:hAnsiTheme="minorEastAsia" w:eastAsiaTheme="minorEastAsia" w:cstheme="minorEastAsia"/>
          <w:szCs w:val="21"/>
        </w:rPr>
        <w:t>β</w:t>
      </w:r>
      <w:r>
        <w:rPr>
          <w:rFonts w:ascii="宋体" w:hAnsi="宋体"/>
          <w:kern w:val="0"/>
          <w:szCs w:val="21"/>
        </w:rPr>
        <w:t>系数</w:t>
      </w:r>
      <w:r>
        <w:rPr>
          <w:rFonts w:hint="eastAsia" w:ascii="宋体" w:hAnsi="宋体"/>
          <w:kern w:val="0"/>
          <w:szCs w:val="21"/>
        </w:rPr>
        <w:t>，</w:t>
      </w:r>
      <w:r>
        <w:rPr>
          <w:rFonts w:ascii="宋体" w:hAnsi="宋体"/>
          <w:kern w:val="0"/>
          <w:szCs w:val="21"/>
        </w:rPr>
        <w:t>其计算公式</w:t>
      </w:r>
      <w:r>
        <w:rPr>
          <w:rFonts w:hint="eastAsia" w:ascii="宋体" w:hAnsi="宋体"/>
          <w:kern w:val="0"/>
          <w:szCs w:val="21"/>
        </w:rPr>
        <w:t>为</w:t>
      </w:r>
    </w:p>
    <w:p w14:paraId="24A8B68D">
      <w:pPr>
        <w:spacing w:line="400" w:lineRule="exact"/>
        <w:ind w:firstLine="420" w:firstLineChars="200"/>
        <w:jc w:val="center"/>
        <w:rPr>
          <w:rFonts w:ascii="宋体" w:hAnsi="宋体"/>
          <w:bCs/>
          <w:kern w:val="0"/>
          <w:szCs w:val="21"/>
        </w:rPr>
      </w:pPr>
      <w:r>
        <w:rPr>
          <w:rFonts w:ascii="宋体" w:hAnsi="宋体"/>
          <w:bCs/>
          <w:kern w:val="0"/>
          <w:szCs w:val="21"/>
        </w:rPr>
        <w:t>剔除</w:t>
      </w:r>
      <w:r>
        <w:rPr>
          <w:rFonts w:hint="eastAsia" w:ascii="宋体" w:hAnsi="宋体"/>
          <w:bCs/>
          <w:kern w:val="0"/>
          <w:szCs w:val="21"/>
        </w:rPr>
        <w:t>财务</w:t>
      </w:r>
      <w:r>
        <w:rPr>
          <w:rFonts w:ascii="宋体" w:hAnsi="宋体"/>
          <w:bCs/>
          <w:kern w:val="0"/>
          <w:szCs w:val="21"/>
        </w:rPr>
        <w:t>杠杆调整</w:t>
      </w:r>
      <w:r>
        <w:rPr>
          <w:bCs/>
          <w:kern w:val="0"/>
          <w:szCs w:val="21"/>
        </w:rPr>
        <w:t>β</w:t>
      </w:r>
      <w:r>
        <w:rPr>
          <w:rFonts w:ascii="宋体" w:hAnsi="宋体"/>
          <w:bCs/>
          <w:kern w:val="0"/>
          <w:szCs w:val="21"/>
        </w:rPr>
        <w:t>=调整后</w:t>
      </w:r>
      <w:r>
        <w:rPr>
          <w:bCs/>
          <w:kern w:val="0"/>
          <w:szCs w:val="21"/>
        </w:rPr>
        <w:t>β/[1+(1-t)×d/e]</w:t>
      </w:r>
    </w:p>
    <w:p w14:paraId="2339989E">
      <w:pPr>
        <w:spacing w:line="400" w:lineRule="exact"/>
        <w:ind w:firstLine="420" w:firstLineChars="200"/>
        <w:rPr>
          <w:rFonts w:ascii="宋体" w:hAnsi="宋体"/>
          <w:kern w:val="0"/>
          <w:sz w:val="24"/>
        </w:rPr>
      </w:pPr>
      <w:r>
        <w:rPr>
          <w:rFonts w:ascii="宋体" w:hAnsi="宋体"/>
          <w:kern w:val="0"/>
          <w:szCs w:val="21"/>
        </w:rPr>
        <w:t>具体计算如</w:t>
      </w:r>
      <w:r>
        <w:rPr>
          <w:rFonts w:hint="eastAsia" w:ascii="宋体" w:hAnsi="宋体"/>
          <w:kern w:val="0"/>
          <w:szCs w:val="21"/>
        </w:rPr>
        <w:t>表1-9所示。</w:t>
      </w:r>
    </w:p>
    <w:p w14:paraId="4A9A6602">
      <w:pPr>
        <w:tabs>
          <w:tab w:val="left" w:pos="420"/>
          <w:tab w:val="left" w:pos="540"/>
        </w:tabs>
        <w:spacing w:line="440" w:lineRule="exact"/>
        <w:ind w:firstLine="361" w:firstLineChars="200"/>
        <w:jc w:val="center"/>
        <w:rPr>
          <w:rFonts w:ascii="黑体" w:hAnsi="黑体" w:eastAsia="黑体" w:cs="黑体"/>
          <w:b/>
          <w:bCs/>
          <w:sz w:val="18"/>
          <w:szCs w:val="18"/>
        </w:rPr>
      </w:pPr>
    </w:p>
    <w:p w14:paraId="2C77C0CF">
      <w:pPr>
        <w:tabs>
          <w:tab w:val="left" w:pos="420"/>
          <w:tab w:val="left" w:pos="540"/>
        </w:tabs>
        <w:spacing w:line="440" w:lineRule="exact"/>
        <w:ind w:firstLine="361" w:firstLineChars="200"/>
        <w:jc w:val="center"/>
        <w:rPr>
          <w:rFonts w:ascii="黑体" w:hAnsi="黑体" w:eastAsia="黑体" w:cs="黑体"/>
          <w:b/>
          <w:bCs/>
          <w:sz w:val="18"/>
          <w:szCs w:val="18"/>
        </w:rPr>
      </w:pPr>
      <w:r>
        <w:rPr>
          <w:rFonts w:hint="eastAsia" w:ascii="黑体" w:hAnsi="黑体" w:eastAsia="黑体" w:cs="黑体"/>
          <w:b/>
          <w:bCs/>
          <w:sz w:val="18"/>
          <w:szCs w:val="18"/>
        </w:rPr>
        <w:t>表1-9    无财务杠杆</w:t>
      </w:r>
      <w:r>
        <w:rPr>
          <w:rFonts w:hint="eastAsia" w:asciiTheme="minorEastAsia" w:hAnsiTheme="minorEastAsia" w:eastAsiaTheme="minorEastAsia" w:cstheme="minorEastAsia"/>
          <w:szCs w:val="21"/>
        </w:rPr>
        <w:t>β</w:t>
      </w:r>
      <w:r>
        <w:rPr>
          <w:rFonts w:hint="eastAsia" w:ascii="黑体" w:hAnsi="黑体" w:eastAsia="黑体" w:cs="黑体"/>
          <w:b/>
          <w:bCs/>
          <w:sz w:val="18"/>
          <w:szCs w:val="18"/>
        </w:rPr>
        <w:t>系数</w:t>
      </w:r>
    </w:p>
    <w:tbl>
      <w:tblPr>
        <w:tblStyle w:val="8"/>
        <w:tblW w:w="74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1"/>
        <w:gridCol w:w="1289"/>
        <w:gridCol w:w="992"/>
        <w:gridCol w:w="992"/>
        <w:gridCol w:w="1730"/>
        <w:gridCol w:w="1276"/>
      </w:tblGrid>
      <w:tr w14:paraId="10893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1" w:type="dxa"/>
            <w:vAlign w:val="center"/>
          </w:tcPr>
          <w:p w14:paraId="752C08BD">
            <w:pPr>
              <w:widowControl/>
              <w:spacing w:line="240" w:lineRule="exact"/>
              <w:jc w:val="center"/>
              <w:rPr>
                <w:rFonts w:ascii="宋体" w:hAnsi="宋体"/>
                <w:sz w:val="18"/>
                <w:szCs w:val="18"/>
              </w:rPr>
            </w:pPr>
            <w:r>
              <w:rPr>
                <w:rFonts w:ascii="宋体" w:hAnsi="宋体"/>
                <w:sz w:val="18"/>
                <w:szCs w:val="18"/>
              </w:rPr>
              <w:t>企业</w:t>
            </w:r>
          </w:p>
        </w:tc>
        <w:tc>
          <w:tcPr>
            <w:tcW w:w="1289" w:type="dxa"/>
            <w:vAlign w:val="center"/>
          </w:tcPr>
          <w:p w14:paraId="0A742A84">
            <w:pPr>
              <w:widowControl/>
              <w:spacing w:line="240" w:lineRule="exact"/>
              <w:jc w:val="center"/>
              <w:rPr>
                <w:rFonts w:ascii="宋体" w:hAnsi="宋体"/>
                <w:sz w:val="18"/>
                <w:szCs w:val="18"/>
              </w:rPr>
            </w:pPr>
            <w:r>
              <w:rPr>
                <w:rFonts w:ascii="宋体" w:hAnsi="宋体"/>
                <w:sz w:val="18"/>
                <w:szCs w:val="18"/>
              </w:rPr>
              <w:t>有息负债</w:t>
            </w:r>
            <w:r>
              <w:rPr>
                <w:rFonts w:hint="eastAsia" w:ascii="宋体" w:hAnsi="宋体"/>
                <w:sz w:val="18"/>
                <w:szCs w:val="18"/>
              </w:rPr>
              <w:t>d</w:t>
            </w:r>
            <w:r>
              <w:rPr>
                <w:rFonts w:ascii="宋体" w:hAnsi="宋体"/>
                <w:sz w:val="18"/>
                <w:szCs w:val="18"/>
              </w:rPr>
              <w:t>/所有者权益</w:t>
            </w:r>
            <w:r>
              <w:rPr>
                <w:rFonts w:hint="eastAsia" w:ascii="宋体" w:hAnsi="宋体"/>
                <w:sz w:val="18"/>
                <w:szCs w:val="18"/>
              </w:rPr>
              <w:t>e</w:t>
            </w:r>
          </w:p>
        </w:tc>
        <w:tc>
          <w:tcPr>
            <w:tcW w:w="992" w:type="dxa"/>
            <w:vAlign w:val="center"/>
          </w:tcPr>
          <w:p w14:paraId="64732918">
            <w:pPr>
              <w:widowControl/>
              <w:spacing w:line="240" w:lineRule="exact"/>
              <w:jc w:val="center"/>
              <w:rPr>
                <w:rFonts w:ascii="宋体" w:hAnsi="宋体"/>
                <w:sz w:val="18"/>
                <w:szCs w:val="18"/>
              </w:rPr>
            </w:pPr>
            <w:r>
              <w:rPr>
                <w:rFonts w:ascii="宋体" w:hAnsi="宋体"/>
                <w:sz w:val="18"/>
                <w:szCs w:val="18"/>
              </w:rPr>
              <w:t>所得税率t</w:t>
            </w:r>
            <w:r>
              <w:rPr>
                <w:rFonts w:hint="eastAsia" w:ascii="宋体" w:hAnsi="宋体"/>
                <w:sz w:val="18"/>
                <w:szCs w:val="18"/>
              </w:rPr>
              <w:t>（%）</w:t>
            </w:r>
          </w:p>
        </w:tc>
        <w:tc>
          <w:tcPr>
            <w:tcW w:w="992" w:type="dxa"/>
            <w:vAlign w:val="center"/>
          </w:tcPr>
          <w:p w14:paraId="4FF81ECE">
            <w:pPr>
              <w:widowControl/>
              <w:spacing w:line="240" w:lineRule="exact"/>
              <w:jc w:val="center"/>
              <w:rPr>
                <w:rFonts w:ascii="宋体" w:hAnsi="宋体"/>
                <w:sz w:val="18"/>
                <w:szCs w:val="18"/>
              </w:rPr>
            </w:pPr>
            <w:r>
              <w:rPr>
                <w:rFonts w:ascii="宋体" w:hAnsi="宋体"/>
                <w:sz w:val="18"/>
                <w:szCs w:val="18"/>
              </w:rPr>
              <w:t>调整后β</w:t>
            </w:r>
          </w:p>
        </w:tc>
        <w:tc>
          <w:tcPr>
            <w:tcW w:w="1730" w:type="dxa"/>
            <w:vAlign w:val="center"/>
          </w:tcPr>
          <w:p w14:paraId="1C4EFDAA">
            <w:pPr>
              <w:widowControl/>
              <w:spacing w:line="240" w:lineRule="exact"/>
              <w:jc w:val="center"/>
              <w:rPr>
                <w:rFonts w:ascii="宋体" w:hAnsi="宋体"/>
                <w:sz w:val="18"/>
                <w:szCs w:val="18"/>
              </w:rPr>
            </w:pPr>
            <w:r>
              <w:rPr>
                <w:rFonts w:ascii="宋体" w:hAnsi="宋体"/>
                <w:sz w:val="18"/>
                <w:szCs w:val="18"/>
              </w:rPr>
              <w:t>剔除杠杆调整系数</w:t>
            </w:r>
            <w:r>
              <w:rPr>
                <w:bCs/>
                <w:kern w:val="0"/>
                <w:szCs w:val="21"/>
              </w:rPr>
              <w:t>[1+(1-t)×d/e]</w:t>
            </w:r>
          </w:p>
        </w:tc>
        <w:tc>
          <w:tcPr>
            <w:tcW w:w="1276" w:type="dxa"/>
            <w:vAlign w:val="center"/>
          </w:tcPr>
          <w:p w14:paraId="06D275B2">
            <w:pPr>
              <w:widowControl/>
              <w:spacing w:line="240" w:lineRule="exact"/>
              <w:jc w:val="center"/>
              <w:rPr>
                <w:rFonts w:ascii="宋体" w:hAnsi="宋体"/>
                <w:sz w:val="18"/>
                <w:szCs w:val="18"/>
              </w:rPr>
            </w:pPr>
            <w:r>
              <w:rPr>
                <w:rFonts w:ascii="宋体" w:hAnsi="宋体"/>
                <w:sz w:val="18"/>
                <w:szCs w:val="18"/>
              </w:rPr>
              <w:t>剔除财务杠杆的β</w:t>
            </w:r>
          </w:p>
        </w:tc>
      </w:tr>
      <w:tr w14:paraId="7CB63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1" w:type="dxa"/>
            <w:vAlign w:val="center"/>
          </w:tcPr>
          <w:p w14:paraId="618D1C88">
            <w:pPr>
              <w:widowControl/>
              <w:spacing w:line="240" w:lineRule="exact"/>
              <w:jc w:val="center"/>
              <w:rPr>
                <w:rFonts w:ascii="宋体" w:hAnsi="宋体"/>
                <w:kern w:val="0"/>
                <w:sz w:val="18"/>
                <w:szCs w:val="18"/>
              </w:rPr>
            </w:pPr>
            <w:r>
              <w:rPr>
                <w:rFonts w:ascii="宋体" w:hAnsi="宋体"/>
                <w:sz w:val="18"/>
                <w:szCs w:val="18"/>
              </w:rPr>
              <w:t>华东医药</w:t>
            </w:r>
          </w:p>
        </w:tc>
        <w:tc>
          <w:tcPr>
            <w:tcW w:w="1289" w:type="dxa"/>
            <w:vAlign w:val="bottom"/>
          </w:tcPr>
          <w:p w14:paraId="500D4C03">
            <w:pPr>
              <w:widowControl/>
              <w:spacing w:line="240" w:lineRule="exact"/>
              <w:jc w:val="center"/>
              <w:rPr>
                <w:rFonts w:ascii="宋体" w:hAnsi="宋体"/>
                <w:kern w:val="0"/>
                <w:sz w:val="18"/>
                <w:szCs w:val="18"/>
              </w:rPr>
            </w:pPr>
            <w:r>
              <w:rPr>
                <w:rFonts w:ascii="宋体" w:hAnsi="宋体"/>
                <w:sz w:val="18"/>
                <w:szCs w:val="18"/>
              </w:rPr>
              <w:t>0.1029</w:t>
            </w:r>
          </w:p>
        </w:tc>
        <w:tc>
          <w:tcPr>
            <w:tcW w:w="992" w:type="dxa"/>
            <w:vAlign w:val="bottom"/>
          </w:tcPr>
          <w:p w14:paraId="4426D590">
            <w:pPr>
              <w:widowControl/>
              <w:spacing w:line="240" w:lineRule="exact"/>
              <w:jc w:val="center"/>
              <w:rPr>
                <w:rFonts w:ascii="宋体" w:hAnsi="宋体"/>
                <w:kern w:val="0"/>
                <w:sz w:val="18"/>
                <w:szCs w:val="18"/>
              </w:rPr>
            </w:pPr>
            <w:r>
              <w:rPr>
                <w:rFonts w:ascii="宋体" w:hAnsi="宋体"/>
                <w:sz w:val="18"/>
                <w:szCs w:val="18"/>
              </w:rPr>
              <w:t>15</w:t>
            </w:r>
          </w:p>
        </w:tc>
        <w:tc>
          <w:tcPr>
            <w:tcW w:w="992" w:type="dxa"/>
            <w:vAlign w:val="bottom"/>
          </w:tcPr>
          <w:p w14:paraId="07EE4366">
            <w:pPr>
              <w:widowControl/>
              <w:spacing w:line="240" w:lineRule="exact"/>
              <w:jc w:val="center"/>
              <w:rPr>
                <w:rFonts w:ascii="宋体" w:hAnsi="宋体"/>
                <w:kern w:val="0"/>
                <w:sz w:val="18"/>
                <w:szCs w:val="18"/>
              </w:rPr>
            </w:pPr>
            <w:r>
              <w:rPr>
                <w:rFonts w:ascii="宋体" w:hAnsi="宋体"/>
                <w:sz w:val="18"/>
                <w:szCs w:val="18"/>
              </w:rPr>
              <w:t>0.3227</w:t>
            </w:r>
          </w:p>
        </w:tc>
        <w:tc>
          <w:tcPr>
            <w:tcW w:w="1730" w:type="dxa"/>
            <w:vAlign w:val="bottom"/>
          </w:tcPr>
          <w:p w14:paraId="43331E49">
            <w:pPr>
              <w:spacing w:line="240" w:lineRule="exact"/>
              <w:jc w:val="center"/>
              <w:rPr>
                <w:rFonts w:ascii="宋体" w:hAnsi="宋体"/>
                <w:sz w:val="18"/>
                <w:szCs w:val="18"/>
              </w:rPr>
            </w:pPr>
            <w:r>
              <w:rPr>
                <w:rFonts w:ascii="宋体" w:hAnsi="宋体"/>
                <w:sz w:val="18"/>
                <w:szCs w:val="18"/>
              </w:rPr>
              <w:t>1.0875</w:t>
            </w:r>
          </w:p>
        </w:tc>
        <w:tc>
          <w:tcPr>
            <w:tcW w:w="1276" w:type="dxa"/>
            <w:vAlign w:val="bottom"/>
          </w:tcPr>
          <w:p w14:paraId="78AC8DD8">
            <w:pPr>
              <w:spacing w:line="240" w:lineRule="exact"/>
              <w:jc w:val="center"/>
              <w:rPr>
                <w:rFonts w:ascii="宋体" w:hAnsi="宋体"/>
                <w:sz w:val="18"/>
                <w:szCs w:val="18"/>
              </w:rPr>
            </w:pPr>
            <w:r>
              <w:rPr>
                <w:rFonts w:ascii="宋体" w:hAnsi="宋体"/>
                <w:sz w:val="18"/>
                <w:szCs w:val="18"/>
              </w:rPr>
              <w:t>0.2967</w:t>
            </w:r>
          </w:p>
        </w:tc>
      </w:tr>
      <w:tr w14:paraId="3AC43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1" w:type="dxa"/>
            <w:vAlign w:val="center"/>
          </w:tcPr>
          <w:p w14:paraId="2C8F97E7">
            <w:pPr>
              <w:spacing w:line="240" w:lineRule="exact"/>
              <w:jc w:val="center"/>
              <w:rPr>
                <w:rFonts w:ascii="宋体" w:hAnsi="宋体"/>
                <w:sz w:val="18"/>
                <w:szCs w:val="18"/>
              </w:rPr>
            </w:pPr>
            <w:r>
              <w:rPr>
                <w:rFonts w:ascii="宋体" w:hAnsi="宋体"/>
                <w:sz w:val="18"/>
                <w:szCs w:val="18"/>
              </w:rPr>
              <w:t>康恩贝</w:t>
            </w:r>
          </w:p>
        </w:tc>
        <w:tc>
          <w:tcPr>
            <w:tcW w:w="1289" w:type="dxa"/>
            <w:vAlign w:val="bottom"/>
          </w:tcPr>
          <w:p w14:paraId="126411D0">
            <w:pPr>
              <w:spacing w:line="240" w:lineRule="exact"/>
              <w:jc w:val="center"/>
              <w:rPr>
                <w:rFonts w:ascii="宋体" w:hAnsi="宋体"/>
                <w:sz w:val="18"/>
                <w:szCs w:val="18"/>
              </w:rPr>
            </w:pPr>
            <w:r>
              <w:rPr>
                <w:rFonts w:ascii="宋体" w:hAnsi="宋体"/>
                <w:sz w:val="18"/>
                <w:szCs w:val="18"/>
              </w:rPr>
              <w:t>0.0939</w:t>
            </w:r>
          </w:p>
        </w:tc>
        <w:tc>
          <w:tcPr>
            <w:tcW w:w="992" w:type="dxa"/>
            <w:vAlign w:val="bottom"/>
          </w:tcPr>
          <w:p w14:paraId="68334D91">
            <w:pPr>
              <w:spacing w:line="240" w:lineRule="exact"/>
              <w:jc w:val="center"/>
              <w:rPr>
                <w:rFonts w:ascii="宋体" w:hAnsi="宋体"/>
                <w:sz w:val="18"/>
                <w:szCs w:val="18"/>
              </w:rPr>
            </w:pPr>
            <w:r>
              <w:rPr>
                <w:rFonts w:ascii="宋体" w:hAnsi="宋体"/>
                <w:sz w:val="18"/>
                <w:szCs w:val="18"/>
              </w:rPr>
              <w:t>15</w:t>
            </w:r>
          </w:p>
        </w:tc>
        <w:tc>
          <w:tcPr>
            <w:tcW w:w="992" w:type="dxa"/>
            <w:vAlign w:val="bottom"/>
          </w:tcPr>
          <w:p w14:paraId="23D03B2F">
            <w:pPr>
              <w:spacing w:line="240" w:lineRule="exact"/>
              <w:jc w:val="center"/>
              <w:rPr>
                <w:rFonts w:ascii="宋体" w:hAnsi="宋体"/>
                <w:sz w:val="18"/>
                <w:szCs w:val="18"/>
              </w:rPr>
            </w:pPr>
            <w:r>
              <w:rPr>
                <w:rFonts w:ascii="宋体" w:hAnsi="宋体"/>
                <w:sz w:val="18"/>
                <w:szCs w:val="18"/>
              </w:rPr>
              <w:t>0.8523</w:t>
            </w:r>
          </w:p>
        </w:tc>
        <w:tc>
          <w:tcPr>
            <w:tcW w:w="1730" w:type="dxa"/>
            <w:vAlign w:val="bottom"/>
          </w:tcPr>
          <w:p w14:paraId="7A4A4ABB">
            <w:pPr>
              <w:spacing w:line="240" w:lineRule="exact"/>
              <w:jc w:val="center"/>
              <w:rPr>
                <w:rFonts w:ascii="宋体" w:hAnsi="宋体"/>
                <w:sz w:val="18"/>
                <w:szCs w:val="18"/>
              </w:rPr>
            </w:pPr>
            <w:r>
              <w:rPr>
                <w:rFonts w:ascii="宋体" w:hAnsi="宋体"/>
                <w:sz w:val="18"/>
                <w:szCs w:val="18"/>
              </w:rPr>
              <w:t>1.0798</w:t>
            </w:r>
          </w:p>
        </w:tc>
        <w:tc>
          <w:tcPr>
            <w:tcW w:w="1276" w:type="dxa"/>
            <w:vAlign w:val="bottom"/>
          </w:tcPr>
          <w:p w14:paraId="6E2F8D2F">
            <w:pPr>
              <w:spacing w:line="240" w:lineRule="exact"/>
              <w:jc w:val="center"/>
              <w:rPr>
                <w:rFonts w:ascii="宋体" w:hAnsi="宋体"/>
                <w:sz w:val="18"/>
                <w:szCs w:val="18"/>
              </w:rPr>
            </w:pPr>
            <w:r>
              <w:rPr>
                <w:rFonts w:ascii="宋体" w:hAnsi="宋体"/>
                <w:sz w:val="18"/>
                <w:szCs w:val="18"/>
              </w:rPr>
              <w:t>0.7893</w:t>
            </w:r>
          </w:p>
        </w:tc>
      </w:tr>
      <w:tr w14:paraId="608B4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1" w:type="dxa"/>
            <w:vAlign w:val="center"/>
          </w:tcPr>
          <w:p w14:paraId="50C2B421">
            <w:pPr>
              <w:spacing w:line="240" w:lineRule="exact"/>
              <w:jc w:val="center"/>
              <w:rPr>
                <w:rFonts w:ascii="宋体" w:hAnsi="宋体"/>
                <w:sz w:val="18"/>
                <w:szCs w:val="18"/>
              </w:rPr>
            </w:pPr>
            <w:r>
              <w:rPr>
                <w:rFonts w:ascii="宋体" w:hAnsi="宋体"/>
                <w:sz w:val="18"/>
                <w:szCs w:val="18"/>
              </w:rPr>
              <w:t>奇正藏药</w:t>
            </w:r>
          </w:p>
        </w:tc>
        <w:tc>
          <w:tcPr>
            <w:tcW w:w="1289" w:type="dxa"/>
            <w:vAlign w:val="bottom"/>
          </w:tcPr>
          <w:p w14:paraId="2950674C">
            <w:pPr>
              <w:spacing w:line="240" w:lineRule="exact"/>
              <w:jc w:val="center"/>
              <w:rPr>
                <w:rFonts w:ascii="宋体" w:hAnsi="宋体"/>
                <w:sz w:val="18"/>
                <w:szCs w:val="18"/>
              </w:rPr>
            </w:pPr>
            <w:r>
              <w:rPr>
                <w:rFonts w:ascii="宋体" w:hAnsi="宋体"/>
                <w:sz w:val="18"/>
                <w:szCs w:val="18"/>
              </w:rPr>
              <w:t>0.0072</w:t>
            </w:r>
          </w:p>
        </w:tc>
        <w:tc>
          <w:tcPr>
            <w:tcW w:w="992" w:type="dxa"/>
            <w:vAlign w:val="bottom"/>
          </w:tcPr>
          <w:p w14:paraId="31D6B863">
            <w:pPr>
              <w:spacing w:line="240" w:lineRule="exact"/>
              <w:jc w:val="center"/>
              <w:rPr>
                <w:rFonts w:ascii="宋体" w:hAnsi="宋体"/>
                <w:sz w:val="18"/>
                <w:szCs w:val="18"/>
              </w:rPr>
            </w:pPr>
            <w:r>
              <w:rPr>
                <w:rFonts w:ascii="宋体" w:hAnsi="宋体"/>
                <w:sz w:val="18"/>
                <w:szCs w:val="18"/>
              </w:rPr>
              <w:t>25</w:t>
            </w:r>
          </w:p>
        </w:tc>
        <w:tc>
          <w:tcPr>
            <w:tcW w:w="992" w:type="dxa"/>
            <w:vAlign w:val="bottom"/>
          </w:tcPr>
          <w:p w14:paraId="62DEDB7A">
            <w:pPr>
              <w:spacing w:line="240" w:lineRule="exact"/>
              <w:jc w:val="center"/>
              <w:rPr>
                <w:rFonts w:ascii="宋体" w:hAnsi="宋体"/>
                <w:sz w:val="18"/>
                <w:szCs w:val="18"/>
              </w:rPr>
            </w:pPr>
            <w:r>
              <w:rPr>
                <w:rFonts w:ascii="宋体" w:hAnsi="宋体"/>
                <w:sz w:val="18"/>
                <w:szCs w:val="18"/>
              </w:rPr>
              <w:t>0.8215</w:t>
            </w:r>
          </w:p>
        </w:tc>
        <w:tc>
          <w:tcPr>
            <w:tcW w:w="1730" w:type="dxa"/>
            <w:vAlign w:val="bottom"/>
          </w:tcPr>
          <w:p w14:paraId="5D73333A">
            <w:pPr>
              <w:spacing w:line="240" w:lineRule="exact"/>
              <w:jc w:val="center"/>
              <w:rPr>
                <w:rFonts w:ascii="宋体" w:hAnsi="宋体"/>
                <w:sz w:val="18"/>
                <w:szCs w:val="18"/>
              </w:rPr>
            </w:pPr>
            <w:r>
              <w:rPr>
                <w:rFonts w:ascii="宋体" w:hAnsi="宋体"/>
                <w:sz w:val="18"/>
                <w:szCs w:val="18"/>
              </w:rPr>
              <w:t>1.0054</w:t>
            </w:r>
          </w:p>
        </w:tc>
        <w:tc>
          <w:tcPr>
            <w:tcW w:w="1276" w:type="dxa"/>
            <w:vAlign w:val="bottom"/>
          </w:tcPr>
          <w:p w14:paraId="64910D43">
            <w:pPr>
              <w:spacing w:line="240" w:lineRule="exact"/>
              <w:jc w:val="center"/>
              <w:rPr>
                <w:rFonts w:ascii="宋体" w:hAnsi="宋体"/>
                <w:sz w:val="18"/>
                <w:szCs w:val="18"/>
              </w:rPr>
            </w:pPr>
            <w:r>
              <w:rPr>
                <w:rFonts w:ascii="宋体" w:hAnsi="宋体"/>
                <w:sz w:val="18"/>
                <w:szCs w:val="18"/>
              </w:rPr>
              <w:t>0.8171</w:t>
            </w:r>
          </w:p>
        </w:tc>
      </w:tr>
      <w:tr w14:paraId="6AE76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1" w:type="dxa"/>
            <w:vAlign w:val="center"/>
          </w:tcPr>
          <w:p w14:paraId="53D43812">
            <w:pPr>
              <w:spacing w:line="240" w:lineRule="exact"/>
              <w:jc w:val="center"/>
              <w:rPr>
                <w:rFonts w:ascii="宋体" w:hAnsi="宋体"/>
                <w:sz w:val="18"/>
                <w:szCs w:val="18"/>
              </w:rPr>
            </w:pPr>
            <w:r>
              <w:rPr>
                <w:rFonts w:ascii="宋体" w:hAnsi="宋体"/>
                <w:sz w:val="18"/>
                <w:szCs w:val="18"/>
              </w:rPr>
              <w:t>平均值</w:t>
            </w:r>
          </w:p>
        </w:tc>
        <w:tc>
          <w:tcPr>
            <w:tcW w:w="1289" w:type="dxa"/>
            <w:vAlign w:val="bottom"/>
          </w:tcPr>
          <w:p w14:paraId="1F7D57BB">
            <w:pPr>
              <w:spacing w:line="240" w:lineRule="exact"/>
              <w:jc w:val="center"/>
              <w:rPr>
                <w:rFonts w:ascii="宋体" w:hAnsi="宋体"/>
                <w:sz w:val="18"/>
                <w:szCs w:val="18"/>
              </w:rPr>
            </w:pPr>
            <w:r>
              <w:rPr>
                <w:rFonts w:ascii="宋体" w:hAnsi="宋体"/>
                <w:sz w:val="18"/>
                <w:szCs w:val="18"/>
              </w:rPr>
              <w:t>0.0680</w:t>
            </w:r>
          </w:p>
        </w:tc>
        <w:tc>
          <w:tcPr>
            <w:tcW w:w="992" w:type="dxa"/>
            <w:vAlign w:val="bottom"/>
          </w:tcPr>
          <w:p w14:paraId="03BEC4D7">
            <w:pPr>
              <w:spacing w:line="240" w:lineRule="exact"/>
              <w:jc w:val="center"/>
              <w:rPr>
                <w:rFonts w:ascii="宋体" w:hAnsi="宋体"/>
                <w:sz w:val="18"/>
                <w:szCs w:val="18"/>
              </w:rPr>
            </w:pPr>
          </w:p>
        </w:tc>
        <w:tc>
          <w:tcPr>
            <w:tcW w:w="992" w:type="dxa"/>
            <w:vAlign w:val="bottom"/>
          </w:tcPr>
          <w:p w14:paraId="7E54A931">
            <w:pPr>
              <w:spacing w:line="240" w:lineRule="exact"/>
              <w:jc w:val="center"/>
              <w:rPr>
                <w:rFonts w:ascii="宋体" w:hAnsi="宋体"/>
                <w:sz w:val="18"/>
                <w:szCs w:val="18"/>
              </w:rPr>
            </w:pPr>
            <w:r>
              <w:rPr>
                <w:rFonts w:ascii="宋体" w:hAnsi="宋体"/>
                <w:sz w:val="18"/>
                <w:szCs w:val="18"/>
              </w:rPr>
              <w:t>0.6655</w:t>
            </w:r>
          </w:p>
        </w:tc>
        <w:tc>
          <w:tcPr>
            <w:tcW w:w="1730" w:type="dxa"/>
            <w:vAlign w:val="bottom"/>
          </w:tcPr>
          <w:p w14:paraId="4E2B73B6">
            <w:pPr>
              <w:spacing w:line="240" w:lineRule="exact"/>
              <w:jc w:val="center"/>
              <w:rPr>
                <w:rFonts w:ascii="宋体" w:hAnsi="宋体"/>
                <w:sz w:val="18"/>
                <w:szCs w:val="18"/>
              </w:rPr>
            </w:pPr>
            <w:r>
              <w:rPr>
                <w:rFonts w:ascii="宋体" w:hAnsi="宋体"/>
                <w:sz w:val="18"/>
                <w:szCs w:val="18"/>
              </w:rPr>
              <w:t>1.0576</w:t>
            </w:r>
          </w:p>
        </w:tc>
        <w:tc>
          <w:tcPr>
            <w:tcW w:w="1276" w:type="dxa"/>
            <w:vAlign w:val="bottom"/>
          </w:tcPr>
          <w:p w14:paraId="4F79E568">
            <w:pPr>
              <w:spacing w:line="240" w:lineRule="exact"/>
              <w:jc w:val="center"/>
              <w:rPr>
                <w:rFonts w:ascii="宋体" w:hAnsi="宋体"/>
                <w:sz w:val="18"/>
                <w:szCs w:val="18"/>
              </w:rPr>
            </w:pPr>
            <w:r>
              <w:rPr>
                <w:rFonts w:ascii="宋体" w:hAnsi="宋体"/>
                <w:sz w:val="18"/>
                <w:szCs w:val="18"/>
              </w:rPr>
              <w:t>0.6344</w:t>
            </w:r>
          </w:p>
        </w:tc>
      </w:tr>
    </w:tbl>
    <w:p w14:paraId="4FBFEA53">
      <w:pPr>
        <w:spacing w:line="400" w:lineRule="exact"/>
        <w:ind w:firstLine="420" w:firstLineChars="200"/>
        <w:rPr>
          <w:rFonts w:ascii="宋体" w:hAnsi="宋体"/>
          <w:kern w:val="0"/>
          <w:szCs w:val="21"/>
        </w:rPr>
      </w:pPr>
    </w:p>
    <w:p w14:paraId="7844943A">
      <w:pPr>
        <w:spacing w:line="400" w:lineRule="exact"/>
        <w:ind w:firstLine="420" w:firstLineChars="200"/>
        <w:jc w:val="left"/>
        <w:rPr>
          <w:rFonts w:ascii="宋体" w:hAnsi="宋体"/>
          <w:szCs w:val="21"/>
        </w:rPr>
      </w:pPr>
      <w:r>
        <w:rPr>
          <w:rFonts w:hint="eastAsia" w:ascii="宋体" w:hAnsi="宋体"/>
          <w:kern w:val="0"/>
          <w:szCs w:val="21"/>
        </w:rPr>
        <w:t>对比</w:t>
      </w:r>
      <w:r>
        <w:rPr>
          <w:rFonts w:ascii="宋体" w:hAnsi="宋体"/>
          <w:kern w:val="0"/>
          <w:szCs w:val="21"/>
        </w:rPr>
        <w:t>公司的平均财务杠杆系数（</w:t>
      </w:r>
      <w:r>
        <w:rPr>
          <w:rFonts w:hint="eastAsia" w:ascii="宋体" w:hAnsi="宋体"/>
          <w:kern w:val="0"/>
          <w:szCs w:val="21"/>
        </w:rPr>
        <w:t>d</w:t>
      </w:r>
      <w:r>
        <w:rPr>
          <w:rFonts w:ascii="宋体" w:hAnsi="宋体"/>
          <w:kern w:val="0"/>
          <w:szCs w:val="21"/>
        </w:rPr>
        <w:t>/</w:t>
      </w:r>
      <w:r>
        <w:rPr>
          <w:rFonts w:hint="eastAsia" w:ascii="宋体" w:hAnsi="宋体"/>
          <w:kern w:val="0"/>
          <w:szCs w:val="21"/>
        </w:rPr>
        <w:t>e</w:t>
      </w:r>
      <w:r>
        <w:rPr>
          <w:rFonts w:ascii="宋体" w:hAnsi="宋体"/>
          <w:kern w:val="0"/>
          <w:szCs w:val="21"/>
        </w:rPr>
        <w:t>）为</w:t>
      </w:r>
      <w:r>
        <w:rPr>
          <w:rFonts w:hint="eastAsia" w:ascii="宋体" w:hAnsi="宋体"/>
          <w:szCs w:val="21"/>
        </w:rPr>
        <w:t>0.0680</w:t>
      </w:r>
      <w:r>
        <w:rPr>
          <w:rFonts w:ascii="宋体" w:hAnsi="宋体"/>
          <w:kern w:val="0"/>
          <w:szCs w:val="21"/>
        </w:rPr>
        <w:t>。剔除</w:t>
      </w:r>
      <w:r>
        <w:rPr>
          <w:rFonts w:hint="eastAsia" w:ascii="宋体" w:hAnsi="宋体"/>
          <w:kern w:val="0"/>
          <w:szCs w:val="21"/>
        </w:rPr>
        <w:t>财务</w:t>
      </w:r>
      <w:r>
        <w:rPr>
          <w:rFonts w:ascii="宋体" w:hAnsi="宋体"/>
          <w:kern w:val="0"/>
          <w:szCs w:val="21"/>
        </w:rPr>
        <w:t>杠杆</w:t>
      </w:r>
      <w:r>
        <w:rPr>
          <w:rFonts w:hint="eastAsia" w:ascii="宋体" w:hAnsi="宋体"/>
          <w:kern w:val="0"/>
          <w:szCs w:val="21"/>
        </w:rPr>
        <w:t>后</w:t>
      </w:r>
      <w:r>
        <w:rPr>
          <w:rFonts w:ascii="宋体" w:hAnsi="宋体"/>
          <w:kern w:val="0"/>
          <w:szCs w:val="21"/>
        </w:rPr>
        <w:t>调整</w:t>
      </w:r>
      <w:r>
        <w:rPr>
          <w:rFonts w:ascii="宋体" w:hAnsi="宋体"/>
          <w:position w:val="-10"/>
          <w:szCs w:val="21"/>
        </w:rPr>
        <w:object>
          <v:shape id="_x0000_i1030" o:spt="75" type="#_x0000_t75" style="height:16.3pt;width:14.25pt;" o:ole="t" filled="f" o:preferrelative="t" stroked="f" coordsize="21600,21600">
            <v:path/>
            <v:fill on="f" focussize="0,0"/>
            <v:stroke on="f" joinstyle="miter"/>
            <v:imagedata r:id="rId14" o:title=""/>
            <o:lock v:ext="edit" aspectratio="t"/>
            <w10:wrap type="none"/>
            <w10:anchorlock/>
          </v:shape>
          <o:OLEObject Type="Embed" ProgID="Equation.3" ShapeID="_x0000_i1030" DrawAspect="Content" ObjectID="_1468075732" r:id="rId17">
            <o:LockedField>false</o:LockedField>
          </o:OLEObject>
        </w:object>
      </w:r>
      <w:r>
        <w:rPr>
          <w:rFonts w:ascii="宋体" w:hAnsi="宋体"/>
          <w:kern w:val="0"/>
          <w:szCs w:val="21"/>
        </w:rPr>
        <w:t>均值</w:t>
      </w:r>
      <w:r>
        <w:rPr>
          <w:rFonts w:hint="eastAsia" w:ascii="宋体" w:hAnsi="宋体"/>
          <w:kern w:val="0"/>
          <w:szCs w:val="21"/>
        </w:rPr>
        <w:t>为</w:t>
      </w:r>
      <w:r>
        <w:rPr>
          <w:rFonts w:ascii="宋体" w:hAnsi="宋体"/>
          <w:kern w:val="0"/>
          <w:szCs w:val="21"/>
        </w:rPr>
        <w:t>0.6344</w:t>
      </w:r>
      <w:r>
        <w:rPr>
          <w:rFonts w:hint="eastAsia" w:ascii="宋体" w:hAnsi="宋体"/>
          <w:kern w:val="0"/>
          <w:szCs w:val="21"/>
        </w:rPr>
        <w:t>，</w:t>
      </w:r>
      <w:r>
        <w:rPr>
          <w:rFonts w:ascii="宋体" w:hAnsi="宋体"/>
          <w:kern w:val="0"/>
          <w:szCs w:val="21"/>
        </w:rPr>
        <w:t>按照平均财务杠杆系数换算为被评估公司目标财务杠杆</w:t>
      </w:r>
      <w:r>
        <w:rPr>
          <w:rFonts w:ascii="宋体" w:hAnsi="宋体"/>
          <w:position w:val="-10"/>
          <w:szCs w:val="21"/>
        </w:rPr>
        <w:object>
          <v:shape id="_x0000_i1031" o:spt="75" type="#_x0000_t75" style="height:16.3pt;width:14.25pt;" o:ole="t" filled="f" o:preferrelative="t" stroked="f" coordsize="21600,21600">
            <v:path/>
            <v:fill on="f" focussize="0,0"/>
            <v:stroke on="f" joinstyle="miter"/>
            <v:imagedata r:id="rId14" o:title=""/>
            <o:lock v:ext="edit" aspectratio="t"/>
            <w10:wrap type="none"/>
            <w10:anchorlock/>
          </v:shape>
          <o:OLEObject Type="Embed" ProgID="Equation.3" ShapeID="_x0000_i1031" DrawAspect="Content" ObjectID="_1468075733" r:id="rId18">
            <o:LockedField>false</o:LockedField>
          </o:OLEObject>
        </w:object>
      </w:r>
      <w:r>
        <w:rPr>
          <w:rFonts w:hint="eastAsia" w:ascii="宋体" w:hAnsi="宋体"/>
          <w:szCs w:val="21"/>
        </w:rPr>
        <w:t>值，其中边际税率采用25%，有息负债与所有者权益的比例关系采用对比公司的均值0.0680测算。</w:t>
      </w:r>
    </w:p>
    <w:p w14:paraId="1480B92A">
      <w:pPr>
        <w:spacing w:line="400" w:lineRule="exact"/>
        <w:ind w:firstLine="420" w:firstLineChars="200"/>
        <w:jc w:val="left"/>
        <w:rPr>
          <w:bCs/>
          <w:kern w:val="0"/>
          <w:szCs w:val="21"/>
        </w:rPr>
      </w:pPr>
      <w:r>
        <w:rPr>
          <w:rFonts w:ascii="宋体" w:hAnsi="宋体"/>
          <w:kern w:val="0"/>
          <w:szCs w:val="21"/>
        </w:rPr>
        <w:t>被评估公司</w:t>
      </w:r>
      <w:r>
        <w:rPr>
          <w:rFonts w:ascii="宋体" w:hAnsi="宋体"/>
          <w:bCs/>
          <w:kern w:val="0"/>
          <w:szCs w:val="21"/>
        </w:rPr>
        <w:t>调整后</w:t>
      </w:r>
      <w:r>
        <w:rPr>
          <w:bCs/>
          <w:kern w:val="0"/>
          <w:szCs w:val="21"/>
        </w:rPr>
        <w:t>β</w:t>
      </w:r>
      <w:r>
        <w:rPr>
          <w:rFonts w:hint="eastAsia"/>
          <w:bCs/>
          <w:kern w:val="0"/>
          <w:szCs w:val="21"/>
        </w:rPr>
        <w:t xml:space="preserve"> </w:t>
      </w:r>
      <w:r>
        <w:rPr>
          <w:rFonts w:ascii="宋体" w:hAnsi="宋体"/>
          <w:bCs/>
          <w:kern w:val="0"/>
          <w:szCs w:val="21"/>
        </w:rPr>
        <w:t>=</w:t>
      </w:r>
      <w:r>
        <w:rPr>
          <w:bCs/>
          <w:kern w:val="0"/>
          <w:szCs w:val="21"/>
        </w:rPr>
        <w:t xml:space="preserve"> </w:t>
      </w:r>
      <w:r>
        <w:rPr>
          <w:rFonts w:ascii="宋体" w:hAnsi="宋体"/>
          <w:bCs/>
          <w:kern w:val="0"/>
          <w:szCs w:val="21"/>
        </w:rPr>
        <w:t>剔除</w:t>
      </w:r>
      <w:r>
        <w:rPr>
          <w:rFonts w:hint="eastAsia" w:ascii="宋体" w:hAnsi="宋体"/>
          <w:bCs/>
          <w:kern w:val="0"/>
          <w:szCs w:val="21"/>
        </w:rPr>
        <w:t>财务</w:t>
      </w:r>
      <w:r>
        <w:rPr>
          <w:rFonts w:ascii="宋体" w:hAnsi="宋体"/>
          <w:bCs/>
          <w:kern w:val="0"/>
          <w:szCs w:val="21"/>
        </w:rPr>
        <w:t>杠杆调整</w:t>
      </w:r>
      <w:r>
        <w:rPr>
          <w:bCs/>
          <w:kern w:val="0"/>
          <w:szCs w:val="21"/>
        </w:rPr>
        <w:t>β</w:t>
      </w:r>
      <w:r>
        <w:rPr>
          <w:rFonts w:hint="eastAsia" w:ascii="宋体" w:hAnsi="宋体"/>
          <w:bCs/>
          <w:kern w:val="0"/>
          <w:szCs w:val="21"/>
        </w:rPr>
        <w:t>×</w:t>
      </w:r>
      <w:r>
        <w:rPr>
          <w:bCs/>
          <w:kern w:val="0"/>
          <w:szCs w:val="21"/>
        </w:rPr>
        <w:t>[1+(1-t)×</w:t>
      </w:r>
      <w:r>
        <w:rPr>
          <w:rFonts w:hint="eastAsia"/>
          <w:bCs/>
          <w:kern w:val="0"/>
          <w:szCs w:val="21"/>
        </w:rPr>
        <w:t>d</w:t>
      </w:r>
      <w:r>
        <w:rPr>
          <w:bCs/>
          <w:kern w:val="0"/>
          <w:szCs w:val="21"/>
        </w:rPr>
        <w:t>/</w:t>
      </w:r>
      <w:r>
        <w:rPr>
          <w:rFonts w:hint="eastAsia"/>
          <w:bCs/>
          <w:kern w:val="0"/>
          <w:szCs w:val="21"/>
        </w:rPr>
        <w:t>e</w:t>
      </w:r>
      <w:r>
        <w:rPr>
          <w:bCs/>
          <w:kern w:val="0"/>
          <w:szCs w:val="21"/>
        </w:rPr>
        <w:t>]</w:t>
      </w:r>
    </w:p>
    <w:p w14:paraId="6E7CF5AE">
      <w:pPr>
        <w:spacing w:line="400" w:lineRule="exact"/>
        <w:ind w:firstLine="2310" w:firstLineChars="1100"/>
        <w:jc w:val="left"/>
        <w:rPr>
          <w:bCs/>
          <w:kern w:val="0"/>
          <w:szCs w:val="21"/>
        </w:rPr>
      </w:pPr>
      <w:r>
        <w:rPr>
          <w:rFonts w:hint="eastAsia"/>
          <w:bCs/>
          <w:kern w:val="0"/>
          <w:szCs w:val="21"/>
        </w:rPr>
        <w:t>=0.6344</w:t>
      </w:r>
      <w:r>
        <w:rPr>
          <w:rFonts w:hint="eastAsia" w:ascii="宋体" w:hAnsi="宋体"/>
          <w:bCs/>
          <w:kern w:val="0"/>
          <w:szCs w:val="21"/>
        </w:rPr>
        <w:t>×</w:t>
      </w:r>
      <w:r>
        <w:rPr>
          <w:bCs/>
          <w:kern w:val="0"/>
          <w:szCs w:val="21"/>
        </w:rPr>
        <w:t>[1+(1-</w:t>
      </w:r>
      <w:r>
        <w:rPr>
          <w:rFonts w:hint="eastAsia"/>
          <w:bCs/>
          <w:kern w:val="0"/>
          <w:szCs w:val="21"/>
        </w:rPr>
        <w:t>25%</w:t>
      </w:r>
      <w:r>
        <w:rPr>
          <w:bCs/>
          <w:kern w:val="0"/>
          <w:szCs w:val="21"/>
        </w:rPr>
        <w:t>)×</w:t>
      </w:r>
      <w:r>
        <w:rPr>
          <w:rFonts w:hint="eastAsia"/>
          <w:bCs/>
          <w:kern w:val="0"/>
          <w:szCs w:val="21"/>
        </w:rPr>
        <w:t>0.0680</w:t>
      </w:r>
      <w:r>
        <w:rPr>
          <w:bCs/>
          <w:kern w:val="0"/>
          <w:szCs w:val="21"/>
        </w:rPr>
        <w:t>]</w:t>
      </w:r>
    </w:p>
    <w:p w14:paraId="151C229B">
      <w:pPr>
        <w:spacing w:line="400" w:lineRule="exact"/>
        <w:ind w:firstLine="2310" w:firstLineChars="1100"/>
        <w:jc w:val="left"/>
        <w:rPr>
          <w:rFonts w:ascii="宋体" w:hAnsi="宋体"/>
          <w:bCs/>
          <w:kern w:val="0"/>
          <w:szCs w:val="21"/>
        </w:rPr>
      </w:pPr>
      <w:r>
        <w:rPr>
          <w:rFonts w:hint="eastAsia"/>
          <w:bCs/>
          <w:kern w:val="0"/>
          <w:szCs w:val="21"/>
        </w:rPr>
        <w:t>=</w:t>
      </w:r>
      <w:r>
        <w:rPr>
          <w:rFonts w:ascii="宋体" w:hAnsi="宋体"/>
          <w:kern w:val="0"/>
          <w:szCs w:val="21"/>
        </w:rPr>
        <w:t>0.6696</w:t>
      </w:r>
    </w:p>
    <w:p w14:paraId="269890C8">
      <w:pPr>
        <w:spacing w:line="400" w:lineRule="exact"/>
        <w:ind w:firstLine="420" w:firstLineChars="200"/>
        <w:rPr>
          <w:rFonts w:ascii="宋体" w:hAnsi="宋体"/>
          <w:kern w:val="0"/>
          <w:szCs w:val="21"/>
        </w:rPr>
      </w:pPr>
      <w:r>
        <w:rPr>
          <w:rFonts w:ascii="宋体" w:hAnsi="宋体"/>
          <w:kern w:val="0"/>
          <w:szCs w:val="21"/>
        </w:rPr>
        <w:t>因此R</w:t>
      </w:r>
      <w:r>
        <w:rPr>
          <w:rFonts w:ascii="宋体" w:hAnsi="宋体"/>
          <w:kern w:val="0"/>
          <w:szCs w:val="21"/>
          <w:vertAlign w:val="subscript"/>
        </w:rPr>
        <w:t>0</w:t>
      </w:r>
      <w:r>
        <w:rPr>
          <w:rFonts w:ascii="宋体" w:hAnsi="宋体"/>
          <w:kern w:val="0"/>
          <w:szCs w:val="21"/>
        </w:rPr>
        <w:t>＝</w:t>
      </w:r>
      <w:r>
        <w:rPr>
          <w:rFonts w:ascii="宋体" w:hAnsi="宋体"/>
          <w:szCs w:val="21"/>
        </w:rPr>
        <w:t>4.37 %</w:t>
      </w:r>
      <w:r>
        <w:rPr>
          <w:rFonts w:ascii="宋体" w:hAnsi="宋体"/>
          <w:kern w:val="0"/>
          <w:szCs w:val="21"/>
        </w:rPr>
        <w:t>＋</w:t>
      </w:r>
      <w:r>
        <w:rPr>
          <w:rFonts w:ascii="宋体" w:hAnsi="宋体"/>
          <w:kern w:val="0"/>
          <w:szCs w:val="21"/>
          <w:lang w:val="zh-CN"/>
        </w:rPr>
        <w:t>7.6%</w:t>
      </w:r>
      <w:r>
        <w:rPr>
          <w:rFonts w:ascii="宋体" w:hAnsi="宋体"/>
          <w:kern w:val="0"/>
          <w:szCs w:val="21"/>
        </w:rPr>
        <w:t>×0.6696=9.46%。</w:t>
      </w:r>
    </w:p>
    <w:p w14:paraId="62851038">
      <w:pPr>
        <w:spacing w:line="400" w:lineRule="exact"/>
        <w:ind w:firstLine="420" w:firstLineChars="200"/>
        <w:rPr>
          <w:rFonts w:ascii="宋体" w:hAnsi="宋体"/>
          <w:kern w:val="0"/>
          <w:szCs w:val="21"/>
        </w:rPr>
      </w:pPr>
      <w:r>
        <w:rPr>
          <w:rFonts w:hint="eastAsia" w:ascii="宋体" w:hAnsi="宋体" w:cs="宋体"/>
          <w:kern w:val="0"/>
          <w:szCs w:val="21"/>
        </w:rPr>
        <w:t>④</w:t>
      </w:r>
      <w:r>
        <w:rPr>
          <w:rFonts w:ascii="宋体" w:hAnsi="宋体"/>
          <w:kern w:val="0"/>
          <w:szCs w:val="21"/>
        </w:rPr>
        <w:t>R</w:t>
      </w:r>
      <w:r>
        <w:rPr>
          <w:rFonts w:ascii="宋体" w:hAnsi="宋体"/>
          <w:kern w:val="0"/>
          <w:szCs w:val="21"/>
          <w:vertAlign w:val="subscript"/>
        </w:rPr>
        <w:t>c</w:t>
      </w:r>
      <w:r>
        <w:rPr>
          <w:rFonts w:ascii="宋体" w:hAnsi="宋体"/>
          <w:kern w:val="0"/>
          <w:szCs w:val="21"/>
        </w:rPr>
        <w:t>的确定：</w:t>
      </w:r>
      <w:r>
        <w:rPr>
          <w:rFonts w:hint="eastAsia" w:ascii="宋体" w:hAnsi="宋体"/>
          <w:kern w:val="0"/>
          <w:szCs w:val="21"/>
        </w:rPr>
        <w:t>R</w:t>
      </w:r>
      <w:r>
        <w:rPr>
          <w:rFonts w:hint="eastAsia" w:ascii="宋体" w:hAnsi="宋体"/>
          <w:kern w:val="0"/>
          <w:szCs w:val="21"/>
          <w:vertAlign w:val="subscript"/>
        </w:rPr>
        <w:t>c</w:t>
      </w:r>
      <w:r>
        <w:rPr>
          <w:rFonts w:ascii="宋体" w:hAnsi="宋体"/>
          <w:kern w:val="0"/>
          <w:szCs w:val="21"/>
        </w:rPr>
        <w:t>为被评估企业个别风险溢价</w:t>
      </w:r>
      <w:r>
        <w:rPr>
          <w:rFonts w:hint="eastAsia" w:ascii="宋体" w:hAnsi="宋体"/>
          <w:kern w:val="0"/>
          <w:szCs w:val="21"/>
        </w:rPr>
        <w:t>，它</w:t>
      </w:r>
      <w:r>
        <w:rPr>
          <w:rFonts w:ascii="宋体" w:hAnsi="宋体"/>
          <w:kern w:val="0"/>
          <w:szCs w:val="21"/>
        </w:rPr>
        <w:t>是公司股东对所承担的与其它公司不同风险因而对投资回报率额外要求的期望</w:t>
      </w:r>
      <w:r>
        <w:rPr>
          <w:rFonts w:hint="eastAsia" w:ascii="宋体" w:hAnsi="宋体"/>
          <w:kern w:val="0"/>
          <w:szCs w:val="21"/>
        </w:rPr>
        <w:t>，G公司</w:t>
      </w:r>
      <w:r>
        <w:rPr>
          <w:rFonts w:ascii="宋体" w:hAnsi="宋体"/>
          <w:kern w:val="0"/>
          <w:szCs w:val="21"/>
        </w:rPr>
        <w:t>的个别风险分析如下</w:t>
      </w:r>
      <w:r>
        <w:rPr>
          <w:rFonts w:hint="eastAsia" w:ascii="宋体" w:hAnsi="宋体"/>
          <w:kern w:val="0"/>
          <w:szCs w:val="21"/>
        </w:rPr>
        <w:t>：</w:t>
      </w:r>
    </w:p>
    <w:p w14:paraId="18C18B8B">
      <w:pPr>
        <w:spacing w:line="400" w:lineRule="exact"/>
        <w:ind w:firstLine="420" w:firstLineChars="200"/>
        <w:rPr>
          <w:rFonts w:ascii="宋体" w:hAnsi="宋体"/>
          <w:kern w:val="0"/>
          <w:szCs w:val="21"/>
        </w:rPr>
      </w:pPr>
      <w:r>
        <w:rPr>
          <w:rFonts w:hint="eastAsia" w:ascii="宋体" w:hAnsi="宋体"/>
          <w:kern w:val="0"/>
          <w:szCs w:val="21"/>
        </w:rPr>
        <w:t>首先是</w:t>
      </w:r>
      <w:r>
        <w:rPr>
          <w:rFonts w:ascii="宋体" w:hAnsi="宋体"/>
          <w:kern w:val="0"/>
          <w:szCs w:val="21"/>
        </w:rPr>
        <w:t>规模风险：与上市公司相比，</w:t>
      </w:r>
      <w:r>
        <w:rPr>
          <w:rFonts w:hint="eastAsia" w:ascii="宋体" w:hAnsi="宋体"/>
          <w:kern w:val="0"/>
          <w:szCs w:val="21"/>
        </w:rPr>
        <w:t>G公司</w:t>
      </w:r>
      <w:r>
        <w:rPr>
          <w:rFonts w:ascii="宋体" w:hAnsi="宋体"/>
          <w:kern w:val="0"/>
          <w:szCs w:val="21"/>
        </w:rPr>
        <w:t>规模较小，抵御风险能力较弱。取规模风险2%。</w:t>
      </w:r>
    </w:p>
    <w:p w14:paraId="4DE0881D">
      <w:pPr>
        <w:spacing w:line="400" w:lineRule="exact"/>
        <w:ind w:firstLine="420" w:firstLineChars="200"/>
        <w:rPr>
          <w:rFonts w:ascii="宋体" w:hAnsi="宋体"/>
          <w:kern w:val="0"/>
          <w:szCs w:val="21"/>
        </w:rPr>
      </w:pPr>
      <w:r>
        <w:rPr>
          <w:rFonts w:hint="eastAsia" w:ascii="宋体" w:hAnsi="宋体"/>
          <w:kern w:val="0"/>
          <w:szCs w:val="21"/>
        </w:rPr>
        <w:t>其次是</w:t>
      </w:r>
      <w:r>
        <w:rPr>
          <w:rFonts w:ascii="宋体" w:hAnsi="宋体"/>
          <w:kern w:val="0"/>
          <w:szCs w:val="21"/>
        </w:rPr>
        <w:t>市场风险</w:t>
      </w:r>
      <w:r>
        <w:rPr>
          <w:rFonts w:hint="eastAsia" w:ascii="宋体" w:hAnsi="宋体"/>
          <w:kern w:val="0"/>
          <w:szCs w:val="21"/>
        </w:rPr>
        <w:t>，G公司</w:t>
      </w:r>
      <w:r>
        <w:rPr>
          <w:rFonts w:ascii="宋体" w:hAnsi="宋体"/>
          <w:kern w:val="0"/>
          <w:szCs w:val="21"/>
        </w:rPr>
        <w:t>的盐酸土霉素和盐酸林可霉素目前市场供大于求，未来市场状况能否有所改善，存在一定的风险。同时，虫草菌粉的下游产品金水宝胶囊受竞争产品百令缴纳的冲击较大，金水宝</w:t>
      </w:r>
      <w:r>
        <w:rPr>
          <w:rFonts w:hint="eastAsia" w:ascii="宋体" w:hAnsi="宋体"/>
          <w:kern w:val="0"/>
          <w:szCs w:val="21"/>
        </w:rPr>
        <w:t>胶囊</w:t>
      </w:r>
      <w:r>
        <w:rPr>
          <w:rFonts w:ascii="宋体" w:hAnsi="宋体"/>
          <w:kern w:val="0"/>
          <w:szCs w:val="21"/>
        </w:rPr>
        <w:t>能否在未来实现销售增长存在一定的风险。因此，取市场风险2%。综上，本次评估个别风险溢价R</w:t>
      </w:r>
      <w:r>
        <w:rPr>
          <w:rFonts w:ascii="宋体" w:hAnsi="宋体"/>
          <w:kern w:val="0"/>
          <w:szCs w:val="21"/>
          <w:vertAlign w:val="subscript"/>
        </w:rPr>
        <w:t>c</w:t>
      </w:r>
      <w:r>
        <w:rPr>
          <w:rFonts w:ascii="宋体" w:hAnsi="宋体"/>
          <w:kern w:val="0"/>
          <w:szCs w:val="21"/>
        </w:rPr>
        <w:t>取4%</w:t>
      </w:r>
      <w:r>
        <w:rPr>
          <w:rFonts w:hint="eastAsia" w:ascii="宋体" w:hAnsi="宋体"/>
          <w:kern w:val="0"/>
          <w:szCs w:val="21"/>
        </w:rPr>
        <w:t>。</w:t>
      </w:r>
    </w:p>
    <w:p w14:paraId="657D7210">
      <w:pPr>
        <w:spacing w:line="400" w:lineRule="exact"/>
        <w:ind w:firstLine="420" w:firstLineChars="200"/>
        <w:rPr>
          <w:rFonts w:ascii="宋体" w:hAnsi="宋体"/>
          <w:kern w:val="0"/>
          <w:szCs w:val="21"/>
        </w:rPr>
      </w:pPr>
      <w:r>
        <w:rPr>
          <w:rFonts w:hint="eastAsia" w:ascii="宋体" w:hAnsi="宋体"/>
          <w:kern w:val="0"/>
          <w:szCs w:val="21"/>
        </w:rPr>
        <w:t>将无风险报酬率、市场风险溢价和个别风险溢价相加，得到G公司的权益资本成本，经计算</w:t>
      </w:r>
      <w:r>
        <w:rPr>
          <w:rFonts w:ascii="宋体" w:hAnsi="宋体"/>
          <w:kern w:val="0"/>
          <w:szCs w:val="21"/>
        </w:rPr>
        <w:t>K</w:t>
      </w:r>
      <w:r>
        <w:rPr>
          <w:rFonts w:ascii="宋体" w:hAnsi="宋体"/>
          <w:kern w:val="0"/>
          <w:szCs w:val="21"/>
          <w:vertAlign w:val="subscript"/>
        </w:rPr>
        <w:t>e</w:t>
      </w:r>
      <w:r>
        <w:rPr>
          <w:rFonts w:ascii="宋体" w:hAnsi="宋体"/>
          <w:kern w:val="0"/>
          <w:szCs w:val="21"/>
        </w:rPr>
        <w:t>＝13.46%。</w:t>
      </w:r>
    </w:p>
    <w:p w14:paraId="324BCF12">
      <w:pPr>
        <w:spacing w:line="400" w:lineRule="exact"/>
        <w:ind w:firstLine="420" w:firstLineChars="200"/>
        <w:rPr>
          <w:rFonts w:ascii="宋体" w:hAnsi="宋体"/>
          <w:kern w:val="0"/>
          <w:szCs w:val="21"/>
        </w:rPr>
      </w:pPr>
      <w:r>
        <w:rPr>
          <w:rFonts w:hint="eastAsia" w:ascii="宋体" w:hAnsi="宋体" w:cs="宋体"/>
          <w:kern w:val="0"/>
          <w:szCs w:val="21"/>
        </w:rPr>
        <w:t>⑤</w:t>
      </w:r>
      <w:r>
        <w:rPr>
          <w:rFonts w:ascii="宋体" w:hAnsi="宋体"/>
          <w:kern w:val="0"/>
          <w:szCs w:val="21"/>
        </w:rPr>
        <w:t>债务资本成本的确定</w:t>
      </w:r>
    </w:p>
    <w:p w14:paraId="16BA8917">
      <w:pPr>
        <w:spacing w:line="400" w:lineRule="exact"/>
        <w:ind w:firstLine="420" w:firstLineChars="200"/>
        <w:rPr>
          <w:rFonts w:ascii="宋体" w:hAnsi="宋体"/>
          <w:kern w:val="0"/>
          <w:szCs w:val="21"/>
        </w:rPr>
      </w:pPr>
      <w:r>
        <w:rPr>
          <w:rFonts w:ascii="宋体" w:hAnsi="宋体"/>
          <w:kern w:val="0"/>
          <w:szCs w:val="21"/>
        </w:rPr>
        <w:t>目前中国</w:t>
      </w:r>
      <w:r>
        <w:rPr>
          <w:rFonts w:hint="eastAsia" w:ascii="宋体" w:hAnsi="宋体"/>
          <w:kern w:val="0"/>
          <w:szCs w:val="21"/>
        </w:rPr>
        <w:t>境内</w:t>
      </w:r>
      <w:r>
        <w:rPr>
          <w:rFonts w:ascii="宋体" w:hAnsi="宋体"/>
          <w:kern w:val="0"/>
          <w:szCs w:val="21"/>
        </w:rPr>
        <w:t>只有极少数国营大型企业或国家重点工程项目才可以被批准发行公司债券。事实上，尽管有一些公司债券是可以交易的，但是目前尚未建立起</w:t>
      </w:r>
      <w:r>
        <w:rPr>
          <w:rFonts w:hint="eastAsia" w:ascii="宋体" w:hAnsi="宋体"/>
          <w:kern w:val="0"/>
          <w:szCs w:val="21"/>
        </w:rPr>
        <w:t>完善的公司</w:t>
      </w:r>
      <w:r>
        <w:rPr>
          <w:rFonts w:ascii="宋体" w:hAnsi="宋体"/>
          <w:kern w:val="0"/>
          <w:szCs w:val="21"/>
        </w:rPr>
        <w:t>债券市场。通过查询中国人民银行公布的在评估基准日有效的五年期以上贷款利率是6.55%</w:t>
      </w:r>
      <w:r>
        <w:rPr>
          <w:rFonts w:hint="eastAsia" w:ascii="宋体" w:hAnsi="宋体"/>
          <w:kern w:val="0"/>
          <w:szCs w:val="21"/>
        </w:rPr>
        <w:t>，本次评估</w:t>
      </w:r>
      <w:r>
        <w:rPr>
          <w:rFonts w:ascii="宋体" w:hAnsi="宋体"/>
          <w:kern w:val="0"/>
          <w:szCs w:val="21"/>
        </w:rPr>
        <w:t>采用该利率作为被评估企业债权年期望回报率。</w:t>
      </w:r>
    </w:p>
    <w:p w14:paraId="7E36FF1B">
      <w:pPr>
        <w:spacing w:line="400" w:lineRule="exact"/>
        <w:ind w:firstLine="420" w:firstLineChars="200"/>
        <w:rPr>
          <w:rFonts w:ascii="宋体" w:hAnsi="宋体"/>
          <w:kern w:val="0"/>
          <w:szCs w:val="21"/>
        </w:rPr>
      </w:pPr>
      <w:r>
        <w:rPr>
          <w:rFonts w:hint="eastAsia" w:ascii="宋体" w:hAnsi="宋体" w:cs="宋体"/>
          <w:kern w:val="0"/>
          <w:szCs w:val="21"/>
        </w:rPr>
        <w:t>⑥</w:t>
      </w:r>
      <w:r>
        <w:rPr>
          <w:rFonts w:ascii="宋体" w:hAnsi="宋体"/>
          <w:kern w:val="0"/>
          <w:szCs w:val="21"/>
        </w:rPr>
        <w:t>加权平均资本成本的确定</w:t>
      </w:r>
    </w:p>
    <w:p w14:paraId="2FB4A7F9">
      <w:pPr>
        <w:adjustRightInd w:val="0"/>
        <w:spacing w:line="400" w:lineRule="exact"/>
        <w:ind w:firstLine="420" w:firstLineChars="200"/>
        <w:jc w:val="left"/>
        <w:textAlignment w:val="baseline"/>
        <w:rPr>
          <w:rFonts w:ascii="宋体" w:hAnsi="宋体"/>
          <w:sz w:val="24"/>
          <w:szCs w:val="24"/>
          <w:lang w:val="zh-CN"/>
        </w:rPr>
      </w:pPr>
      <w:r>
        <w:rPr>
          <w:rFonts w:ascii="宋体" w:hAnsi="宋体"/>
          <w:szCs w:val="21"/>
          <w:lang w:val="zh-CN"/>
        </w:rPr>
        <w:t>结合企业未来盈利情况、管理层未来的筹资策略，确定上市公司</w:t>
      </w:r>
      <w:r>
        <w:rPr>
          <w:rFonts w:hint="eastAsia" w:ascii="宋体" w:hAnsi="宋体"/>
          <w:szCs w:val="21"/>
        </w:rPr>
        <w:t>平均</w:t>
      </w:r>
      <w:r>
        <w:rPr>
          <w:rFonts w:ascii="宋体" w:hAnsi="宋体"/>
          <w:szCs w:val="21"/>
          <w:lang w:val="zh-CN"/>
        </w:rPr>
        <w:t>资本结构为企业目标资本结构比率。</w:t>
      </w:r>
    </w:p>
    <w:p w14:paraId="17298C97">
      <w:pPr>
        <w:tabs>
          <w:tab w:val="left" w:pos="420"/>
          <w:tab w:val="left" w:pos="540"/>
        </w:tabs>
        <w:spacing w:line="440" w:lineRule="exact"/>
        <w:ind w:firstLine="361" w:firstLineChars="200"/>
        <w:jc w:val="center"/>
        <w:rPr>
          <w:rFonts w:ascii="黑体" w:hAnsi="黑体" w:eastAsia="黑体" w:cs="黑体"/>
          <w:b/>
          <w:bCs/>
          <w:sz w:val="18"/>
          <w:szCs w:val="18"/>
        </w:rPr>
      </w:pPr>
    </w:p>
    <w:p w14:paraId="4992C4EC">
      <w:pPr>
        <w:tabs>
          <w:tab w:val="left" w:pos="420"/>
          <w:tab w:val="left" w:pos="540"/>
        </w:tabs>
        <w:spacing w:line="440" w:lineRule="exact"/>
        <w:ind w:firstLine="361" w:firstLineChars="200"/>
        <w:jc w:val="center"/>
        <w:rPr>
          <w:rFonts w:ascii="黑体" w:hAnsi="黑体" w:eastAsia="黑体" w:cs="黑体"/>
          <w:b/>
          <w:bCs/>
          <w:sz w:val="18"/>
          <w:szCs w:val="18"/>
        </w:rPr>
      </w:pPr>
      <w:r>
        <w:rPr>
          <w:rFonts w:hint="eastAsia" w:ascii="黑体" w:hAnsi="黑体" w:eastAsia="黑体" w:cs="黑体"/>
          <w:b/>
          <w:bCs/>
          <w:sz w:val="18"/>
          <w:szCs w:val="18"/>
        </w:rPr>
        <w:t>表1-10     加权资本成本测算表</w:t>
      </w:r>
    </w:p>
    <w:tbl>
      <w:tblPr>
        <w:tblStyle w:val="8"/>
        <w:tblW w:w="90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66"/>
        <w:gridCol w:w="3212"/>
        <w:gridCol w:w="2900"/>
      </w:tblGrid>
      <w:tr w14:paraId="4DBA0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966" w:type="dxa"/>
            <w:vAlign w:val="center"/>
          </w:tcPr>
          <w:p w14:paraId="1B29DCEC">
            <w:pPr>
              <w:widowControl/>
              <w:spacing w:line="240" w:lineRule="exact"/>
              <w:jc w:val="center"/>
              <w:rPr>
                <w:rFonts w:ascii="宋体" w:hAnsi="宋体"/>
                <w:bCs/>
                <w:sz w:val="18"/>
                <w:szCs w:val="18"/>
              </w:rPr>
            </w:pPr>
            <w:r>
              <w:rPr>
                <w:rFonts w:ascii="宋体" w:hAnsi="宋体"/>
                <w:bCs/>
                <w:sz w:val="18"/>
                <w:szCs w:val="18"/>
              </w:rPr>
              <w:t>企业名称</w:t>
            </w:r>
          </w:p>
        </w:tc>
        <w:tc>
          <w:tcPr>
            <w:tcW w:w="3212" w:type="dxa"/>
            <w:vAlign w:val="center"/>
          </w:tcPr>
          <w:p w14:paraId="5AB4CFD3">
            <w:pPr>
              <w:widowControl/>
              <w:spacing w:line="240" w:lineRule="exact"/>
              <w:jc w:val="center"/>
              <w:rPr>
                <w:rFonts w:ascii="宋体" w:hAnsi="宋体"/>
                <w:bCs/>
                <w:sz w:val="18"/>
                <w:szCs w:val="18"/>
              </w:rPr>
            </w:pPr>
            <w:r>
              <w:rPr>
                <w:rFonts w:ascii="宋体" w:hAnsi="宋体"/>
                <w:bCs/>
                <w:sz w:val="18"/>
                <w:szCs w:val="18"/>
              </w:rPr>
              <w:t>W</w:t>
            </w:r>
            <w:r>
              <w:rPr>
                <w:rFonts w:ascii="宋体" w:hAnsi="宋体"/>
                <w:bCs/>
                <w:sz w:val="18"/>
                <w:szCs w:val="18"/>
                <w:vertAlign w:val="subscript"/>
              </w:rPr>
              <w:t>d</w:t>
            </w:r>
            <w:r>
              <w:rPr>
                <w:rFonts w:ascii="宋体" w:hAnsi="宋体"/>
                <w:bCs/>
                <w:sz w:val="18"/>
                <w:szCs w:val="18"/>
              </w:rPr>
              <w:t>=d/(d+e)</w:t>
            </w:r>
            <w:r>
              <w:rPr>
                <w:rFonts w:hint="eastAsia" w:ascii="宋体" w:hAnsi="宋体"/>
                <w:bCs/>
                <w:sz w:val="18"/>
                <w:szCs w:val="18"/>
              </w:rPr>
              <w:t>（%）</w:t>
            </w:r>
          </w:p>
        </w:tc>
        <w:tc>
          <w:tcPr>
            <w:tcW w:w="2900" w:type="dxa"/>
            <w:vAlign w:val="center"/>
          </w:tcPr>
          <w:p w14:paraId="343ECFD3">
            <w:pPr>
              <w:widowControl/>
              <w:spacing w:line="240" w:lineRule="exact"/>
              <w:jc w:val="center"/>
              <w:rPr>
                <w:rFonts w:ascii="宋体" w:hAnsi="宋体"/>
                <w:bCs/>
                <w:sz w:val="18"/>
                <w:szCs w:val="18"/>
              </w:rPr>
            </w:pPr>
            <w:r>
              <w:rPr>
                <w:rFonts w:ascii="宋体" w:hAnsi="宋体"/>
                <w:bCs/>
                <w:sz w:val="18"/>
                <w:szCs w:val="18"/>
              </w:rPr>
              <w:t>We=1- W</w:t>
            </w:r>
            <w:r>
              <w:rPr>
                <w:rFonts w:ascii="宋体" w:hAnsi="宋体"/>
                <w:bCs/>
                <w:sz w:val="18"/>
                <w:szCs w:val="18"/>
                <w:vertAlign w:val="subscript"/>
              </w:rPr>
              <w:t>d</w:t>
            </w:r>
            <w:r>
              <w:rPr>
                <w:rFonts w:hint="eastAsia" w:ascii="宋体" w:hAnsi="宋体"/>
                <w:bCs/>
                <w:sz w:val="18"/>
                <w:szCs w:val="18"/>
              </w:rPr>
              <w:t>（%）</w:t>
            </w:r>
          </w:p>
        </w:tc>
      </w:tr>
      <w:tr w14:paraId="26C0B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6" w:type="dxa"/>
            <w:vAlign w:val="center"/>
          </w:tcPr>
          <w:p w14:paraId="3041D696">
            <w:pPr>
              <w:spacing w:line="240" w:lineRule="exact"/>
              <w:jc w:val="center"/>
              <w:rPr>
                <w:rFonts w:ascii="宋体" w:hAnsi="宋体"/>
                <w:bCs/>
                <w:kern w:val="0"/>
                <w:sz w:val="18"/>
                <w:szCs w:val="18"/>
              </w:rPr>
            </w:pPr>
            <w:r>
              <w:rPr>
                <w:rFonts w:ascii="宋体" w:hAnsi="宋体"/>
                <w:bCs/>
                <w:sz w:val="18"/>
                <w:szCs w:val="18"/>
              </w:rPr>
              <w:t>华东医药</w:t>
            </w:r>
          </w:p>
        </w:tc>
        <w:tc>
          <w:tcPr>
            <w:tcW w:w="3212" w:type="dxa"/>
            <w:vAlign w:val="bottom"/>
          </w:tcPr>
          <w:p w14:paraId="69A2A284">
            <w:pPr>
              <w:spacing w:line="240" w:lineRule="exact"/>
              <w:jc w:val="center"/>
              <w:rPr>
                <w:rFonts w:ascii="宋体" w:hAnsi="宋体"/>
                <w:bCs/>
                <w:kern w:val="0"/>
                <w:sz w:val="18"/>
                <w:szCs w:val="18"/>
              </w:rPr>
            </w:pPr>
            <w:r>
              <w:rPr>
                <w:rFonts w:ascii="宋体" w:hAnsi="宋体"/>
                <w:bCs/>
                <w:sz w:val="18"/>
                <w:szCs w:val="18"/>
              </w:rPr>
              <w:t>9.33</w:t>
            </w:r>
          </w:p>
        </w:tc>
        <w:tc>
          <w:tcPr>
            <w:tcW w:w="2900" w:type="dxa"/>
            <w:vAlign w:val="bottom"/>
          </w:tcPr>
          <w:p w14:paraId="73EBF460">
            <w:pPr>
              <w:spacing w:line="240" w:lineRule="exact"/>
              <w:jc w:val="center"/>
              <w:rPr>
                <w:rFonts w:ascii="宋体" w:hAnsi="宋体"/>
                <w:bCs/>
                <w:sz w:val="18"/>
                <w:szCs w:val="18"/>
              </w:rPr>
            </w:pPr>
            <w:r>
              <w:rPr>
                <w:rFonts w:ascii="宋体" w:hAnsi="宋体"/>
                <w:bCs/>
                <w:sz w:val="18"/>
                <w:szCs w:val="18"/>
              </w:rPr>
              <w:t>90.67</w:t>
            </w:r>
          </w:p>
        </w:tc>
      </w:tr>
      <w:tr w14:paraId="0E0B2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6" w:type="dxa"/>
            <w:vAlign w:val="center"/>
          </w:tcPr>
          <w:p w14:paraId="1B32260E">
            <w:pPr>
              <w:spacing w:line="240" w:lineRule="exact"/>
              <w:jc w:val="center"/>
              <w:rPr>
                <w:rFonts w:ascii="宋体" w:hAnsi="宋体"/>
                <w:bCs/>
                <w:sz w:val="18"/>
                <w:szCs w:val="18"/>
              </w:rPr>
            </w:pPr>
            <w:r>
              <w:rPr>
                <w:rFonts w:ascii="宋体" w:hAnsi="宋体"/>
                <w:bCs/>
                <w:sz w:val="18"/>
                <w:szCs w:val="18"/>
              </w:rPr>
              <w:t>康恩贝</w:t>
            </w:r>
          </w:p>
        </w:tc>
        <w:tc>
          <w:tcPr>
            <w:tcW w:w="3212" w:type="dxa"/>
            <w:vAlign w:val="bottom"/>
          </w:tcPr>
          <w:p w14:paraId="6D66D2B3">
            <w:pPr>
              <w:spacing w:line="240" w:lineRule="exact"/>
              <w:jc w:val="center"/>
              <w:rPr>
                <w:rFonts w:ascii="宋体" w:hAnsi="宋体"/>
                <w:bCs/>
                <w:sz w:val="18"/>
                <w:szCs w:val="18"/>
              </w:rPr>
            </w:pPr>
            <w:r>
              <w:rPr>
                <w:rFonts w:ascii="宋体" w:hAnsi="宋体"/>
                <w:bCs/>
                <w:sz w:val="18"/>
                <w:szCs w:val="18"/>
              </w:rPr>
              <w:t>8.58</w:t>
            </w:r>
          </w:p>
        </w:tc>
        <w:tc>
          <w:tcPr>
            <w:tcW w:w="2900" w:type="dxa"/>
            <w:vAlign w:val="bottom"/>
          </w:tcPr>
          <w:p w14:paraId="349E31B1">
            <w:pPr>
              <w:spacing w:line="240" w:lineRule="exact"/>
              <w:jc w:val="center"/>
              <w:rPr>
                <w:rFonts w:ascii="宋体" w:hAnsi="宋体"/>
                <w:bCs/>
                <w:sz w:val="18"/>
                <w:szCs w:val="18"/>
              </w:rPr>
            </w:pPr>
            <w:r>
              <w:rPr>
                <w:rFonts w:ascii="宋体" w:hAnsi="宋体"/>
                <w:bCs/>
                <w:sz w:val="18"/>
                <w:szCs w:val="18"/>
              </w:rPr>
              <w:t>91.42</w:t>
            </w:r>
          </w:p>
        </w:tc>
      </w:tr>
      <w:tr w14:paraId="5849F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6" w:type="dxa"/>
            <w:vAlign w:val="center"/>
          </w:tcPr>
          <w:p w14:paraId="5BC98859">
            <w:pPr>
              <w:spacing w:line="240" w:lineRule="exact"/>
              <w:jc w:val="center"/>
              <w:rPr>
                <w:rFonts w:ascii="宋体" w:hAnsi="宋体"/>
                <w:bCs/>
                <w:sz w:val="18"/>
                <w:szCs w:val="18"/>
              </w:rPr>
            </w:pPr>
            <w:r>
              <w:rPr>
                <w:rFonts w:ascii="宋体" w:hAnsi="宋体"/>
                <w:bCs/>
                <w:sz w:val="18"/>
                <w:szCs w:val="18"/>
              </w:rPr>
              <w:t>奇正藏药</w:t>
            </w:r>
          </w:p>
        </w:tc>
        <w:tc>
          <w:tcPr>
            <w:tcW w:w="3212" w:type="dxa"/>
            <w:vAlign w:val="bottom"/>
          </w:tcPr>
          <w:p w14:paraId="3A522968">
            <w:pPr>
              <w:spacing w:line="240" w:lineRule="exact"/>
              <w:jc w:val="center"/>
              <w:rPr>
                <w:rFonts w:ascii="宋体" w:hAnsi="宋体"/>
                <w:bCs/>
                <w:sz w:val="18"/>
                <w:szCs w:val="18"/>
              </w:rPr>
            </w:pPr>
            <w:r>
              <w:rPr>
                <w:rFonts w:ascii="宋体" w:hAnsi="宋体"/>
                <w:bCs/>
                <w:sz w:val="18"/>
                <w:szCs w:val="18"/>
              </w:rPr>
              <w:t>0.71</w:t>
            </w:r>
          </w:p>
        </w:tc>
        <w:tc>
          <w:tcPr>
            <w:tcW w:w="2900" w:type="dxa"/>
            <w:vAlign w:val="bottom"/>
          </w:tcPr>
          <w:p w14:paraId="1913696C">
            <w:pPr>
              <w:spacing w:line="240" w:lineRule="exact"/>
              <w:jc w:val="center"/>
              <w:rPr>
                <w:rFonts w:ascii="宋体" w:hAnsi="宋体"/>
                <w:bCs/>
                <w:sz w:val="18"/>
                <w:szCs w:val="18"/>
              </w:rPr>
            </w:pPr>
            <w:r>
              <w:rPr>
                <w:rFonts w:ascii="宋体" w:hAnsi="宋体"/>
                <w:bCs/>
                <w:sz w:val="18"/>
                <w:szCs w:val="18"/>
              </w:rPr>
              <w:t>99.29</w:t>
            </w:r>
          </w:p>
        </w:tc>
      </w:tr>
      <w:tr w14:paraId="0FE6B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6" w:type="dxa"/>
            <w:vAlign w:val="center"/>
          </w:tcPr>
          <w:p w14:paraId="7412097B">
            <w:pPr>
              <w:spacing w:line="240" w:lineRule="exact"/>
              <w:jc w:val="center"/>
              <w:rPr>
                <w:rFonts w:ascii="宋体" w:hAnsi="宋体"/>
                <w:bCs/>
                <w:sz w:val="18"/>
                <w:szCs w:val="18"/>
              </w:rPr>
            </w:pPr>
            <w:r>
              <w:rPr>
                <w:rFonts w:ascii="宋体" w:hAnsi="宋体"/>
                <w:bCs/>
                <w:sz w:val="18"/>
                <w:szCs w:val="18"/>
              </w:rPr>
              <w:t>平均值</w:t>
            </w:r>
          </w:p>
        </w:tc>
        <w:tc>
          <w:tcPr>
            <w:tcW w:w="3212" w:type="dxa"/>
            <w:vAlign w:val="bottom"/>
          </w:tcPr>
          <w:p w14:paraId="303FAE71">
            <w:pPr>
              <w:spacing w:line="240" w:lineRule="exact"/>
              <w:jc w:val="center"/>
              <w:rPr>
                <w:rFonts w:ascii="宋体" w:hAnsi="宋体"/>
                <w:bCs/>
                <w:sz w:val="18"/>
                <w:szCs w:val="18"/>
              </w:rPr>
            </w:pPr>
            <w:r>
              <w:rPr>
                <w:rFonts w:ascii="宋体" w:hAnsi="宋体"/>
                <w:bCs/>
                <w:sz w:val="18"/>
                <w:szCs w:val="18"/>
              </w:rPr>
              <w:t>6.21</w:t>
            </w:r>
          </w:p>
        </w:tc>
        <w:tc>
          <w:tcPr>
            <w:tcW w:w="2900" w:type="dxa"/>
            <w:vAlign w:val="bottom"/>
          </w:tcPr>
          <w:p w14:paraId="25D398D5">
            <w:pPr>
              <w:spacing w:line="240" w:lineRule="exact"/>
              <w:jc w:val="center"/>
              <w:rPr>
                <w:rFonts w:ascii="宋体" w:hAnsi="宋体"/>
                <w:bCs/>
                <w:sz w:val="18"/>
                <w:szCs w:val="18"/>
              </w:rPr>
            </w:pPr>
            <w:r>
              <w:rPr>
                <w:rFonts w:ascii="宋体" w:hAnsi="宋体"/>
                <w:bCs/>
                <w:sz w:val="18"/>
                <w:szCs w:val="18"/>
              </w:rPr>
              <w:t>93.79</w:t>
            </w:r>
          </w:p>
        </w:tc>
      </w:tr>
    </w:tbl>
    <w:p w14:paraId="2452BA1F">
      <w:pPr>
        <w:widowControl/>
        <w:spacing w:line="400" w:lineRule="exact"/>
        <w:ind w:right="-15" w:firstLine="360" w:firstLineChars="200"/>
        <w:rPr>
          <w:rFonts w:ascii="宋体" w:hAnsi="宋体"/>
          <w:kern w:val="0"/>
          <w:sz w:val="18"/>
          <w:szCs w:val="18"/>
          <w:lang w:val="zh-CN"/>
        </w:rPr>
      </w:pPr>
    </w:p>
    <w:p w14:paraId="2B72086E">
      <w:pPr>
        <w:widowControl/>
        <w:spacing w:line="400" w:lineRule="exact"/>
        <w:ind w:right="-15" w:firstLine="420" w:firstLineChars="200"/>
        <w:rPr>
          <w:rFonts w:ascii="宋体" w:hAnsi="宋体"/>
          <w:kern w:val="0"/>
          <w:szCs w:val="21"/>
          <w:lang w:val="zh-CN"/>
        </w:rPr>
      </w:pPr>
      <w:r>
        <w:rPr>
          <w:rFonts w:ascii="宋体" w:hAnsi="宋体"/>
          <w:kern w:val="0"/>
          <w:szCs w:val="21"/>
          <w:lang w:val="zh-CN"/>
        </w:rPr>
        <w:t>参照选取的</w:t>
      </w:r>
      <w:r>
        <w:rPr>
          <w:rFonts w:hint="eastAsia" w:ascii="宋体" w:hAnsi="宋体"/>
          <w:kern w:val="0"/>
          <w:szCs w:val="21"/>
        </w:rPr>
        <w:t>对比公司</w:t>
      </w:r>
      <w:r>
        <w:rPr>
          <w:rFonts w:ascii="宋体" w:hAnsi="宋体"/>
          <w:kern w:val="0"/>
          <w:szCs w:val="21"/>
          <w:lang w:val="zh-CN"/>
        </w:rPr>
        <w:t>，W</w:t>
      </w:r>
      <w:r>
        <w:rPr>
          <w:rFonts w:ascii="宋体" w:hAnsi="宋体"/>
          <w:kern w:val="0"/>
          <w:szCs w:val="21"/>
          <w:vertAlign w:val="subscript"/>
          <w:lang w:val="zh-CN"/>
        </w:rPr>
        <w:t>d</w:t>
      </w:r>
      <w:r>
        <w:rPr>
          <w:rFonts w:ascii="宋体" w:hAnsi="宋体"/>
          <w:kern w:val="0"/>
          <w:szCs w:val="21"/>
          <w:lang w:val="zh-CN"/>
        </w:rPr>
        <w:t>为6.21%，W</w:t>
      </w:r>
      <w:r>
        <w:rPr>
          <w:rFonts w:ascii="宋体" w:hAnsi="宋体"/>
          <w:kern w:val="0"/>
          <w:szCs w:val="21"/>
          <w:vertAlign w:val="subscript"/>
          <w:lang w:val="zh-CN"/>
        </w:rPr>
        <w:t>e</w:t>
      </w:r>
      <w:r>
        <w:rPr>
          <w:rFonts w:ascii="宋体" w:hAnsi="宋体"/>
          <w:kern w:val="0"/>
          <w:szCs w:val="21"/>
          <w:lang w:val="zh-CN"/>
        </w:rPr>
        <w:t>为93.79%。则</w:t>
      </w:r>
    </w:p>
    <w:p w14:paraId="204028DA">
      <w:pPr>
        <w:adjustRightInd w:val="0"/>
        <w:spacing w:line="400" w:lineRule="exact"/>
        <w:jc w:val="left"/>
        <w:textAlignment w:val="baseline"/>
        <w:rPr>
          <w:rFonts w:ascii="宋体" w:hAnsi="宋体"/>
          <w:kern w:val="0"/>
          <w:szCs w:val="21"/>
        </w:rPr>
      </w:pPr>
      <w:r>
        <w:rPr>
          <w:rFonts w:hint="eastAsia" w:ascii="宋体" w:hAnsi="宋体"/>
          <w:kern w:val="0"/>
          <w:szCs w:val="21"/>
        </w:rPr>
        <w:t xml:space="preserve">    </w:t>
      </w:r>
      <w:r>
        <w:rPr>
          <w:rFonts w:ascii="宋体" w:hAnsi="宋体"/>
          <w:kern w:val="0"/>
          <w:szCs w:val="21"/>
        </w:rPr>
        <w:t>WACC＝K</w:t>
      </w:r>
      <w:r>
        <w:rPr>
          <w:rFonts w:ascii="宋体" w:hAnsi="宋体"/>
          <w:kern w:val="0"/>
          <w:szCs w:val="21"/>
          <w:vertAlign w:val="subscript"/>
        </w:rPr>
        <w:t>e</w:t>
      </w:r>
      <w:r>
        <w:rPr>
          <w:rFonts w:ascii="宋体" w:hAnsi="宋体"/>
          <w:kern w:val="0"/>
          <w:szCs w:val="21"/>
        </w:rPr>
        <w:t>×W</w:t>
      </w:r>
      <w:r>
        <w:rPr>
          <w:rFonts w:ascii="宋体" w:hAnsi="宋体"/>
          <w:kern w:val="0"/>
          <w:szCs w:val="21"/>
          <w:vertAlign w:val="subscript"/>
        </w:rPr>
        <w:t>e</w:t>
      </w:r>
      <w:r>
        <w:rPr>
          <w:rFonts w:ascii="宋体" w:hAnsi="宋体"/>
          <w:kern w:val="0"/>
          <w:szCs w:val="21"/>
        </w:rPr>
        <w:t>+K</w:t>
      </w:r>
      <w:r>
        <w:rPr>
          <w:rFonts w:ascii="宋体" w:hAnsi="宋体"/>
          <w:kern w:val="0"/>
          <w:szCs w:val="21"/>
          <w:vertAlign w:val="subscript"/>
        </w:rPr>
        <w:t>d</w:t>
      </w:r>
      <w:r>
        <w:rPr>
          <w:rFonts w:ascii="宋体" w:hAnsi="宋体"/>
          <w:kern w:val="0"/>
          <w:szCs w:val="21"/>
        </w:rPr>
        <w:t>×(1-t)×W</w:t>
      </w:r>
      <w:r>
        <w:rPr>
          <w:rFonts w:ascii="宋体" w:hAnsi="宋体"/>
          <w:kern w:val="0"/>
          <w:szCs w:val="21"/>
          <w:vertAlign w:val="subscript"/>
        </w:rPr>
        <w:t>d</w:t>
      </w:r>
      <w:r>
        <w:rPr>
          <w:rFonts w:ascii="宋体" w:hAnsi="宋体"/>
          <w:kern w:val="0"/>
          <w:szCs w:val="21"/>
        </w:rPr>
        <w:t>＝13.46%×93.79%＋6.55%×（1-15%）×6.21%</w:t>
      </w:r>
    </w:p>
    <w:p w14:paraId="13DB09F6">
      <w:pPr>
        <w:adjustRightInd w:val="0"/>
        <w:spacing w:line="400" w:lineRule="exact"/>
        <w:ind w:firstLine="480"/>
        <w:jc w:val="left"/>
        <w:textAlignment w:val="baseline"/>
        <w:rPr>
          <w:rFonts w:ascii="宋体" w:hAnsi="宋体"/>
          <w:kern w:val="0"/>
          <w:szCs w:val="21"/>
        </w:rPr>
      </w:pP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＝12.97%</w:t>
      </w:r>
    </w:p>
    <w:p w14:paraId="6FF4FA5C">
      <w:pPr>
        <w:pStyle w:val="4"/>
        <w:spacing w:line="400" w:lineRule="exact"/>
        <w:ind w:firstLineChars="200"/>
        <w:rPr>
          <w:rFonts w:ascii="宋体" w:hAnsi="宋体" w:eastAsia="宋体"/>
          <w:sz w:val="21"/>
          <w:szCs w:val="21"/>
        </w:rPr>
      </w:pPr>
      <w:r>
        <w:rPr>
          <w:rFonts w:ascii="宋体" w:hAnsi="宋体" w:eastAsia="宋体"/>
          <w:sz w:val="21"/>
          <w:szCs w:val="21"/>
        </w:rPr>
        <w:t>本次评估采用的加权平均资本成本即折现率为12.97%，取整为13%。</w:t>
      </w:r>
    </w:p>
    <w:p w14:paraId="1293A114">
      <w:pPr>
        <w:ind w:firstLine="420" w:firstLineChars="200"/>
        <w:rPr>
          <w:rFonts w:ascii="宋体" w:hAnsi="宋体"/>
          <w:color w:val="000000"/>
          <w:kern w:val="0"/>
          <w:szCs w:val="21"/>
        </w:rPr>
      </w:pPr>
      <w:r>
        <w:rPr>
          <w:rFonts w:hint="eastAsia" w:ascii="宋体" w:hAnsi="宋体"/>
          <w:kern w:val="0"/>
          <w:szCs w:val="21"/>
        </w:rPr>
        <w:t>这里采用三家上市公司的资本结构，所以测算经营资金、有形非流动资产以及无形资产的比例关系时，需要采用上市公司的资产比例关系，根据资产评估基准日的资产负债表进行测算，三家上市公司的平均资产比例关系分别为：</w:t>
      </w:r>
    </w:p>
    <w:p w14:paraId="77E68653">
      <w:pPr>
        <w:tabs>
          <w:tab w:val="left" w:pos="1440"/>
        </w:tabs>
        <w:spacing w:line="400" w:lineRule="exact"/>
        <w:ind w:right="-17" w:firstLine="420" w:firstLineChars="200"/>
        <w:rPr>
          <w:rFonts w:ascii="宋体" w:hAnsi="宋体"/>
          <w:kern w:val="0"/>
          <w:szCs w:val="21"/>
        </w:rPr>
      </w:pPr>
      <w:r>
        <w:rPr>
          <w:rFonts w:ascii="宋体" w:hAnsi="宋体"/>
          <w:kern w:val="0"/>
          <w:szCs w:val="21"/>
        </w:rPr>
        <w:t>营运资金/全部资产=21.0%</w:t>
      </w:r>
      <w:r>
        <w:rPr>
          <w:rFonts w:hint="eastAsia" w:ascii="宋体" w:hAnsi="宋体"/>
          <w:kern w:val="0"/>
          <w:szCs w:val="21"/>
        </w:rPr>
        <w:t>；</w:t>
      </w:r>
    </w:p>
    <w:p w14:paraId="2E474661">
      <w:pPr>
        <w:tabs>
          <w:tab w:val="left" w:pos="1440"/>
        </w:tabs>
        <w:spacing w:line="400" w:lineRule="exact"/>
        <w:ind w:right="-17" w:firstLine="420" w:firstLineChars="200"/>
        <w:rPr>
          <w:rFonts w:ascii="宋体" w:hAnsi="宋体"/>
          <w:kern w:val="0"/>
          <w:szCs w:val="21"/>
        </w:rPr>
      </w:pPr>
      <w:r>
        <w:rPr>
          <w:rFonts w:ascii="宋体" w:hAnsi="宋体"/>
          <w:kern w:val="0"/>
          <w:szCs w:val="21"/>
        </w:rPr>
        <w:t>有形非流动资产/全部资产=13.1%</w:t>
      </w:r>
      <w:r>
        <w:rPr>
          <w:rFonts w:hint="eastAsia" w:ascii="宋体" w:hAnsi="宋体"/>
          <w:kern w:val="0"/>
          <w:szCs w:val="21"/>
        </w:rPr>
        <w:t>；</w:t>
      </w:r>
    </w:p>
    <w:p w14:paraId="357C0ED2">
      <w:pPr>
        <w:spacing w:line="400" w:lineRule="exact"/>
        <w:ind w:firstLine="420" w:firstLineChars="200"/>
        <w:rPr>
          <w:rFonts w:ascii="宋体" w:hAnsi="宋体"/>
          <w:szCs w:val="21"/>
        </w:rPr>
      </w:pPr>
      <w:r>
        <w:rPr>
          <w:rFonts w:ascii="宋体" w:hAnsi="宋体"/>
          <w:szCs w:val="21"/>
        </w:rPr>
        <w:t>无形资产/全部资产=65.9%</w:t>
      </w:r>
      <w:r>
        <w:rPr>
          <w:rFonts w:hint="eastAsia" w:ascii="宋体" w:hAnsi="宋体"/>
          <w:szCs w:val="21"/>
        </w:rPr>
        <w:t>；</w:t>
      </w:r>
    </w:p>
    <w:p w14:paraId="0884589E">
      <w:pPr>
        <w:spacing w:line="400" w:lineRule="exact"/>
        <w:ind w:firstLine="480"/>
        <w:rPr>
          <w:rFonts w:ascii="宋体" w:hAnsi="宋体"/>
          <w:kern w:val="0"/>
          <w:szCs w:val="21"/>
        </w:rPr>
      </w:pPr>
      <w:r>
        <w:rPr>
          <w:rFonts w:hint="eastAsia" w:ascii="宋体" w:hAnsi="宋体"/>
          <w:kern w:val="0"/>
          <w:szCs w:val="21"/>
        </w:rPr>
        <w:t>由于</w:t>
      </w:r>
      <w:r>
        <w:rPr>
          <w:rFonts w:ascii="宋体" w:hAnsi="宋体"/>
          <w:kern w:val="0"/>
          <w:szCs w:val="21"/>
        </w:rPr>
        <w:t>营运资金</w:t>
      </w:r>
      <w:r>
        <w:rPr>
          <w:rFonts w:hint="eastAsia" w:ascii="宋体" w:hAnsi="宋体"/>
          <w:kern w:val="0"/>
          <w:szCs w:val="21"/>
        </w:rPr>
        <w:t>流动性较高，风险较小，</w:t>
      </w:r>
      <w:r>
        <w:rPr>
          <w:rFonts w:ascii="宋体" w:hAnsi="宋体"/>
          <w:kern w:val="0"/>
          <w:szCs w:val="21"/>
        </w:rPr>
        <w:t>回报率R</w:t>
      </w:r>
      <w:r>
        <w:rPr>
          <w:rFonts w:ascii="宋体" w:hAnsi="宋体"/>
          <w:kern w:val="0"/>
          <w:szCs w:val="21"/>
          <w:vertAlign w:val="subscript"/>
        </w:rPr>
        <w:t>c</w:t>
      </w:r>
      <w:r>
        <w:rPr>
          <w:rFonts w:ascii="宋体" w:hAnsi="宋体"/>
          <w:kern w:val="0"/>
          <w:szCs w:val="21"/>
        </w:rPr>
        <w:t>取1年期贷款利率6%，</w:t>
      </w:r>
      <w:r>
        <w:rPr>
          <w:rFonts w:hint="eastAsia" w:ascii="宋体" w:hAnsi="宋体"/>
          <w:kern w:val="0"/>
          <w:szCs w:val="21"/>
        </w:rPr>
        <w:t>而有形非流动资产的流动性较差，风险较高，</w:t>
      </w:r>
      <w:r>
        <w:rPr>
          <w:rFonts w:ascii="宋体" w:hAnsi="宋体"/>
          <w:kern w:val="0"/>
          <w:szCs w:val="21"/>
        </w:rPr>
        <w:t>有形非流动资产回报率R</w:t>
      </w:r>
      <w:r>
        <w:rPr>
          <w:rFonts w:ascii="宋体" w:hAnsi="宋体"/>
          <w:kern w:val="0"/>
          <w:szCs w:val="21"/>
          <w:vertAlign w:val="subscript"/>
        </w:rPr>
        <w:t>f</w:t>
      </w:r>
      <w:r>
        <w:rPr>
          <w:rFonts w:ascii="宋体" w:hAnsi="宋体"/>
          <w:kern w:val="0"/>
          <w:szCs w:val="21"/>
        </w:rPr>
        <w:t>取5年期贷款利率6.55%。</w:t>
      </w:r>
    </w:p>
    <w:p w14:paraId="22C36E95">
      <w:pPr>
        <w:spacing w:line="400" w:lineRule="exact"/>
        <w:ind w:firstLine="480"/>
        <w:rPr>
          <w:rFonts w:ascii="宋体" w:hAnsi="宋体"/>
          <w:kern w:val="0"/>
          <w:szCs w:val="21"/>
        </w:rPr>
      </w:pPr>
      <w:r>
        <w:rPr>
          <w:rFonts w:ascii="宋体" w:hAnsi="宋体"/>
          <w:kern w:val="0"/>
          <w:szCs w:val="21"/>
        </w:rPr>
        <w:t>因此，无形资产折现率=（13%-21.0%</w:t>
      </w:r>
      <w:r>
        <w:rPr>
          <w:rFonts w:ascii="Arial" w:hAnsi="Arial" w:cs="Arial"/>
          <w:kern w:val="0"/>
          <w:szCs w:val="21"/>
        </w:rPr>
        <w:t>×</w:t>
      </w:r>
      <w:r>
        <w:rPr>
          <w:rFonts w:ascii="宋体" w:hAnsi="宋体"/>
          <w:kern w:val="0"/>
          <w:szCs w:val="21"/>
        </w:rPr>
        <w:t>6%-13.1%</w:t>
      </w:r>
      <w:r>
        <w:rPr>
          <w:rFonts w:ascii="Arial" w:hAnsi="Arial" w:cs="Arial"/>
          <w:kern w:val="0"/>
          <w:szCs w:val="21"/>
        </w:rPr>
        <w:t>×</w:t>
      </w:r>
      <w:r>
        <w:rPr>
          <w:rFonts w:ascii="宋体" w:hAnsi="宋体"/>
          <w:kern w:val="0"/>
          <w:szCs w:val="21"/>
        </w:rPr>
        <w:t>6.55%）/65.9%=16.51%</w:t>
      </w:r>
    </w:p>
    <w:p w14:paraId="3524BAD6">
      <w:pPr>
        <w:spacing w:line="400" w:lineRule="exact"/>
        <w:ind w:firstLine="480"/>
        <w:rPr>
          <w:rFonts w:ascii="宋体" w:hAnsi="宋体"/>
          <w:szCs w:val="21"/>
        </w:rPr>
      </w:pPr>
      <w:r>
        <w:rPr>
          <w:rFonts w:ascii="宋体" w:hAnsi="宋体"/>
          <w:kern w:val="0"/>
          <w:szCs w:val="21"/>
        </w:rPr>
        <w:t>考虑到目前盐酸林克霉素市场供大于求，对委估专利取1%的个别风险，无形资产折现率取整为17.51%，取整为18%。</w:t>
      </w:r>
    </w:p>
    <w:p w14:paraId="2D8A6054">
      <w:pPr>
        <w:autoSpaceDE w:val="0"/>
        <w:autoSpaceDN w:val="0"/>
        <w:adjustRightInd w:val="0"/>
        <w:spacing w:beforeLines="25" w:afterLines="25" w:line="300" w:lineRule="auto"/>
        <w:ind w:firstLine="420" w:firstLineChars="200"/>
        <w:rPr>
          <w:rFonts w:ascii="宋体" w:hAnsi="宋体"/>
          <w:bCs/>
          <w:szCs w:val="21"/>
        </w:rPr>
      </w:pPr>
      <w:r>
        <w:rPr>
          <w:rFonts w:hint="eastAsia" w:ascii="宋体" w:hAnsi="宋体"/>
          <w:bCs/>
          <w:szCs w:val="21"/>
        </w:rPr>
        <w:t>5.</w:t>
      </w:r>
      <w:r>
        <w:rPr>
          <w:rFonts w:ascii="宋体" w:hAnsi="宋体"/>
          <w:bCs/>
          <w:szCs w:val="21"/>
        </w:rPr>
        <w:t>评估结果</w:t>
      </w:r>
    </w:p>
    <w:p w14:paraId="2E0608E8">
      <w:pPr>
        <w:spacing w:line="400" w:lineRule="exact"/>
        <w:ind w:firstLine="420" w:firstLineChars="200"/>
        <w:rPr>
          <w:rFonts w:ascii="宋体" w:hAnsi="宋体"/>
          <w:szCs w:val="21"/>
        </w:rPr>
      </w:pPr>
      <w:r>
        <w:rPr>
          <w:rFonts w:ascii="宋体" w:hAnsi="宋体"/>
          <w:szCs w:val="21"/>
        </w:rPr>
        <w:t>上述说明中已经预测了委估无形资产未来五年的逐年净收益，</w:t>
      </w:r>
      <w:r>
        <w:rPr>
          <w:rFonts w:hint="eastAsia" w:ascii="宋体" w:hAnsi="宋体"/>
          <w:szCs w:val="21"/>
        </w:rPr>
        <w:t>五年</w:t>
      </w:r>
      <w:r>
        <w:rPr>
          <w:rFonts w:ascii="宋体" w:hAnsi="宋体"/>
          <w:szCs w:val="21"/>
        </w:rPr>
        <w:t>以后年度的净收益与第5年持平。</w:t>
      </w:r>
    </w:p>
    <w:p w14:paraId="05AC6E89">
      <w:pPr>
        <w:spacing w:line="400" w:lineRule="exact"/>
        <w:ind w:firstLine="420" w:firstLineChars="200"/>
        <w:rPr>
          <w:rFonts w:ascii="宋体" w:hAnsi="宋体"/>
          <w:szCs w:val="21"/>
        </w:rPr>
      </w:pPr>
      <w:r>
        <w:rPr>
          <w:rFonts w:ascii="宋体" w:hAnsi="宋体"/>
          <w:szCs w:val="21"/>
        </w:rPr>
        <w:t>因此，委估无形资产收益法评估结果如下：</w:t>
      </w:r>
    </w:p>
    <w:p w14:paraId="2EB32786">
      <w:pPr>
        <w:spacing w:line="400" w:lineRule="exact"/>
        <w:ind w:firstLine="420" w:firstLineChars="200"/>
        <w:rPr>
          <w:rFonts w:ascii="宋体" w:hAnsi="宋体"/>
          <w:szCs w:val="21"/>
        </w:rPr>
      </w:pPr>
    </w:p>
    <w:p w14:paraId="65129E07">
      <w:pPr>
        <w:spacing w:line="400" w:lineRule="exact"/>
        <w:ind w:firstLine="361" w:firstLineChars="200"/>
        <w:rPr>
          <w:rFonts w:ascii="宋体" w:hAnsi="宋体"/>
          <w:szCs w:val="21"/>
        </w:rPr>
      </w:pPr>
      <w:r>
        <w:rPr>
          <w:rFonts w:hint="eastAsia" w:ascii="黑体" w:hAnsi="黑体" w:eastAsia="黑体" w:cs="黑体"/>
          <w:b/>
          <w:bCs/>
          <w:sz w:val="18"/>
          <w:szCs w:val="18"/>
        </w:rPr>
        <w:t xml:space="preserve">                                表1-11    评估结果                            </w:t>
      </w:r>
      <w:r>
        <w:rPr>
          <w:rFonts w:hint="eastAsia" w:ascii="黑体" w:hAnsi="黑体" w:eastAsia="黑体" w:cs="黑体"/>
          <w:sz w:val="18"/>
          <w:szCs w:val="18"/>
        </w:rPr>
        <w:t>单位：万元</w:t>
      </w:r>
    </w:p>
    <w:tbl>
      <w:tblPr>
        <w:tblStyle w:val="8"/>
        <w:tblW w:w="8868" w:type="dxa"/>
        <w:jc w:val="center"/>
        <w:tblLayout w:type="fixed"/>
        <w:tblCellMar>
          <w:top w:w="0" w:type="dxa"/>
          <w:left w:w="108" w:type="dxa"/>
          <w:bottom w:w="0" w:type="dxa"/>
          <w:right w:w="108" w:type="dxa"/>
        </w:tblCellMar>
      </w:tblPr>
      <w:tblGrid>
        <w:gridCol w:w="1712"/>
        <w:gridCol w:w="1216"/>
        <w:gridCol w:w="15"/>
        <w:gridCol w:w="1080"/>
        <w:gridCol w:w="1499"/>
        <w:gridCol w:w="1028"/>
        <w:gridCol w:w="1028"/>
        <w:gridCol w:w="1290"/>
      </w:tblGrid>
      <w:tr w14:paraId="7E629044">
        <w:tblPrEx>
          <w:tblCellMar>
            <w:top w:w="0" w:type="dxa"/>
            <w:left w:w="108" w:type="dxa"/>
            <w:bottom w:w="0" w:type="dxa"/>
            <w:right w:w="108" w:type="dxa"/>
          </w:tblCellMar>
        </w:tblPrEx>
        <w:trPr>
          <w:trHeight w:val="283" w:hRule="atLeast"/>
          <w:jc w:val="center"/>
        </w:trPr>
        <w:tc>
          <w:tcPr>
            <w:tcW w:w="1712" w:type="dxa"/>
            <w:tcBorders>
              <w:top w:val="single" w:color="auto" w:sz="4" w:space="0"/>
              <w:left w:val="single" w:color="auto" w:sz="4" w:space="0"/>
              <w:bottom w:val="single" w:color="auto" w:sz="4" w:space="0"/>
              <w:right w:val="single" w:color="auto" w:sz="4" w:space="0"/>
            </w:tcBorders>
            <w:vAlign w:val="center"/>
          </w:tcPr>
          <w:p w14:paraId="45ADDBA3">
            <w:pPr>
              <w:spacing w:line="400" w:lineRule="exact"/>
              <w:jc w:val="center"/>
              <w:rPr>
                <w:rFonts w:ascii="宋体" w:hAnsi="宋体"/>
                <w:sz w:val="18"/>
                <w:szCs w:val="18"/>
              </w:rPr>
            </w:pPr>
            <w:r>
              <w:rPr>
                <w:rFonts w:ascii="宋体" w:hAnsi="宋体"/>
                <w:sz w:val="18"/>
                <w:szCs w:val="18"/>
              </w:rPr>
              <w:t>项目</w:t>
            </w:r>
          </w:p>
        </w:tc>
        <w:tc>
          <w:tcPr>
            <w:tcW w:w="1216" w:type="dxa"/>
            <w:tcBorders>
              <w:top w:val="single" w:color="auto" w:sz="4" w:space="0"/>
              <w:left w:val="nil"/>
              <w:bottom w:val="single" w:color="auto" w:sz="4" w:space="0"/>
              <w:right w:val="single" w:color="auto" w:sz="4" w:space="0"/>
            </w:tcBorders>
            <w:vAlign w:val="center"/>
          </w:tcPr>
          <w:p w14:paraId="76288B71">
            <w:pPr>
              <w:spacing w:line="400" w:lineRule="exact"/>
              <w:jc w:val="center"/>
              <w:rPr>
                <w:rFonts w:ascii="宋体" w:hAnsi="宋体"/>
                <w:sz w:val="18"/>
                <w:szCs w:val="18"/>
              </w:rPr>
            </w:pPr>
            <w:r>
              <w:rPr>
                <w:rFonts w:ascii="宋体" w:hAnsi="宋体"/>
                <w:sz w:val="18"/>
                <w:szCs w:val="18"/>
              </w:rPr>
              <w:t>第1年</w:t>
            </w:r>
          </w:p>
        </w:tc>
        <w:tc>
          <w:tcPr>
            <w:tcW w:w="1095" w:type="dxa"/>
            <w:gridSpan w:val="2"/>
            <w:tcBorders>
              <w:top w:val="single" w:color="auto" w:sz="4" w:space="0"/>
              <w:left w:val="nil"/>
              <w:bottom w:val="single" w:color="auto" w:sz="4" w:space="0"/>
              <w:right w:val="single" w:color="auto" w:sz="4" w:space="0"/>
            </w:tcBorders>
            <w:vAlign w:val="center"/>
          </w:tcPr>
          <w:p w14:paraId="76549FFC">
            <w:pPr>
              <w:spacing w:line="400" w:lineRule="exact"/>
              <w:jc w:val="center"/>
              <w:rPr>
                <w:rFonts w:ascii="宋体" w:hAnsi="宋体"/>
                <w:sz w:val="18"/>
                <w:szCs w:val="18"/>
              </w:rPr>
            </w:pPr>
            <w:r>
              <w:rPr>
                <w:rFonts w:ascii="宋体" w:hAnsi="宋体"/>
                <w:sz w:val="18"/>
                <w:szCs w:val="18"/>
              </w:rPr>
              <w:t>第2年</w:t>
            </w:r>
          </w:p>
        </w:tc>
        <w:tc>
          <w:tcPr>
            <w:tcW w:w="1499" w:type="dxa"/>
            <w:tcBorders>
              <w:top w:val="single" w:color="auto" w:sz="4" w:space="0"/>
              <w:left w:val="nil"/>
              <w:bottom w:val="single" w:color="auto" w:sz="4" w:space="0"/>
              <w:right w:val="single" w:color="auto" w:sz="4" w:space="0"/>
            </w:tcBorders>
            <w:vAlign w:val="center"/>
          </w:tcPr>
          <w:p w14:paraId="797BFDFB">
            <w:pPr>
              <w:spacing w:line="400" w:lineRule="exact"/>
              <w:jc w:val="center"/>
              <w:rPr>
                <w:rFonts w:ascii="宋体" w:hAnsi="宋体"/>
                <w:sz w:val="18"/>
                <w:szCs w:val="18"/>
              </w:rPr>
            </w:pPr>
            <w:r>
              <w:rPr>
                <w:rFonts w:ascii="宋体" w:hAnsi="宋体"/>
                <w:sz w:val="18"/>
                <w:szCs w:val="18"/>
              </w:rPr>
              <w:t>第3年</w:t>
            </w:r>
          </w:p>
        </w:tc>
        <w:tc>
          <w:tcPr>
            <w:tcW w:w="1028" w:type="dxa"/>
            <w:tcBorders>
              <w:top w:val="single" w:color="auto" w:sz="4" w:space="0"/>
              <w:left w:val="nil"/>
              <w:bottom w:val="single" w:color="auto" w:sz="4" w:space="0"/>
              <w:right w:val="single" w:color="auto" w:sz="4" w:space="0"/>
            </w:tcBorders>
            <w:vAlign w:val="center"/>
          </w:tcPr>
          <w:p w14:paraId="07300118">
            <w:pPr>
              <w:spacing w:line="400" w:lineRule="exact"/>
              <w:jc w:val="center"/>
              <w:rPr>
                <w:rFonts w:ascii="宋体" w:hAnsi="宋体"/>
                <w:sz w:val="18"/>
                <w:szCs w:val="18"/>
              </w:rPr>
            </w:pPr>
            <w:r>
              <w:rPr>
                <w:rFonts w:ascii="宋体" w:hAnsi="宋体"/>
                <w:sz w:val="18"/>
                <w:szCs w:val="18"/>
              </w:rPr>
              <w:t>第4年</w:t>
            </w:r>
          </w:p>
        </w:tc>
        <w:tc>
          <w:tcPr>
            <w:tcW w:w="1028" w:type="dxa"/>
            <w:tcBorders>
              <w:top w:val="single" w:color="auto" w:sz="4" w:space="0"/>
              <w:left w:val="nil"/>
              <w:bottom w:val="single" w:color="auto" w:sz="4" w:space="0"/>
              <w:right w:val="single" w:color="auto" w:sz="4" w:space="0"/>
            </w:tcBorders>
            <w:vAlign w:val="center"/>
          </w:tcPr>
          <w:p w14:paraId="232084D3">
            <w:pPr>
              <w:spacing w:line="400" w:lineRule="exact"/>
              <w:jc w:val="center"/>
              <w:rPr>
                <w:rFonts w:ascii="宋体" w:hAnsi="宋体"/>
                <w:sz w:val="18"/>
                <w:szCs w:val="18"/>
              </w:rPr>
            </w:pPr>
            <w:r>
              <w:rPr>
                <w:rFonts w:ascii="宋体" w:hAnsi="宋体"/>
                <w:sz w:val="18"/>
                <w:szCs w:val="18"/>
              </w:rPr>
              <w:t>第5年</w:t>
            </w:r>
          </w:p>
        </w:tc>
        <w:tc>
          <w:tcPr>
            <w:tcW w:w="1290" w:type="dxa"/>
            <w:tcBorders>
              <w:top w:val="single" w:color="auto" w:sz="4" w:space="0"/>
              <w:left w:val="nil"/>
              <w:bottom w:val="single" w:color="auto" w:sz="4" w:space="0"/>
              <w:right w:val="single" w:color="auto" w:sz="4" w:space="0"/>
            </w:tcBorders>
            <w:vAlign w:val="center"/>
          </w:tcPr>
          <w:p w14:paraId="6E792154">
            <w:pPr>
              <w:spacing w:line="400" w:lineRule="exact"/>
              <w:jc w:val="center"/>
              <w:rPr>
                <w:rFonts w:ascii="宋体" w:hAnsi="宋体"/>
                <w:sz w:val="18"/>
                <w:szCs w:val="18"/>
              </w:rPr>
            </w:pPr>
            <w:r>
              <w:rPr>
                <w:rFonts w:ascii="宋体" w:hAnsi="宋体"/>
                <w:sz w:val="18"/>
                <w:szCs w:val="18"/>
              </w:rPr>
              <w:t>第6-10年</w:t>
            </w:r>
          </w:p>
        </w:tc>
      </w:tr>
      <w:tr w14:paraId="2DB6CC83">
        <w:tblPrEx>
          <w:tblCellMar>
            <w:top w:w="0" w:type="dxa"/>
            <w:left w:w="108" w:type="dxa"/>
            <w:bottom w:w="0" w:type="dxa"/>
            <w:right w:w="108" w:type="dxa"/>
          </w:tblCellMar>
        </w:tblPrEx>
        <w:trPr>
          <w:trHeight w:val="283" w:hRule="atLeast"/>
          <w:jc w:val="center"/>
        </w:trPr>
        <w:tc>
          <w:tcPr>
            <w:tcW w:w="1712" w:type="dxa"/>
            <w:tcBorders>
              <w:top w:val="nil"/>
              <w:left w:val="single" w:color="auto" w:sz="4" w:space="0"/>
              <w:bottom w:val="single" w:color="auto" w:sz="4" w:space="0"/>
              <w:right w:val="single" w:color="auto" w:sz="4" w:space="0"/>
            </w:tcBorders>
            <w:vAlign w:val="center"/>
          </w:tcPr>
          <w:p w14:paraId="2DE57E0D">
            <w:pPr>
              <w:ind w:hanging="67"/>
              <w:jc w:val="center"/>
              <w:rPr>
                <w:rFonts w:ascii="宋体" w:hAnsi="宋体"/>
                <w:bCs/>
                <w:sz w:val="18"/>
                <w:szCs w:val="18"/>
              </w:rPr>
            </w:pPr>
            <w:r>
              <w:rPr>
                <w:rFonts w:ascii="宋体" w:hAnsi="宋体"/>
                <w:bCs/>
                <w:sz w:val="18"/>
                <w:szCs w:val="18"/>
              </w:rPr>
              <w:t>销售收入</w:t>
            </w:r>
          </w:p>
        </w:tc>
        <w:tc>
          <w:tcPr>
            <w:tcW w:w="1216" w:type="dxa"/>
            <w:tcBorders>
              <w:top w:val="nil"/>
              <w:left w:val="nil"/>
              <w:bottom w:val="single" w:color="auto" w:sz="4" w:space="0"/>
              <w:right w:val="single" w:color="auto" w:sz="4" w:space="0"/>
            </w:tcBorders>
            <w:vAlign w:val="center"/>
          </w:tcPr>
          <w:p w14:paraId="5DCC4E27">
            <w:pPr>
              <w:spacing w:line="400" w:lineRule="exact"/>
              <w:jc w:val="center"/>
              <w:rPr>
                <w:rFonts w:ascii="宋体" w:hAnsi="宋体"/>
                <w:sz w:val="18"/>
                <w:szCs w:val="18"/>
              </w:rPr>
            </w:pPr>
            <w:r>
              <w:rPr>
                <w:rFonts w:ascii="宋体" w:hAnsi="宋体"/>
                <w:sz w:val="18"/>
                <w:szCs w:val="18"/>
              </w:rPr>
              <w:t>9,080.22</w:t>
            </w:r>
          </w:p>
        </w:tc>
        <w:tc>
          <w:tcPr>
            <w:tcW w:w="1095" w:type="dxa"/>
            <w:gridSpan w:val="2"/>
            <w:tcBorders>
              <w:top w:val="nil"/>
              <w:left w:val="nil"/>
              <w:bottom w:val="single" w:color="auto" w:sz="4" w:space="0"/>
              <w:right w:val="single" w:color="auto" w:sz="4" w:space="0"/>
            </w:tcBorders>
            <w:vAlign w:val="center"/>
          </w:tcPr>
          <w:p w14:paraId="61DEDCB6">
            <w:pPr>
              <w:spacing w:line="400" w:lineRule="exact"/>
              <w:jc w:val="center"/>
              <w:rPr>
                <w:rFonts w:ascii="宋体" w:hAnsi="宋体"/>
                <w:sz w:val="18"/>
                <w:szCs w:val="18"/>
              </w:rPr>
            </w:pPr>
            <w:r>
              <w:rPr>
                <w:rFonts w:ascii="宋体" w:hAnsi="宋体"/>
                <w:sz w:val="18"/>
                <w:szCs w:val="18"/>
              </w:rPr>
              <w:t>9,080.22</w:t>
            </w:r>
          </w:p>
        </w:tc>
        <w:tc>
          <w:tcPr>
            <w:tcW w:w="1499" w:type="dxa"/>
            <w:tcBorders>
              <w:top w:val="nil"/>
              <w:left w:val="nil"/>
              <w:bottom w:val="single" w:color="auto" w:sz="4" w:space="0"/>
              <w:right w:val="single" w:color="auto" w:sz="4" w:space="0"/>
            </w:tcBorders>
            <w:vAlign w:val="center"/>
          </w:tcPr>
          <w:p w14:paraId="2F511293">
            <w:pPr>
              <w:spacing w:line="400" w:lineRule="exact"/>
              <w:jc w:val="center"/>
              <w:rPr>
                <w:rFonts w:ascii="宋体" w:hAnsi="宋体"/>
                <w:sz w:val="18"/>
                <w:szCs w:val="18"/>
              </w:rPr>
            </w:pPr>
            <w:r>
              <w:rPr>
                <w:rFonts w:ascii="宋体" w:hAnsi="宋体"/>
                <w:sz w:val="18"/>
                <w:szCs w:val="18"/>
              </w:rPr>
              <w:t>9,080.22</w:t>
            </w:r>
          </w:p>
        </w:tc>
        <w:tc>
          <w:tcPr>
            <w:tcW w:w="1028" w:type="dxa"/>
            <w:tcBorders>
              <w:top w:val="nil"/>
              <w:left w:val="nil"/>
              <w:bottom w:val="single" w:color="auto" w:sz="4" w:space="0"/>
              <w:right w:val="single" w:color="auto" w:sz="4" w:space="0"/>
            </w:tcBorders>
            <w:vAlign w:val="center"/>
          </w:tcPr>
          <w:p w14:paraId="4ED516F2">
            <w:pPr>
              <w:spacing w:line="400" w:lineRule="exact"/>
              <w:jc w:val="center"/>
              <w:rPr>
                <w:rFonts w:ascii="宋体" w:hAnsi="宋体"/>
                <w:sz w:val="18"/>
                <w:szCs w:val="18"/>
              </w:rPr>
            </w:pPr>
            <w:r>
              <w:rPr>
                <w:rFonts w:ascii="宋体" w:hAnsi="宋体"/>
                <w:sz w:val="18"/>
                <w:szCs w:val="18"/>
              </w:rPr>
              <w:t>9,080.22</w:t>
            </w:r>
          </w:p>
        </w:tc>
        <w:tc>
          <w:tcPr>
            <w:tcW w:w="1028" w:type="dxa"/>
            <w:tcBorders>
              <w:top w:val="nil"/>
              <w:left w:val="nil"/>
              <w:bottom w:val="single" w:color="auto" w:sz="4" w:space="0"/>
              <w:right w:val="single" w:color="auto" w:sz="4" w:space="0"/>
            </w:tcBorders>
            <w:vAlign w:val="center"/>
          </w:tcPr>
          <w:p w14:paraId="7D5CD9F7">
            <w:pPr>
              <w:spacing w:line="400" w:lineRule="exact"/>
              <w:jc w:val="center"/>
              <w:rPr>
                <w:rFonts w:ascii="宋体" w:hAnsi="宋体"/>
                <w:sz w:val="18"/>
                <w:szCs w:val="18"/>
              </w:rPr>
            </w:pPr>
            <w:r>
              <w:rPr>
                <w:rFonts w:ascii="宋体" w:hAnsi="宋体"/>
                <w:sz w:val="18"/>
                <w:szCs w:val="18"/>
              </w:rPr>
              <w:t>9,080.22</w:t>
            </w:r>
          </w:p>
        </w:tc>
        <w:tc>
          <w:tcPr>
            <w:tcW w:w="1290" w:type="dxa"/>
            <w:tcBorders>
              <w:top w:val="nil"/>
              <w:left w:val="nil"/>
              <w:bottom w:val="single" w:color="auto" w:sz="4" w:space="0"/>
              <w:right w:val="single" w:color="auto" w:sz="4" w:space="0"/>
            </w:tcBorders>
            <w:vAlign w:val="center"/>
          </w:tcPr>
          <w:p w14:paraId="0A91E420">
            <w:pPr>
              <w:spacing w:line="400" w:lineRule="exact"/>
              <w:jc w:val="center"/>
              <w:rPr>
                <w:rFonts w:ascii="宋体" w:hAnsi="宋体"/>
                <w:sz w:val="18"/>
                <w:szCs w:val="18"/>
              </w:rPr>
            </w:pPr>
            <w:r>
              <w:rPr>
                <w:rFonts w:ascii="宋体" w:hAnsi="宋体"/>
                <w:sz w:val="18"/>
                <w:szCs w:val="18"/>
              </w:rPr>
              <w:t>9,080.22</w:t>
            </w:r>
          </w:p>
        </w:tc>
      </w:tr>
      <w:tr w14:paraId="4EF5A3F7">
        <w:tblPrEx>
          <w:tblCellMar>
            <w:top w:w="0" w:type="dxa"/>
            <w:left w:w="108" w:type="dxa"/>
            <w:bottom w:w="0" w:type="dxa"/>
            <w:right w:w="108" w:type="dxa"/>
          </w:tblCellMar>
        </w:tblPrEx>
        <w:trPr>
          <w:trHeight w:val="283" w:hRule="atLeast"/>
          <w:jc w:val="center"/>
        </w:trPr>
        <w:tc>
          <w:tcPr>
            <w:tcW w:w="1712" w:type="dxa"/>
            <w:tcBorders>
              <w:top w:val="nil"/>
              <w:left w:val="single" w:color="auto" w:sz="4" w:space="0"/>
              <w:bottom w:val="single" w:color="auto" w:sz="4" w:space="0"/>
              <w:right w:val="single" w:color="auto" w:sz="4" w:space="0"/>
            </w:tcBorders>
            <w:vAlign w:val="center"/>
          </w:tcPr>
          <w:p w14:paraId="583075B8">
            <w:pPr>
              <w:ind w:hanging="67"/>
              <w:jc w:val="center"/>
              <w:rPr>
                <w:rFonts w:ascii="宋体" w:hAnsi="宋体"/>
                <w:bCs/>
                <w:sz w:val="18"/>
                <w:szCs w:val="18"/>
              </w:rPr>
            </w:pPr>
            <w:r>
              <w:rPr>
                <w:rFonts w:ascii="宋体" w:hAnsi="宋体"/>
                <w:bCs/>
                <w:sz w:val="18"/>
                <w:szCs w:val="18"/>
              </w:rPr>
              <w:t>销售收入净分成率</w:t>
            </w:r>
          </w:p>
        </w:tc>
        <w:tc>
          <w:tcPr>
            <w:tcW w:w="7156" w:type="dxa"/>
            <w:gridSpan w:val="7"/>
            <w:tcBorders>
              <w:top w:val="nil"/>
              <w:left w:val="nil"/>
              <w:bottom w:val="single" w:color="auto" w:sz="4" w:space="0"/>
              <w:right w:val="single" w:color="auto" w:sz="4" w:space="0"/>
            </w:tcBorders>
            <w:vAlign w:val="center"/>
          </w:tcPr>
          <w:p w14:paraId="3B81E6CC">
            <w:pPr>
              <w:spacing w:line="400" w:lineRule="exact"/>
              <w:jc w:val="center"/>
              <w:rPr>
                <w:rFonts w:ascii="宋体" w:hAnsi="宋体"/>
                <w:sz w:val="18"/>
                <w:szCs w:val="18"/>
              </w:rPr>
            </w:pPr>
            <w:r>
              <w:rPr>
                <w:rFonts w:ascii="宋体" w:hAnsi="宋体"/>
                <w:sz w:val="18"/>
                <w:szCs w:val="18"/>
              </w:rPr>
              <w:t>0.4%</w:t>
            </w:r>
          </w:p>
        </w:tc>
      </w:tr>
      <w:tr w14:paraId="5E957A12">
        <w:tblPrEx>
          <w:tblCellMar>
            <w:top w:w="0" w:type="dxa"/>
            <w:left w:w="108" w:type="dxa"/>
            <w:bottom w:w="0" w:type="dxa"/>
            <w:right w:w="108" w:type="dxa"/>
          </w:tblCellMar>
        </w:tblPrEx>
        <w:trPr>
          <w:trHeight w:val="283" w:hRule="atLeast"/>
          <w:jc w:val="center"/>
        </w:trPr>
        <w:tc>
          <w:tcPr>
            <w:tcW w:w="1712" w:type="dxa"/>
            <w:tcBorders>
              <w:top w:val="nil"/>
              <w:left w:val="single" w:color="auto" w:sz="4" w:space="0"/>
              <w:bottom w:val="single" w:color="auto" w:sz="4" w:space="0"/>
              <w:right w:val="single" w:color="auto" w:sz="4" w:space="0"/>
            </w:tcBorders>
            <w:vAlign w:val="center"/>
          </w:tcPr>
          <w:p w14:paraId="1108C392">
            <w:pPr>
              <w:ind w:hanging="67"/>
              <w:jc w:val="center"/>
              <w:rPr>
                <w:rFonts w:ascii="宋体" w:hAnsi="宋体"/>
                <w:bCs/>
                <w:sz w:val="18"/>
                <w:szCs w:val="18"/>
              </w:rPr>
            </w:pPr>
            <w:r>
              <w:rPr>
                <w:rFonts w:ascii="宋体" w:hAnsi="宋体"/>
                <w:bCs/>
                <w:sz w:val="18"/>
                <w:szCs w:val="18"/>
              </w:rPr>
              <w:t>分成后净收益</w:t>
            </w:r>
          </w:p>
        </w:tc>
        <w:tc>
          <w:tcPr>
            <w:tcW w:w="1216" w:type="dxa"/>
            <w:tcBorders>
              <w:top w:val="nil"/>
              <w:left w:val="nil"/>
              <w:bottom w:val="single" w:color="auto" w:sz="4" w:space="0"/>
              <w:right w:val="single" w:color="auto" w:sz="4" w:space="0"/>
            </w:tcBorders>
            <w:vAlign w:val="center"/>
          </w:tcPr>
          <w:p w14:paraId="120FC0FA">
            <w:pPr>
              <w:spacing w:line="400" w:lineRule="exact"/>
              <w:jc w:val="center"/>
              <w:rPr>
                <w:rFonts w:ascii="宋体" w:hAnsi="宋体"/>
                <w:sz w:val="18"/>
                <w:szCs w:val="18"/>
              </w:rPr>
            </w:pPr>
            <w:r>
              <w:rPr>
                <w:rFonts w:ascii="宋体" w:hAnsi="宋体"/>
                <w:sz w:val="18"/>
                <w:szCs w:val="18"/>
              </w:rPr>
              <w:t>36.32</w:t>
            </w:r>
          </w:p>
        </w:tc>
        <w:tc>
          <w:tcPr>
            <w:tcW w:w="1095" w:type="dxa"/>
            <w:gridSpan w:val="2"/>
            <w:tcBorders>
              <w:top w:val="nil"/>
              <w:left w:val="nil"/>
              <w:bottom w:val="single" w:color="auto" w:sz="4" w:space="0"/>
              <w:right w:val="single" w:color="auto" w:sz="4" w:space="0"/>
            </w:tcBorders>
            <w:vAlign w:val="center"/>
          </w:tcPr>
          <w:p w14:paraId="791F2F38">
            <w:pPr>
              <w:spacing w:line="400" w:lineRule="exact"/>
              <w:jc w:val="center"/>
              <w:rPr>
                <w:rFonts w:ascii="宋体" w:hAnsi="宋体"/>
                <w:sz w:val="18"/>
                <w:szCs w:val="18"/>
              </w:rPr>
            </w:pPr>
            <w:r>
              <w:rPr>
                <w:rFonts w:ascii="宋体" w:hAnsi="宋体"/>
                <w:sz w:val="18"/>
                <w:szCs w:val="18"/>
              </w:rPr>
              <w:t>36.32</w:t>
            </w:r>
          </w:p>
        </w:tc>
        <w:tc>
          <w:tcPr>
            <w:tcW w:w="1499" w:type="dxa"/>
            <w:tcBorders>
              <w:top w:val="nil"/>
              <w:left w:val="nil"/>
              <w:bottom w:val="single" w:color="auto" w:sz="4" w:space="0"/>
              <w:right w:val="single" w:color="auto" w:sz="4" w:space="0"/>
            </w:tcBorders>
            <w:vAlign w:val="center"/>
          </w:tcPr>
          <w:p w14:paraId="3947FBD2">
            <w:pPr>
              <w:spacing w:line="400" w:lineRule="exact"/>
              <w:jc w:val="center"/>
              <w:rPr>
                <w:rFonts w:ascii="宋体" w:hAnsi="宋体"/>
                <w:sz w:val="18"/>
                <w:szCs w:val="18"/>
              </w:rPr>
            </w:pPr>
            <w:r>
              <w:rPr>
                <w:rFonts w:ascii="宋体" w:hAnsi="宋体"/>
                <w:sz w:val="18"/>
                <w:szCs w:val="18"/>
              </w:rPr>
              <w:t>36.32</w:t>
            </w:r>
          </w:p>
        </w:tc>
        <w:tc>
          <w:tcPr>
            <w:tcW w:w="1028" w:type="dxa"/>
            <w:tcBorders>
              <w:top w:val="nil"/>
              <w:left w:val="nil"/>
              <w:bottom w:val="single" w:color="auto" w:sz="4" w:space="0"/>
              <w:right w:val="single" w:color="auto" w:sz="4" w:space="0"/>
            </w:tcBorders>
            <w:vAlign w:val="center"/>
          </w:tcPr>
          <w:p w14:paraId="679F78A3">
            <w:pPr>
              <w:spacing w:line="400" w:lineRule="exact"/>
              <w:jc w:val="center"/>
              <w:rPr>
                <w:rFonts w:ascii="宋体" w:hAnsi="宋体"/>
                <w:sz w:val="18"/>
                <w:szCs w:val="18"/>
              </w:rPr>
            </w:pPr>
            <w:r>
              <w:rPr>
                <w:rFonts w:ascii="宋体" w:hAnsi="宋体"/>
                <w:sz w:val="18"/>
                <w:szCs w:val="18"/>
              </w:rPr>
              <w:t>36.32</w:t>
            </w:r>
          </w:p>
        </w:tc>
        <w:tc>
          <w:tcPr>
            <w:tcW w:w="1028" w:type="dxa"/>
            <w:tcBorders>
              <w:top w:val="nil"/>
              <w:left w:val="nil"/>
              <w:bottom w:val="single" w:color="auto" w:sz="4" w:space="0"/>
              <w:right w:val="single" w:color="auto" w:sz="4" w:space="0"/>
            </w:tcBorders>
            <w:vAlign w:val="center"/>
          </w:tcPr>
          <w:p w14:paraId="6B27E7BE">
            <w:pPr>
              <w:spacing w:line="400" w:lineRule="exact"/>
              <w:jc w:val="center"/>
              <w:rPr>
                <w:rFonts w:ascii="宋体" w:hAnsi="宋体"/>
                <w:sz w:val="18"/>
                <w:szCs w:val="18"/>
              </w:rPr>
            </w:pPr>
            <w:r>
              <w:rPr>
                <w:rFonts w:ascii="宋体" w:hAnsi="宋体"/>
                <w:sz w:val="18"/>
                <w:szCs w:val="18"/>
              </w:rPr>
              <w:t>36.32</w:t>
            </w:r>
          </w:p>
        </w:tc>
        <w:tc>
          <w:tcPr>
            <w:tcW w:w="1290" w:type="dxa"/>
            <w:tcBorders>
              <w:top w:val="nil"/>
              <w:left w:val="nil"/>
              <w:bottom w:val="single" w:color="auto" w:sz="4" w:space="0"/>
              <w:right w:val="single" w:color="auto" w:sz="4" w:space="0"/>
            </w:tcBorders>
            <w:vAlign w:val="center"/>
          </w:tcPr>
          <w:p w14:paraId="41C4D88C">
            <w:pPr>
              <w:spacing w:line="400" w:lineRule="exact"/>
              <w:jc w:val="center"/>
              <w:rPr>
                <w:rFonts w:ascii="宋体" w:hAnsi="宋体"/>
                <w:sz w:val="18"/>
                <w:szCs w:val="18"/>
              </w:rPr>
            </w:pPr>
            <w:r>
              <w:rPr>
                <w:rFonts w:ascii="宋体" w:hAnsi="宋体"/>
                <w:sz w:val="18"/>
                <w:szCs w:val="18"/>
              </w:rPr>
              <w:t>36.32</w:t>
            </w:r>
          </w:p>
        </w:tc>
      </w:tr>
      <w:tr w14:paraId="14F6166C">
        <w:tblPrEx>
          <w:tblCellMar>
            <w:top w:w="0" w:type="dxa"/>
            <w:left w:w="108" w:type="dxa"/>
            <w:bottom w:w="0" w:type="dxa"/>
            <w:right w:w="108" w:type="dxa"/>
          </w:tblCellMar>
        </w:tblPrEx>
        <w:trPr>
          <w:trHeight w:val="283" w:hRule="atLeast"/>
          <w:jc w:val="center"/>
        </w:trPr>
        <w:tc>
          <w:tcPr>
            <w:tcW w:w="1712" w:type="dxa"/>
            <w:tcBorders>
              <w:top w:val="nil"/>
              <w:left w:val="single" w:color="auto" w:sz="4" w:space="0"/>
              <w:bottom w:val="single" w:color="auto" w:sz="4" w:space="0"/>
              <w:right w:val="single" w:color="auto" w:sz="4" w:space="0"/>
            </w:tcBorders>
            <w:vAlign w:val="center"/>
          </w:tcPr>
          <w:p w14:paraId="3C45F725">
            <w:pPr>
              <w:ind w:hanging="67"/>
              <w:jc w:val="center"/>
              <w:rPr>
                <w:rFonts w:ascii="宋体" w:hAnsi="宋体"/>
                <w:bCs/>
                <w:sz w:val="18"/>
                <w:szCs w:val="18"/>
              </w:rPr>
            </w:pPr>
            <w:r>
              <w:rPr>
                <w:rFonts w:ascii="宋体" w:hAnsi="宋体"/>
                <w:bCs/>
                <w:sz w:val="18"/>
                <w:szCs w:val="18"/>
              </w:rPr>
              <w:t>折现率</w:t>
            </w:r>
          </w:p>
        </w:tc>
        <w:tc>
          <w:tcPr>
            <w:tcW w:w="7156" w:type="dxa"/>
            <w:gridSpan w:val="7"/>
            <w:tcBorders>
              <w:top w:val="nil"/>
              <w:left w:val="nil"/>
              <w:bottom w:val="single" w:color="auto" w:sz="4" w:space="0"/>
              <w:right w:val="single" w:color="auto" w:sz="4" w:space="0"/>
            </w:tcBorders>
            <w:vAlign w:val="center"/>
          </w:tcPr>
          <w:p w14:paraId="1ABA07B9">
            <w:pPr>
              <w:spacing w:line="400" w:lineRule="exact"/>
              <w:jc w:val="center"/>
              <w:rPr>
                <w:rFonts w:ascii="宋体" w:hAnsi="宋体"/>
                <w:sz w:val="18"/>
                <w:szCs w:val="18"/>
              </w:rPr>
            </w:pPr>
            <w:r>
              <w:rPr>
                <w:rFonts w:ascii="宋体" w:hAnsi="宋体"/>
                <w:sz w:val="18"/>
                <w:szCs w:val="18"/>
              </w:rPr>
              <w:t>18%</w:t>
            </w:r>
          </w:p>
        </w:tc>
      </w:tr>
      <w:tr w14:paraId="7EBD8BE6">
        <w:tblPrEx>
          <w:tblCellMar>
            <w:top w:w="0" w:type="dxa"/>
            <w:left w:w="108" w:type="dxa"/>
            <w:bottom w:w="0" w:type="dxa"/>
            <w:right w:w="108" w:type="dxa"/>
          </w:tblCellMar>
        </w:tblPrEx>
        <w:trPr>
          <w:trHeight w:val="283" w:hRule="atLeast"/>
          <w:jc w:val="center"/>
        </w:trPr>
        <w:tc>
          <w:tcPr>
            <w:tcW w:w="1712" w:type="dxa"/>
            <w:tcBorders>
              <w:top w:val="single" w:color="auto" w:sz="4" w:space="0"/>
              <w:left w:val="single" w:color="auto" w:sz="4" w:space="0"/>
              <w:bottom w:val="single" w:color="auto" w:sz="4" w:space="0"/>
              <w:right w:val="single" w:color="auto" w:sz="4" w:space="0"/>
            </w:tcBorders>
            <w:vAlign w:val="center"/>
          </w:tcPr>
          <w:p w14:paraId="7A96CB01">
            <w:pPr>
              <w:ind w:hanging="67"/>
              <w:jc w:val="center"/>
              <w:rPr>
                <w:rFonts w:ascii="宋体" w:hAnsi="宋体"/>
                <w:bCs/>
                <w:sz w:val="18"/>
                <w:szCs w:val="18"/>
              </w:rPr>
            </w:pPr>
            <w:r>
              <w:rPr>
                <w:rFonts w:ascii="宋体" w:hAnsi="宋体"/>
                <w:bCs/>
                <w:sz w:val="18"/>
                <w:szCs w:val="18"/>
              </w:rPr>
              <w:t>折现系数</w:t>
            </w:r>
          </w:p>
        </w:tc>
        <w:tc>
          <w:tcPr>
            <w:tcW w:w="1231" w:type="dxa"/>
            <w:gridSpan w:val="2"/>
            <w:tcBorders>
              <w:top w:val="single" w:color="auto" w:sz="4" w:space="0"/>
              <w:left w:val="nil"/>
              <w:bottom w:val="single" w:color="auto" w:sz="4" w:space="0"/>
              <w:right w:val="single" w:color="auto" w:sz="4" w:space="0"/>
            </w:tcBorders>
            <w:vAlign w:val="center"/>
          </w:tcPr>
          <w:p w14:paraId="45E0312B">
            <w:pPr>
              <w:spacing w:line="400" w:lineRule="exact"/>
              <w:jc w:val="center"/>
              <w:rPr>
                <w:rFonts w:ascii="宋体" w:hAnsi="宋体"/>
                <w:sz w:val="18"/>
                <w:szCs w:val="18"/>
              </w:rPr>
            </w:pPr>
            <w:r>
              <w:rPr>
                <w:rFonts w:ascii="宋体" w:hAnsi="宋体"/>
                <w:sz w:val="18"/>
                <w:szCs w:val="18"/>
              </w:rPr>
              <w:t>0.8475</w:t>
            </w:r>
          </w:p>
        </w:tc>
        <w:tc>
          <w:tcPr>
            <w:tcW w:w="1080" w:type="dxa"/>
            <w:tcBorders>
              <w:top w:val="single" w:color="auto" w:sz="4" w:space="0"/>
              <w:left w:val="nil"/>
              <w:bottom w:val="single" w:color="auto" w:sz="4" w:space="0"/>
              <w:right w:val="single" w:color="auto" w:sz="4" w:space="0"/>
            </w:tcBorders>
            <w:vAlign w:val="center"/>
          </w:tcPr>
          <w:p w14:paraId="1B002A88">
            <w:pPr>
              <w:spacing w:line="400" w:lineRule="exact"/>
              <w:jc w:val="center"/>
              <w:rPr>
                <w:rFonts w:ascii="宋体" w:hAnsi="宋体"/>
                <w:sz w:val="18"/>
                <w:szCs w:val="18"/>
              </w:rPr>
            </w:pPr>
            <w:r>
              <w:rPr>
                <w:rFonts w:ascii="宋体" w:hAnsi="宋体"/>
                <w:sz w:val="18"/>
                <w:szCs w:val="18"/>
              </w:rPr>
              <w:t>0.7182</w:t>
            </w:r>
          </w:p>
        </w:tc>
        <w:tc>
          <w:tcPr>
            <w:tcW w:w="1499" w:type="dxa"/>
            <w:tcBorders>
              <w:top w:val="single" w:color="auto" w:sz="4" w:space="0"/>
              <w:left w:val="nil"/>
              <w:bottom w:val="single" w:color="auto" w:sz="4" w:space="0"/>
              <w:right w:val="single" w:color="auto" w:sz="4" w:space="0"/>
            </w:tcBorders>
            <w:vAlign w:val="center"/>
          </w:tcPr>
          <w:p w14:paraId="794DFD1D">
            <w:pPr>
              <w:spacing w:line="400" w:lineRule="exact"/>
              <w:jc w:val="center"/>
              <w:rPr>
                <w:rFonts w:ascii="宋体" w:hAnsi="宋体"/>
                <w:sz w:val="18"/>
                <w:szCs w:val="18"/>
              </w:rPr>
            </w:pPr>
            <w:r>
              <w:rPr>
                <w:rFonts w:ascii="宋体" w:hAnsi="宋体"/>
                <w:sz w:val="18"/>
                <w:szCs w:val="18"/>
              </w:rPr>
              <w:t>0.6086</w:t>
            </w:r>
          </w:p>
        </w:tc>
        <w:tc>
          <w:tcPr>
            <w:tcW w:w="1028" w:type="dxa"/>
            <w:tcBorders>
              <w:top w:val="single" w:color="auto" w:sz="4" w:space="0"/>
              <w:left w:val="nil"/>
              <w:bottom w:val="single" w:color="auto" w:sz="4" w:space="0"/>
              <w:right w:val="single" w:color="auto" w:sz="4" w:space="0"/>
            </w:tcBorders>
            <w:vAlign w:val="center"/>
          </w:tcPr>
          <w:p w14:paraId="1F0200EF">
            <w:pPr>
              <w:spacing w:line="400" w:lineRule="exact"/>
              <w:jc w:val="center"/>
              <w:rPr>
                <w:rFonts w:ascii="宋体" w:hAnsi="宋体"/>
                <w:sz w:val="18"/>
                <w:szCs w:val="18"/>
              </w:rPr>
            </w:pPr>
            <w:r>
              <w:rPr>
                <w:rFonts w:ascii="宋体" w:hAnsi="宋体"/>
                <w:sz w:val="18"/>
                <w:szCs w:val="18"/>
              </w:rPr>
              <w:t>0.5158</w:t>
            </w:r>
          </w:p>
        </w:tc>
        <w:tc>
          <w:tcPr>
            <w:tcW w:w="1028" w:type="dxa"/>
            <w:tcBorders>
              <w:top w:val="single" w:color="auto" w:sz="4" w:space="0"/>
              <w:left w:val="nil"/>
              <w:bottom w:val="single" w:color="auto" w:sz="4" w:space="0"/>
              <w:right w:val="single" w:color="auto" w:sz="4" w:space="0"/>
            </w:tcBorders>
            <w:vAlign w:val="center"/>
          </w:tcPr>
          <w:p w14:paraId="7FD95883">
            <w:pPr>
              <w:spacing w:line="400" w:lineRule="exact"/>
              <w:jc w:val="center"/>
              <w:rPr>
                <w:rFonts w:ascii="宋体" w:hAnsi="宋体"/>
                <w:sz w:val="18"/>
                <w:szCs w:val="18"/>
              </w:rPr>
            </w:pPr>
            <w:r>
              <w:rPr>
                <w:rFonts w:ascii="宋体" w:hAnsi="宋体"/>
                <w:sz w:val="18"/>
                <w:szCs w:val="18"/>
              </w:rPr>
              <w:t>0.4371</w:t>
            </w:r>
          </w:p>
        </w:tc>
        <w:tc>
          <w:tcPr>
            <w:tcW w:w="1290" w:type="dxa"/>
            <w:tcBorders>
              <w:top w:val="single" w:color="auto" w:sz="4" w:space="0"/>
              <w:left w:val="nil"/>
              <w:bottom w:val="single" w:color="auto" w:sz="4" w:space="0"/>
              <w:right w:val="single" w:color="auto" w:sz="4" w:space="0"/>
            </w:tcBorders>
            <w:vAlign w:val="center"/>
          </w:tcPr>
          <w:p w14:paraId="0D70315D">
            <w:pPr>
              <w:spacing w:line="400" w:lineRule="exact"/>
              <w:jc w:val="center"/>
              <w:rPr>
                <w:rFonts w:ascii="宋体" w:hAnsi="宋体"/>
                <w:sz w:val="18"/>
                <w:szCs w:val="18"/>
              </w:rPr>
            </w:pPr>
            <w:r>
              <w:rPr>
                <w:rFonts w:ascii="宋体" w:hAnsi="宋体"/>
                <w:sz w:val="18"/>
                <w:szCs w:val="18"/>
              </w:rPr>
              <w:t>1.3669</w:t>
            </w:r>
          </w:p>
        </w:tc>
      </w:tr>
      <w:tr w14:paraId="0902DE92">
        <w:tblPrEx>
          <w:tblCellMar>
            <w:top w:w="0" w:type="dxa"/>
            <w:left w:w="108" w:type="dxa"/>
            <w:bottom w:w="0" w:type="dxa"/>
            <w:right w:w="108" w:type="dxa"/>
          </w:tblCellMar>
        </w:tblPrEx>
        <w:trPr>
          <w:trHeight w:val="283" w:hRule="atLeast"/>
          <w:jc w:val="center"/>
        </w:trPr>
        <w:tc>
          <w:tcPr>
            <w:tcW w:w="1712" w:type="dxa"/>
            <w:tcBorders>
              <w:top w:val="single" w:color="auto" w:sz="4" w:space="0"/>
              <w:left w:val="single" w:color="auto" w:sz="4" w:space="0"/>
              <w:bottom w:val="single" w:color="auto" w:sz="4" w:space="0"/>
              <w:right w:val="single" w:color="auto" w:sz="4" w:space="0"/>
            </w:tcBorders>
            <w:vAlign w:val="center"/>
          </w:tcPr>
          <w:p w14:paraId="4899F3F3">
            <w:pPr>
              <w:ind w:hanging="67"/>
              <w:jc w:val="center"/>
              <w:rPr>
                <w:rFonts w:ascii="宋体" w:hAnsi="宋体"/>
                <w:bCs/>
                <w:sz w:val="18"/>
                <w:szCs w:val="18"/>
              </w:rPr>
            </w:pPr>
            <w:r>
              <w:rPr>
                <w:rFonts w:ascii="宋体" w:hAnsi="宋体"/>
                <w:bCs/>
                <w:sz w:val="18"/>
                <w:szCs w:val="18"/>
              </w:rPr>
              <w:t>分成后净收益现值</w:t>
            </w:r>
          </w:p>
        </w:tc>
        <w:tc>
          <w:tcPr>
            <w:tcW w:w="1231" w:type="dxa"/>
            <w:gridSpan w:val="2"/>
            <w:tcBorders>
              <w:top w:val="single" w:color="auto" w:sz="4" w:space="0"/>
              <w:left w:val="nil"/>
              <w:bottom w:val="single" w:color="auto" w:sz="4" w:space="0"/>
              <w:right w:val="single" w:color="auto" w:sz="4" w:space="0"/>
            </w:tcBorders>
            <w:vAlign w:val="center"/>
          </w:tcPr>
          <w:p w14:paraId="572DF24A">
            <w:pPr>
              <w:spacing w:line="400" w:lineRule="exact"/>
              <w:jc w:val="center"/>
              <w:rPr>
                <w:rFonts w:ascii="宋体" w:hAnsi="宋体"/>
                <w:sz w:val="18"/>
                <w:szCs w:val="18"/>
              </w:rPr>
            </w:pPr>
            <w:r>
              <w:rPr>
                <w:rFonts w:ascii="宋体" w:hAnsi="宋体"/>
                <w:sz w:val="18"/>
                <w:szCs w:val="18"/>
              </w:rPr>
              <w:t>30.78</w:t>
            </w:r>
          </w:p>
        </w:tc>
        <w:tc>
          <w:tcPr>
            <w:tcW w:w="1080" w:type="dxa"/>
            <w:tcBorders>
              <w:top w:val="single" w:color="auto" w:sz="4" w:space="0"/>
              <w:left w:val="nil"/>
              <w:bottom w:val="single" w:color="auto" w:sz="4" w:space="0"/>
              <w:right w:val="single" w:color="auto" w:sz="4" w:space="0"/>
            </w:tcBorders>
            <w:vAlign w:val="center"/>
          </w:tcPr>
          <w:p w14:paraId="759A93C5">
            <w:pPr>
              <w:spacing w:line="400" w:lineRule="exact"/>
              <w:jc w:val="center"/>
              <w:rPr>
                <w:rFonts w:ascii="宋体" w:hAnsi="宋体"/>
                <w:sz w:val="18"/>
                <w:szCs w:val="18"/>
              </w:rPr>
            </w:pPr>
            <w:r>
              <w:rPr>
                <w:rFonts w:ascii="宋体" w:hAnsi="宋体"/>
                <w:sz w:val="18"/>
                <w:szCs w:val="18"/>
              </w:rPr>
              <w:t>26.09</w:t>
            </w:r>
          </w:p>
        </w:tc>
        <w:tc>
          <w:tcPr>
            <w:tcW w:w="1499" w:type="dxa"/>
            <w:tcBorders>
              <w:top w:val="single" w:color="auto" w:sz="4" w:space="0"/>
              <w:left w:val="nil"/>
              <w:bottom w:val="single" w:color="auto" w:sz="4" w:space="0"/>
              <w:right w:val="single" w:color="auto" w:sz="4" w:space="0"/>
            </w:tcBorders>
            <w:vAlign w:val="center"/>
          </w:tcPr>
          <w:p w14:paraId="3910C2E7">
            <w:pPr>
              <w:spacing w:line="400" w:lineRule="exact"/>
              <w:jc w:val="center"/>
              <w:rPr>
                <w:rFonts w:ascii="宋体" w:hAnsi="宋体"/>
                <w:sz w:val="18"/>
                <w:szCs w:val="18"/>
              </w:rPr>
            </w:pPr>
            <w:r>
              <w:rPr>
                <w:rFonts w:ascii="宋体" w:hAnsi="宋体"/>
                <w:sz w:val="18"/>
                <w:szCs w:val="18"/>
              </w:rPr>
              <w:t>22.10</w:t>
            </w:r>
          </w:p>
        </w:tc>
        <w:tc>
          <w:tcPr>
            <w:tcW w:w="1028" w:type="dxa"/>
            <w:tcBorders>
              <w:top w:val="single" w:color="auto" w:sz="4" w:space="0"/>
              <w:left w:val="nil"/>
              <w:bottom w:val="single" w:color="auto" w:sz="4" w:space="0"/>
              <w:right w:val="single" w:color="auto" w:sz="4" w:space="0"/>
            </w:tcBorders>
            <w:vAlign w:val="center"/>
          </w:tcPr>
          <w:p w14:paraId="4276E5BA">
            <w:pPr>
              <w:spacing w:line="400" w:lineRule="exact"/>
              <w:jc w:val="center"/>
              <w:rPr>
                <w:rFonts w:ascii="宋体" w:hAnsi="宋体"/>
                <w:sz w:val="18"/>
                <w:szCs w:val="18"/>
              </w:rPr>
            </w:pPr>
            <w:r>
              <w:rPr>
                <w:rFonts w:ascii="宋体" w:hAnsi="宋体"/>
                <w:sz w:val="18"/>
                <w:szCs w:val="18"/>
              </w:rPr>
              <w:t>18.73</w:t>
            </w:r>
          </w:p>
        </w:tc>
        <w:tc>
          <w:tcPr>
            <w:tcW w:w="1028" w:type="dxa"/>
            <w:tcBorders>
              <w:top w:val="single" w:color="auto" w:sz="4" w:space="0"/>
              <w:left w:val="nil"/>
              <w:bottom w:val="single" w:color="auto" w:sz="4" w:space="0"/>
              <w:right w:val="single" w:color="auto" w:sz="4" w:space="0"/>
            </w:tcBorders>
            <w:vAlign w:val="center"/>
          </w:tcPr>
          <w:p w14:paraId="20804F2D">
            <w:pPr>
              <w:spacing w:line="400" w:lineRule="exact"/>
              <w:jc w:val="center"/>
              <w:rPr>
                <w:rFonts w:ascii="宋体" w:hAnsi="宋体"/>
                <w:sz w:val="18"/>
                <w:szCs w:val="18"/>
              </w:rPr>
            </w:pPr>
            <w:r>
              <w:rPr>
                <w:rFonts w:ascii="宋体" w:hAnsi="宋体"/>
                <w:sz w:val="18"/>
                <w:szCs w:val="18"/>
              </w:rPr>
              <w:t>15.88</w:t>
            </w:r>
          </w:p>
        </w:tc>
        <w:tc>
          <w:tcPr>
            <w:tcW w:w="1290" w:type="dxa"/>
            <w:tcBorders>
              <w:top w:val="single" w:color="auto" w:sz="4" w:space="0"/>
              <w:left w:val="nil"/>
              <w:bottom w:val="single" w:color="auto" w:sz="4" w:space="0"/>
              <w:right w:val="single" w:color="auto" w:sz="4" w:space="0"/>
            </w:tcBorders>
            <w:vAlign w:val="center"/>
          </w:tcPr>
          <w:p w14:paraId="548FA46F">
            <w:pPr>
              <w:spacing w:line="400" w:lineRule="exact"/>
              <w:jc w:val="center"/>
              <w:rPr>
                <w:rFonts w:ascii="宋体" w:hAnsi="宋体"/>
                <w:sz w:val="18"/>
                <w:szCs w:val="18"/>
              </w:rPr>
            </w:pPr>
            <w:r>
              <w:rPr>
                <w:rFonts w:ascii="宋体" w:hAnsi="宋体"/>
                <w:sz w:val="18"/>
                <w:szCs w:val="18"/>
              </w:rPr>
              <w:t>49.65</w:t>
            </w:r>
          </w:p>
        </w:tc>
      </w:tr>
      <w:tr w14:paraId="5E0EBC3A">
        <w:tblPrEx>
          <w:tblCellMar>
            <w:top w:w="0" w:type="dxa"/>
            <w:left w:w="108" w:type="dxa"/>
            <w:bottom w:w="0" w:type="dxa"/>
            <w:right w:w="108" w:type="dxa"/>
          </w:tblCellMar>
        </w:tblPrEx>
        <w:trPr>
          <w:trHeight w:val="283" w:hRule="atLeast"/>
          <w:jc w:val="center"/>
        </w:trPr>
        <w:tc>
          <w:tcPr>
            <w:tcW w:w="1712" w:type="dxa"/>
            <w:tcBorders>
              <w:top w:val="single" w:color="auto" w:sz="4" w:space="0"/>
              <w:left w:val="single" w:color="auto" w:sz="4" w:space="0"/>
              <w:bottom w:val="single" w:color="auto" w:sz="4" w:space="0"/>
              <w:right w:val="single" w:color="auto" w:sz="4" w:space="0"/>
            </w:tcBorders>
            <w:vAlign w:val="center"/>
          </w:tcPr>
          <w:p w14:paraId="2D1BB3F9">
            <w:pPr>
              <w:ind w:hanging="67"/>
              <w:jc w:val="center"/>
              <w:rPr>
                <w:rFonts w:ascii="宋体" w:hAnsi="宋体"/>
                <w:bCs/>
                <w:sz w:val="18"/>
                <w:szCs w:val="18"/>
              </w:rPr>
            </w:pPr>
            <w:r>
              <w:rPr>
                <w:rFonts w:ascii="宋体" w:hAnsi="宋体"/>
                <w:bCs/>
                <w:sz w:val="18"/>
                <w:szCs w:val="18"/>
              </w:rPr>
              <w:t>无形资产评估值</w:t>
            </w:r>
          </w:p>
        </w:tc>
        <w:tc>
          <w:tcPr>
            <w:tcW w:w="7156" w:type="dxa"/>
            <w:gridSpan w:val="7"/>
            <w:tcBorders>
              <w:top w:val="single" w:color="auto" w:sz="4" w:space="0"/>
              <w:left w:val="nil"/>
              <w:bottom w:val="single" w:color="auto" w:sz="4" w:space="0"/>
              <w:right w:val="single" w:color="auto" w:sz="4" w:space="0"/>
            </w:tcBorders>
            <w:vAlign w:val="center"/>
          </w:tcPr>
          <w:p w14:paraId="55C62662">
            <w:pPr>
              <w:spacing w:line="400" w:lineRule="exact"/>
              <w:jc w:val="center"/>
              <w:rPr>
                <w:rFonts w:ascii="宋体" w:hAnsi="宋体"/>
                <w:sz w:val="18"/>
                <w:szCs w:val="18"/>
              </w:rPr>
            </w:pPr>
            <w:r>
              <w:rPr>
                <w:rFonts w:ascii="宋体" w:hAnsi="宋体"/>
                <w:sz w:val="18"/>
                <w:szCs w:val="18"/>
              </w:rPr>
              <w:t>160（取整至十万）</w:t>
            </w:r>
          </w:p>
        </w:tc>
      </w:tr>
    </w:tbl>
    <w:p w14:paraId="6DAA05B6">
      <w:pPr>
        <w:spacing w:line="400" w:lineRule="exact"/>
        <w:ind w:firstLine="420" w:firstLineChars="200"/>
        <w:rPr>
          <w:rFonts w:ascii="宋体" w:hAnsi="宋体"/>
          <w:szCs w:val="21"/>
        </w:rPr>
      </w:pPr>
    </w:p>
    <w:p w14:paraId="13B4AAA5">
      <w:pPr>
        <w:spacing w:line="400" w:lineRule="exact"/>
        <w:ind w:firstLine="420" w:firstLineChars="200"/>
        <w:rPr>
          <w:rFonts w:ascii="宋体" w:hAnsi="宋体"/>
          <w:bCs/>
          <w:sz w:val="24"/>
          <w:szCs w:val="24"/>
        </w:rPr>
      </w:pPr>
      <w:r>
        <w:rPr>
          <w:rFonts w:hint="eastAsia" w:ascii="宋体" w:hAnsi="宋体"/>
          <w:szCs w:val="21"/>
        </w:rPr>
        <w:t>G公司的</w:t>
      </w:r>
      <w:r>
        <w:rPr>
          <w:rFonts w:ascii="宋体" w:hAnsi="宋体"/>
          <w:szCs w:val="21"/>
        </w:rPr>
        <w:t>委估专利是</w:t>
      </w:r>
      <w:r>
        <w:rPr>
          <w:rFonts w:hint="eastAsia" w:ascii="宋体" w:hAnsi="宋体"/>
          <w:szCs w:val="21"/>
        </w:rPr>
        <w:t>盐酸</w:t>
      </w:r>
      <w:r>
        <w:rPr>
          <w:rFonts w:ascii="宋体" w:hAnsi="宋体"/>
          <w:szCs w:val="21"/>
        </w:rPr>
        <w:t>林可霉素</w:t>
      </w:r>
      <w:r>
        <w:rPr>
          <w:rFonts w:hint="eastAsia" w:ascii="宋体" w:hAnsi="宋体"/>
          <w:szCs w:val="21"/>
        </w:rPr>
        <w:t>专利权，由G公司独自拥有专利权。</w:t>
      </w:r>
      <w:r>
        <w:rPr>
          <w:rFonts w:ascii="宋体" w:hAnsi="宋体"/>
          <w:szCs w:val="21"/>
        </w:rPr>
        <w:t>因此，</w:t>
      </w:r>
      <w:r>
        <w:rPr>
          <w:rFonts w:hint="eastAsia" w:ascii="宋体" w:hAnsi="宋体"/>
          <w:szCs w:val="21"/>
        </w:rPr>
        <w:t>这种</w:t>
      </w:r>
      <w:r>
        <w:rPr>
          <w:rFonts w:ascii="宋体" w:hAnsi="宋体"/>
          <w:bCs/>
          <w:szCs w:val="21"/>
        </w:rPr>
        <w:t>利用铵离子调控林可霉素发酵过程及提高林可霉素产量的</w:t>
      </w:r>
      <w:r>
        <w:rPr>
          <w:rFonts w:hint="eastAsia" w:ascii="宋体" w:hAnsi="宋体"/>
          <w:bCs/>
          <w:szCs w:val="21"/>
        </w:rPr>
        <w:t>专利</w:t>
      </w:r>
      <w:r>
        <w:rPr>
          <w:rFonts w:ascii="宋体" w:hAnsi="宋体"/>
          <w:bCs/>
          <w:szCs w:val="21"/>
        </w:rPr>
        <w:t>权</w:t>
      </w:r>
      <w:r>
        <w:rPr>
          <w:rFonts w:hint="eastAsia" w:ascii="宋体" w:hAnsi="宋体"/>
          <w:bCs/>
          <w:szCs w:val="21"/>
        </w:rPr>
        <w:t>公开市场价值</w:t>
      </w:r>
      <w:r>
        <w:rPr>
          <w:rFonts w:ascii="宋体" w:hAnsi="宋体"/>
          <w:bCs/>
          <w:szCs w:val="21"/>
        </w:rPr>
        <w:t>为</w:t>
      </w:r>
      <w:r>
        <w:rPr>
          <w:rFonts w:hint="eastAsia" w:ascii="宋体" w:hAnsi="宋体"/>
          <w:bCs/>
          <w:szCs w:val="21"/>
        </w:rPr>
        <w:t>16</w:t>
      </w:r>
      <w:r>
        <w:rPr>
          <w:rFonts w:ascii="宋体" w:hAnsi="宋体"/>
          <w:bCs/>
          <w:szCs w:val="21"/>
        </w:rPr>
        <w:t>0万元人民币。</w:t>
      </w:r>
    </w:p>
    <w:p w14:paraId="36F6976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swiss"/>
    <w:pitch w:val="default"/>
    <w:sig w:usb0="00000000" w:usb1="0000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14:paraId="222C1418">
      <w:pPr>
        <w:pStyle w:val="7"/>
      </w:pPr>
      <w:r>
        <w:rPr>
          <w:rStyle w:val="10"/>
        </w:rPr>
        <w:footnoteRef/>
      </w:r>
      <w:r>
        <w:t xml:space="preserve"> </w:t>
      </w:r>
      <w:r>
        <w:rPr>
          <w:rFonts w:hint="eastAsia"/>
        </w:rPr>
        <w:t>本案例的全部资产是指整体资产，即经过调整的管理用资产负债表的左边资产之和。</w:t>
      </w:r>
    </w:p>
  </w:footnote>
  <w:footnote w:id="1">
    <w:p w14:paraId="1B37129C">
      <w:pPr>
        <w:pStyle w:val="7"/>
      </w:pPr>
      <w:r>
        <w:rPr>
          <w:rStyle w:val="10"/>
        </w:rPr>
        <w:footnoteRef/>
      </w:r>
      <w:r>
        <w:t xml:space="preserve"> </w:t>
      </w:r>
      <w:r>
        <w:rPr>
          <w:rFonts w:hint="eastAsia"/>
        </w:rPr>
        <w:t>这里为了说明问题的方便，表中的数据做了简化处理，美元换算成人民币统一采用1美元=6.4元人民币。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D97ECD"/>
    <w:multiLevelType w:val="multilevel"/>
    <w:tmpl w:val="4BD97ECD"/>
    <w:lvl w:ilvl="0" w:tentative="0">
      <w:start w:val="1"/>
      <w:numFmt w:val="decimalEnclosedCircle"/>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4"/>
    <w:footnote w:id="5"/>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ZmOTc2ZjQzOGQzNjA4YzkyYjZkNmVjMzdlMGI0YjMifQ=="/>
  </w:docVars>
  <w:rsids>
    <w:rsidRoot w:val="00000000"/>
    <w:rsid w:val="14D81DF3"/>
    <w:rsid w:val="1C163621"/>
    <w:rsid w:val="2BA83E49"/>
    <w:rsid w:val="362A257C"/>
    <w:rsid w:val="375E599D"/>
    <w:rsid w:val="3DEA29AB"/>
    <w:rsid w:val="439F01C4"/>
    <w:rsid w:val="5588569D"/>
    <w:rsid w:val="6B15076E"/>
    <w:rsid w:val="6B6D10E7"/>
    <w:rsid w:val="7D546F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qFormat="1" w:uiPriority="99"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line="360" w:lineRule="auto"/>
      <w:ind w:firstLine="1040" w:firstLineChars="200"/>
      <w:jc w:val="center"/>
      <w:outlineLvl w:val="0"/>
    </w:pPr>
    <w:rPr>
      <w:rFonts w:eastAsia="黑体"/>
      <w:b/>
      <w:kern w:val="44"/>
      <w:sz w:val="32"/>
    </w:rPr>
  </w:style>
  <w:style w:type="paragraph" w:styleId="3">
    <w:name w:val="heading 3"/>
    <w:basedOn w:val="1"/>
    <w:next w:val="1"/>
    <w:semiHidden/>
    <w:unhideWhenUsed/>
    <w:qFormat/>
    <w:uiPriority w:val="0"/>
    <w:pPr>
      <w:keepNext/>
      <w:keepLines/>
      <w:adjustRightInd w:val="0"/>
      <w:spacing w:beforeLines="0" w:beforeAutospacing="0" w:afterLines="0" w:afterAutospacing="0" w:line="240" w:lineRule="auto"/>
      <w:jc w:val="left"/>
      <w:outlineLvl w:val="9"/>
    </w:pPr>
    <w:rPr>
      <w:rFonts w:ascii="Times New Roman" w:hAnsi="Times New Roman"/>
      <w:b/>
      <w:sz w:val="32"/>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4">
    <w:name w:val="Normal Indent"/>
    <w:basedOn w:val="1"/>
    <w:unhideWhenUsed/>
    <w:qFormat/>
    <w:uiPriority w:val="99"/>
    <w:pPr>
      <w:adjustRightInd w:val="0"/>
      <w:spacing w:line="360" w:lineRule="atLeast"/>
      <w:ind w:firstLine="420"/>
      <w:jc w:val="left"/>
      <w:textAlignment w:val="baseline"/>
    </w:pPr>
    <w:rPr>
      <w:rFonts w:eastAsia="仿宋_GB2312"/>
      <w:kern w:val="0"/>
      <w:sz w:val="28"/>
    </w:rPr>
  </w:style>
  <w:style w:type="paragraph" w:styleId="5">
    <w:name w:val="caption"/>
    <w:basedOn w:val="1"/>
    <w:next w:val="1"/>
    <w:semiHidden/>
    <w:unhideWhenUsed/>
    <w:qFormat/>
    <w:uiPriority w:val="0"/>
    <w:pPr>
      <w:jc w:val="center"/>
    </w:pPr>
    <w:rPr>
      <w:rFonts w:ascii="Arial" w:hAnsi="Arial" w:eastAsia="宋体"/>
      <w:sz w:val="24"/>
    </w:rPr>
  </w:style>
  <w:style w:type="paragraph" w:styleId="6">
    <w:name w:val="Body Text"/>
    <w:basedOn w:val="1"/>
    <w:uiPriority w:val="0"/>
    <w:pPr>
      <w:spacing w:after="120" w:afterLines="0" w:afterAutospacing="0"/>
      <w:jc w:val="left"/>
    </w:pPr>
    <w:rPr>
      <w:rFonts w:ascii="Times New Roman" w:hAnsi="Times New Roman"/>
    </w:rPr>
  </w:style>
  <w:style w:type="paragraph" w:styleId="7">
    <w:name w:val="footnote text"/>
    <w:basedOn w:val="1"/>
    <w:unhideWhenUsed/>
    <w:qFormat/>
    <w:uiPriority w:val="99"/>
    <w:pPr>
      <w:snapToGrid w:val="0"/>
      <w:jc w:val="left"/>
    </w:pPr>
    <w:rPr>
      <w:sz w:val="18"/>
      <w:szCs w:val="18"/>
    </w:rPr>
  </w:style>
  <w:style w:type="character" w:styleId="10">
    <w:name w:val="footnote reference"/>
    <w:basedOn w:val="9"/>
    <w:unhideWhenUsed/>
    <w:qFormat/>
    <w:uiPriority w:val="99"/>
    <w:rPr>
      <w:vertAlign w:val="superscript"/>
    </w:rPr>
  </w:style>
  <w:style w:type="paragraph" w:customStyle="1" w:styleId="11">
    <w:name w:val="彩色列表 - 强调文字颜色 11"/>
    <w:basedOn w:val="1"/>
    <w:qFormat/>
    <w:uiPriority w:val="0"/>
    <w:pPr>
      <w:ind w:firstLine="420" w:firstLineChars="200"/>
    </w:pPr>
    <w:rPr>
      <w:rFonts w:eastAsia="仿宋_GB2312"/>
      <w:sz w:val="28"/>
      <w:szCs w:val="22"/>
    </w:rPr>
  </w:style>
  <w:style w:type="paragraph" w:styleId="12">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oleObject" Target="embeddings/oleObject9.bin"/><Relationship Id="rId17" Type="http://schemas.openxmlformats.org/officeDocument/2006/relationships/oleObject" Target="embeddings/oleObject8.bin"/><Relationship Id="rId16" Type="http://schemas.openxmlformats.org/officeDocument/2006/relationships/oleObject" Target="embeddings/oleObject7.bin"/><Relationship Id="rId15" Type="http://schemas.openxmlformats.org/officeDocument/2006/relationships/oleObject" Target="embeddings/oleObject6.bin"/><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2022-03-09T01:45:00Z</dcterms:created>
  <dc:creator>lzn</dc:creator>
  <cp:lastModifiedBy>小明</cp:lastModifiedBy>
  <dcterms:modified xsi:type="dcterms:W3CDTF">2024-07-04T02:07:59Z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406ACA1396FB417780F7BCDE70AD1A55</vt:lpwstr>
  </property>
</Properties>
</file>