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94C9F2">
      <w:pPr>
        <w:pStyle w:val="2"/>
        <w:jc w:val="center"/>
        <w:rPr>
          <w:rFonts w:hint="eastAsia"/>
        </w:rPr>
      </w:pPr>
      <w:bookmarkStart w:id="0" w:name="_GoBack"/>
      <w:bookmarkEnd w:id="0"/>
      <w:r>
        <w:rPr>
          <w:rFonts w:hint="eastAsia"/>
        </w:rPr>
        <w:t>附件：安徽省大学生财会技能创新大赛竞赛规程</w:t>
      </w:r>
    </w:p>
    <w:p w14:paraId="32378C1D">
      <w:pPr>
        <w:pStyle w:val="2"/>
        <w:rPr>
          <w:rFonts w:hint="eastAsia" w:eastAsia="宋体"/>
          <w:lang w:eastAsia="zh-CN"/>
        </w:rPr>
      </w:pPr>
      <w:r>
        <w:rPr>
          <w:rFonts w:hint="eastAsia"/>
        </w:rPr>
        <w:t>一、竞赛</w:t>
      </w:r>
      <w:r>
        <w:rPr>
          <w:rFonts w:hint="eastAsia"/>
          <w:lang w:val="en-US" w:eastAsia="zh-CN"/>
        </w:rPr>
        <w:t>内容</w:t>
      </w:r>
    </w:p>
    <w:p w14:paraId="45CC7F4D">
      <w:pPr>
        <w:widowControl/>
        <w:shd w:val="clear" w:color="auto" w:fill="FFFFFF"/>
        <w:spacing w:line="590" w:lineRule="atLeast"/>
        <w:ind w:firstLine="560"/>
        <w:jc w:val="left"/>
        <w:rPr>
          <w:rFonts w:ascii="Times New Roman" w:hAnsi="Times New Roman" w:eastAsia="宋体" w:cs="Times New Roman"/>
          <w:color w:val="000000"/>
          <w:kern w:val="0"/>
          <w:sz w:val="24"/>
          <w:szCs w:val="24"/>
        </w:rPr>
      </w:pPr>
      <w:r>
        <w:rPr>
          <w:rFonts w:hint="eastAsia" w:ascii="宋体" w:hAnsi="宋体" w:eastAsia="宋体" w:cs="Times New Roman"/>
          <w:color w:val="000000"/>
          <w:kern w:val="0"/>
          <w:sz w:val="28"/>
          <w:szCs w:val="28"/>
        </w:rPr>
        <w:t>安徽省大学生财会技能创新大赛由参赛团队4人（一名出纳、两名会计、一名主管）组建财务工作组，根据提供的一整套制造企业某一会计期间的完整资料，在规定的时间内完成手工处理。内容包括建账、原始凭证的审核和填制；会计凭证汇总；记账凭证的编制与审核；财务报表编制；对经营核算数据进行数字化分析等。决赛报名时确定每名队员所在岗位。</w:t>
      </w:r>
    </w:p>
    <w:p w14:paraId="78970839">
      <w:pPr>
        <w:widowControl/>
        <w:shd w:val="clear" w:color="auto" w:fill="FFFFFF"/>
        <w:spacing w:line="590" w:lineRule="atLeast"/>
        <w:ind w:firstLine="560"/>
        <w:jc w:val="left"/>
        <w:rPr>
          <w:rFonts w:ascii="Times New Roman" w:hAnsi="Times New Roman" w:eastAsia="宋体" w:cs="Times New Roman"/>
          <w:color w:val="000000"/>
          <w:kern w:val="0"/>
          <w:sz w:val="24"/>
          <w:szCs w:val="24"/>
        </w:rPr>
      </w:pPr>
      <w:r>
        <w:rPr>
          <w:rFonts w:hint="eastAsia" w:ascii="宋体" w:hAnsi="宋体" w:eastAsia="宋体" w:cs="Times New Roman"/>
          <w:color w:val="000000"/>
          <w:kern w:val="0"/>
          <w:sz w:val="28"/>
          <w:szCs w:val="28"/>
        </w:rPr>
        <w:t>出纳岗位操作包括：办理现金、银行结算业务、数字化业务分析等。</w:t>
      </w:r>
    </w:p>
    <w:p w14:paraId="7E017CB1">
      <w:pPr>
        <w:widowControl/>
        <w:shd w:val="clear" w:color="auto" w:fill="FFFFFF"/>
        <w:spacing w:line="590" w:lineRule="atLeast"/>
        <w:ind w:firstLine="560"/>
        <w:jc w:val="left"/>
        <w:rPr>
          <w:rFonts w:ascii="Times New Roman" w:hAnsi="Times New Roman" w:eastAsia="宋体" w:cs="Times New Roman"/>
          <w:color w:val="000000"/>
          <w:kern w:val="0"/>
          <w:sz w:val="24"/>
          <w:szCs w:val="24"/>
        </w:rPr>
      </w:pPr>
      <w:r>
        <w:rPr>
          <w:rFonts w:hint="eastAsia" w:ascii="宋体" w:hAnsi="宋体" w:eastAsia="宋体" w:cs="Times New Roman"/>
          <w:color w:val="000000"/>
          <w:kern w:val="0"/>
          <w:sz w:val="28"/>
          <w:szCs w:val="28"/>
        </w:rPr>
        <w:t>会计岗位操作包括：填制和审核原始凭证、编制记账凭证；计算产品成本；数字化分析等。</w:t>
      </w:r>
    </w:p>
    <w:p w14:paraId="651B4C0B">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会计主管岗位操作包括：审核内部编制会计凭证、编制资产负债表、利润表；数字化分析等。具体比赛内容详见竞赛规程。</w:t>
      </w:r>
    </w:p>
    <w:p w14:paraId="65FDAEB3">
      <w:pPr>
        <w:pStyle w:val="2"/>
        <w:rPr>
          <w:rFonts w:ascii="Times New Roman" w:hAnsi="Times New Roman"/>
          <w:szCs w:val="21"/>
        </w:rPr>
      </w:pPr>
      <w:r>
        <w:rPr>
          <w:rFonts w:hint="eastAsia"/>
        </w:rPr>
        <w:t>二、决赛流程及评分标准</w:t>
      </w:r>
    </w:p>
    <w:p w14:paraId="19F652B4">
      <w:pPr>
        <w:pStyle w:val="3"/>
        <w:rPr>
          <w:rFonts w:ascii="Times New Roman" w:hAnsi="Times New Roman"/>
          <w:szCs w:val="21"/>
        </w:rPr>
      </w:pPr>
      <w:r>
        <w:rPr>
          <w:rFonts w:hint="eastAsia"/>
        </w:rPr>
        <w:t>（一）竞赛时间</w:t>
      </w:r>
    </w:p>
    <w:p w14:paraId="15DFBFED">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竞赛时间为180分钟。</w:t>
      </w:r>
    </w:p>
    <w:p w14:paraId="00D89C72">
      <w:pPr>
        <w:pStyle w:val="3"/>
        <w:rPr>
          <w:rFonts w:ascii="Times New Roman" w:hAnsi="Times New Roman"/>
          <w:szCs w:val="21"/>
        </w:rPr>
      </w:pPr>
      <w:r>
        <w:rPr>
          <w:rFonts w:hint="eastAsia"/>
        </w:rPr>
        <w:t>（二）竞赛方式</w:t>
      </w:r>
    </w:p>
    <w:p w14:paraId="7BD4C617">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财会技能创新大赛以团队4人共同参加方式参赛，包括一位会计主管、一位出纳、二位会计，依据会计法律法规和内部控制的相关要求，科学合理分工与合作，共同完成工作任务，彰显高校会计专业学生的职业能力、数字化分析能力，体现岗位通用技能、团队合作意识及职业道德。</w:t>
      </w:r>
    </w:p>
    <w:p w14:paraId="4D1527F0">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财会技能创新大赛系统设置为经营及利润核算会计、成本及税务核算会计、出纳、会计主管四个工作岗位，根据各自扮演岗位的权限合作完成一套业务。</w:t>
      </w:r>
    </w:p>
    <w:p w14:paraId="78D9F01E">
      <w:pPr>
        <w:pStyle w:val="3"/>
        <w:rPr>
          <w:rFonts w:ascii="Times New Roman" w:hAnsi="Times New Roman"/>
          <w:szCs w:val="21"/>
        </w:rPr>
      </w:pPr>
      <w:r>
        <w:rPr>
          <w:rFonts w:hint="eastAsia"/>
        </w:rPr>
        <w:t>（三）竞赛内容</w:t>
      </w:r>
    </w:p>
    <w:p w14:paraId="0C1DB29A">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1.内容</w:t>
      </w:r>
    </w:p>
    <w:p w14:paraId="569E07A0">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建账、原始凭证的审核与填制；记账凭证的编制与审核；会计凭证汇总；会计报表编制等。</w:t>
      </w:r>
    </w:p>
    <w:p w14:paraId="41139372">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2.大纲</w:t>
      </w:r>
    </w:p>
    <w:p w14:paraId="0729AAFB">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财会技能创新大赛以制造业为背景，通过仿真原始凭证提供企业当月发生的经济业务资料，要求选手对当月经济业务进行手工处理并编制本月会计报表。</w:t>
      </w:r>
    </w:p>
    <w:p w14:paraId="5287C2D8">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竞赛内容涉及的经济业务范围：</w:t>
      </w:r>
    </w:p>
    <w:p w14:paraId="1BB76D80">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（1）货币资金</w:t>
      </w:r>
    </w:p>
    <w:p w14:paraId="2C71DC73">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①库存现金核算及清查。②银行存款核算与核对。③其他货币资金的核算。</w:t>
      </w:r>
    </w:p>
    <w:p w14:paraId="5533A12F">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（2）应收及预付款项</w:t>
      </w:r>
    </w:p>
    <w:p w14:paraId="74A3E783">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①应收票据、应收账款、预付账款和其他应收款的核算。②应收款项的减值。</w:t>
      </w:r>
    </w:p>
    <w:p w14:paraId="79EB3247">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（3）交易性金融资产</w:t>
      </w:r>
    </w:p>
    <w:p w14:paraId="71CC35A3">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交易性金融资产的核算。</w:t>
      </w:r>
    </w:p>
    <w:p w14:paraId="354B3F9D">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（4）存货</w:t>
      </w:r>
    </w:p>
    <w:p w14:paraId="74CF6E2E">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①存货（原材料、库存商品、委托加工物资、周转材料）收入、发出的核算。②存货清查。③存货减值。</w:t>
      </w:r>
    </w:p>
    <w:p w14:paraId="03333DB2">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（5）长期股权投资</w:t>
      </w:r>
    </w:p>
    <w:p w14:paraId="728DC800">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①长期股权投资成本法的核算。②长期股权投资权益法的核算。③长期股权投资减值。</w:t>
      </w:r>
    </w:p>
    <w:p w14:paraId="7C89D15D">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（6）固定资产和投资性房地产</w:t>
      </w:r>
    </w:p>
    <w:p w14:paraId="41F583C3">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①固定资产增加、减少、折旧的核算。②固定资产后续支出的核算。③固定资产清查。④固定资产减值。⑤投资性房地产的取得、后续计量及处置的核算。</w:t>
      </w:r>
    </w:p>
    <w:p w14:paraId="6190FDA4">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（7）无形资产</w:t>
      </w:r>
    </w:p>
    <w:p w14:paraId="4C9D90EA">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①无形资产的取得、摊销及处置的核算。②无形资产减值。</w:t>
      </w:r>
    </w:p>
    <w:p w14:paraId="4C6684E4">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（8）其他资产</w:t>
      </w:r>
    </w:p>
    <w:p w14:paraId="09DDC6C7">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其他资产的核算：工程物资、使用权资产等。</w:t>
      </w:r>
    </w:p>
    <w:p w14:paraId="7EF6903E">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（9）流动负债</w:t>
      </w:r>
    </w:p>
    <w:p w14:paraId="3041E88D">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①短期借款的核算。②应付及预收款项的核算。③应付职工薪酬的核算。④应交增值税、消费税、所得税及其他应交税费的核算。⑤应付股利、应付利息及其他应付款的核算。合同负债以及租赁负债等其他流动负债科目的核算。</w:t>
      </w:r>
    </w:p>
    <w:p w14:paraId="33469A33">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（10）长期负债</w:t>
      </w:r>
    </w:p>
    <w:p w14:paraId="0594FAD5">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①长期借款的核算。②应付债券的核算。③长期应付款的核算。</w:t>
      </w:r>
    </w:p>
    <w:p w14:paraId="1F0948EF">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（11）所有者权益</w:t>
      </w:r>
    </w:p>
    <w:p w14:paraId="2F01C4FD">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①实收资本的核算。②资本公积的核算。③留存收益的核算。</w:t>
      </w:r>
    </w:p>
    <w:p w14:paraId="69E3BD6B">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（12）收入</w:t>
      </w:r>
    </w:p>
    <w:p w14:paraId="048FBFAD">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①销售商品收入的核算。②提供劳务收入的核算。③让渡资产使用权收入的核算。</w:t>
      </w:r>
    </w:p>
    <w:p w14:paraId="063AB481">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（13）费用</w:t>
      </w:r>
    </w:p>
    <w:p w14:paraId="748D800A">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①营业成本的核算。②税金及附加的核算。③期间费用的核算。</w:t>
      </w:r>
    </w:p>
    <w:p w14:paraId="68CC16C1">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（14）产品成本核算</w:t>
      </w:r>
    </w:p>
    <w:p w14:paraId="36E61AF0">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①要素费用的归集和分配。②生产费用在完工产品和在产品之间的归集和分配。③产品生产成本的计算。④营业外收入、营业外支出的核算。</w:t>
      </w:r>
    </w:p>
    <w:p w14:paraId="7AA5A352">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（15）税费业务</w:t>
      </w:r>
    </w:p>
    <w:p w14:paraId="362CCD56">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所得税费用的计提、增值税及其附加税计算等。</w:t>
      </w:r>
    </w:p>
    <w:p w14:paraId="23C6ECB7">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（16）利润及利润分配</w:t>
      </w:r>
    </w:p>
    <w:p w14:paraId="72EA8F38">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①本年利润的结转。②本年利润的分配。</w:t>
      </w:r>
    </w:p>
    <w:p w14:paraId="75F3914E">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（17）财务报表</w:t>
      </w:r>
    </w:p>
    <w:p w14:paraId="35CDC2C7">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①资产负债表的编制。②利润表的编制。</w:t>
      </w:r>
    </w:p>
    <w:p w14:paraId="4C969054">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（18）出纳岗位数字化业务分析</w:t>
      </w:r>
    </w:p>
    <w:p w14:paraId="4CCC97EC">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以企业日常面临的资金问题作为出发点，运用大数据工具完成与企业资金相关的综合分析决策任务，如：资金收支分析、资金支付计划、资金预算、资金风险防控、最佳现金持有量等。</w:t>
      </w:r>
    </w:p>
    <w:p w14:paraId="2B1B796A">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（19）经营及利润核算会计岗位数字化分析业务</w:t>
      </w:r>
    </w:p>
    <w:p w14:paraId="4A5FEE4D">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基于企业生产经营过程中的业务问题，收集企业经营环节的各类数据，采用大数据+财务分析的方式进行分析、核算，完成与企业经营核算数据相关的综合分析决策任务，如：应收账款情况分析、应付账款情况分析、营业收入分析等。</w:t>
      </w:r>
    </w:p>
    <w:p w14:paraId="481DC76C">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（20）成本及税务核算会计岗位数字化分析业务</w:t>
      </w:r>
    </w:p>
    <w:p w14:paraId="31FEA005">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学生运用财务专业知识通过建模分析的方式，完成与企业成本和税务相关的综合分析决策任务，并将分析结果通过可视化的方式输出。如：费用结构分析、成本结构分析、成本管理控制、税务波动分析、税务风险防控等。</w:t>
      </w:r>
    </w:p>
    <w:p w14:paraId="57335730">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（21）会计主管岗位数字化分析业务</w:t>
      </w:r>
    </w:p>
    <w:p w14:paraId="3C0AD2E8">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以大数据背景下会计主管的职能为依据，运用数据分析工具，完成与企业整体经营相关的分析决策任务，培养学生的监督、预测、决策能力，实现更精准的决策辅助。如：报表结构分析、报表趋势分析、财务指标分析、总体经营状况分析、投融资方案决策等。</w:t>
      </w:r>
    </w:p>
    <w:p w14:paraId="63F3138D">
      <w:pPr>
        <w:pStyle w:val="3"/>
        <w:rPr>
          <w:rFonts w:ascii="Times New Roman" w:hAnsi="Times New Roman"/>
          <w:szCs w:val="21"/>
        </w:rPr>
      </w:pPr>
      <w:r>
        <w:rPr>
          <w:rFonts w:hint="eastAsia"/>
        </w:rPr>
        <w:t>（四）评分标准</w:t>
      </w:r>
    </w:p>
    <w:tbl>
      <w:tblPr>
        <w:tblStyle w:val="6"/>
        <w:tblW w:w="8684" w:type="dxa"/>
        <w:jc w:val="center"/>
        <w:tblLayout w:type="autofit"/>
        <w:tblCellMar>
          <w:top w:w="15" w:type="dxa"/>
          <w:left w:w="15" w:type="dxa"/>
          <w:bottom w:w="15" w:type="dxa"/>
          <w:right w:w="15" w:type="dxa"/>
        </w:tblCellMar>
      </w:tblPr>
      <w:tblGrid>
        <w:gridCol w:w="1912"/>
        <w:gridCol w:w="4995"/>
        <w:gridCol w:w="735"/>
        <w:gridCol w:w="1042"/>
      </w:tblGrid>
      <w:tr w14:paraId="16A46367">
        <w:tblPrEx>
          <w:tblCellMar>
            <w:top w:w="15" w:type="dxa"/>
            <w:left w:w="15" w:type="dxa"/>
            <w:bottom w:w="15" w:type="dxa"/>
            <w:right w:w="15" w:type="dxa"/>
          </w:tblCellMar>
        </w:tblPrEx>
        <w:trPr>
          <w:trHeight w:val="478" w:hRule="atLeast"/>
          <w:jc w:val="center"/>
        </w:trPr>
        <w:tc>
          <w:tcPr>
            <w:tcW w:w="191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1B32B52">
            <w:pPr>
              <w:widowControl/>
              <w:spacing w:line="590" w:lineRule="atLeast"/>
              <w:jc w:val="center"/>
              <w:rPr>
                <w:rFonts w:ascii="Times New Roman" w:hAnsi="Times New Roman" w:eastAsia="宋体" w:cs="Times New Roman"/>
                <w:kern w:val="0"/>
                <w:szCs w:val="21"/>
              </w:rPr>
            </w:pPr>
            <w:r>
              <w:rPr>
                <w:rFonts w:hint="eastAsia" w:ascii="宋体" w:hAnsi="宋体" w:eastAsia="宋体" w:cs="Times New Roman"/>
                <w:b/>
                <w:bCs/>
                <w:kern w:val="0"/>
                <w:sz w:val="28"/>
                <w:szCs w:val="28"/>
              </w:rPr>
              <w:t>项目任务</w:t>
            </w:r>
          </w:p>
        </w:tc>
        <w:tc>
          <w:tcPr>
            <w:tcW w:w="499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1C5332B6">
            <w:pPr>
              <w:widowControl/>
              <w:spacing w:line="590" w:lineRule="atLeast"/>
              <w:jc w:val="center"/>
              <w:rPr>
                <w:rFonts w:ascii="Times New Roman" w:hAnsi="Times New Roman" w:eastAsia="宋体" w:cs="Times New Roman"/>
                <w:kern w:val="0"/>
                <w:szCs w:val="21"/>
              </w:rPr>
            </w:pPr>
            <w:r>
              <w:rPr>
                <w:rFonts w:hint="eastAsia" w:ascii="宋体" w:hAnsi="宋体" w:eastAsia="宋体" w:cs="Times New Roman"/>
                <w:b/>
                <w:bCs/>
                <w:kern w:val="0"/>
                <w:sz w:val="28"/>
                <w:szCs w:val="28"/>
              </w:rPr>
              <w:t>评分内容</w:t>
            </w:r>
          </w:p>
        </w:tc>
        <w:tc>
          <w:tcPr>
            <w:tcW w:w="73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662CDE24">
            <w:pPr>
              <w:widowControl/>
              <w:spacing w:line="590" w:lineRule="atLeast"/>
              <w:jc w:val="center"/>
              <w:rPr>
                <w:rFonts w:ascii="Times New Roman" w:hAnsi="Times New Roman" w:eastAsia="宋体" w:cs="Times New Roman"/>
                <w:kern w:val="0"/>
                <w:szCs w:val="21"/>
              </w:rPr>
            </w:pPr>
            <w:r>
              <w:rPr>
                <w:rFonts w:hint="eastAsia" w:ascii="宋体" w:hAnsi="宋体" w:eastAsia="宋体" w:cs="Times New Roman"/>
                <w:b/>
                <w:bCs/>
                <w:kern w:val="0"/>
                <w:sz w:val="28"/>
                <w:szCs w:val="28"/>
              </w:rPr>
              <w:t>分值</w:t>
            </w:r>
          </w:p>
          <w:p w14:paraId="4CF0A974">
            <w:pPr>
              <w:widowControl/>
              <w:spacing w:line="590" w:lineRule="atLeast"/>
              <w:jc w:val="center"/>
              <w:rPr>
                <w:rFonts w:ascii="Times New Roman" w:hAnsi="Times New Roman" w:eastAsia="宋体" w:cs="Times New Roman"/>
                <w:kern w:val="0"/>
                <w:szCs w:val="21"/>
              </w:rPr>
            </w:pPr>
            <w:r>
              <w:rPr>
                <w:rFonts w:hint="eastAsia" w:ascii="宋体" w:hAnsi="宋体" w:eastAsia="宋体" w:cs="Times New Roman"/>
                <w:b/>
                <w:bCs/>
                <w:kern w:val="0"/>
                <w:sz w:val="28"/>
                <w:szCs w:val="28"/>
              </w:rPr>
              <w:t>占比</w:t>
            </w:r>
          </w:p>
        </w:tc>
        <w:tc>
          <w:tcPr>
            <w:tcW w:w="1042"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1EF03098">
            <w:pPr>
              <w:widowControl/>
              <w:spacing w:line="590" w:lineRule="atLeast"/>
              <w:jc w:val="center"/>
              <w:rPr>
                <w:rFonts w:ascii="Times New Roman" w:hAnsi="Times New Roman" w:eastAsia="宋体" w:cs="Times New Roman"/>
                <w:kern w:val="0"/>
                <w:szCs w:val="21"/>
              </w:rPr>
            </w:pPr>
            <w:r>
              <w:rPr>
                <w:rFonts w:hint="eastAsia" w:ascii="宋体" w:hAnsi="宋体" w:eastAsia="宋体" w:cs="Times New Roman"/>
                <w:b/>
                <w:bCs/>
                <w:kern w:val="0"/>
                <w:sz w:val="28"/>
                <w:szCs w:val="28"/>
              </w:rPr>
              <w:t>结果提</w:t>
            </w:r>
          </w:p>
          <w:p w14:paraId="071D3BC0">
            <w:pPr>
              <w:widowControl/>
              <w:spacing w:line="590" w:lineRule="atLeast"/>
              <w:jc w:val="center"/>
              <w:rPr>
                <w:rFonts w:ascii="Times New Roman" w:hAnsi="Times New Roman" w:eastAsia="宋体" w:cs="Times New Roman"/>
                <w:kern w:val="0"/>
                <w:szCs w:val="21"/>
              </w:rPr>
            </w:pPr>
            <w:r>
              <w:rPr>
                <w:rFonts w:hint="eastAsia" w:ascii="宋体" w:hAnsi="宋体" w:eastAsia="宋体" w:cs="Times New Roman"/>
                <w:b/>
                <w:bCs/>
                <w:kern w:val="0"/>
                <w:sz w:val="28"/>
                <w:szCs w:val="28"/>
              </w:rPr>
              <w:t>交方式</w:t>
            </w:r>
          </w:p>
        </w:tc>
      </w:tr>
      <w:tr w14:paraId="7C791A70">
        <w:tblPrEx>
          <w:tblCellMar>
            <w:top w:w="15" w:type="dxa"/>
            <w:left w:w="15" w:type="dxa"/>
            <w:bottom w:w="15" w:type="dxa"/>
            <w:right w:w="15" w:type="dxa"/>
          </w:tblCellMar>
        </w:tblPrEx>
        <w:trPr>
          <w:trHeight w:val="729" w:hRule="atLeast"/>
          <w:jc w:val="center"/>
        </w:trPr>
        <w:tc>
          <w:tcPr>
            <w:tcW w:w="1912"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775121AB">
            <w:pPr>
              <w:widowControl/>
              <w:spacing w:line="590" w:lineRule="atLeast"/>
              <w:jc w:val="center"/>
              <w:rPr>
                <w:rFonts w:ascii="Times New Roman" w:hAnsi="Times New Roman" w:eastAsia="宋体" w:cs="Times New Roman"/>
                <w:kern w:val="0"/>
                <w:szCs w:val="21"/>
              </w:rPr>
            </w:pPr>
            <w:r>
              <w:rPr>
                <w:rFonts w:hint="eastAsia" w:ascii="宋体" w:hAnsi="宋体" w:eastAsia="宋体" w:cs="Times New Roman"/>
                <w:kern w:val="0"/>
                <w:sz w:val="28"/>
                <w:szCs w:val="28"/>
              </w:rPr>
              <w:t>其他业务处理</w:t>
            </w:r>
          </w:p>
        </w:tc>
        <w:tc>
          <w:tcPr>
            <w:tcW w:w="4995" w:type="dxa"/>
            <w:tcBorders>
              <w:top w:val="nil"/>
              <w:left w:val="nil"/>
              <w:bottom w:val="single" w:color="auto" w:sz="8" w:space="0"/>
              <w:right w:val="single" w:color="auto" w:sz="8" w:space="0"/>
            </w:tcBorders>
            <w:tcMar>
              <w:top w:w="0" w:type="dxa"/>
              <w:left w:w="108" w:type="dxa"/>
              <w:bottom w:w="0" w:type="dxa"/>
              <w:right w:w="108" w:type="dxa"/>
            </w:tcMar>
            <w:vAlign w:val="center"/>
          </w:tcPr>
          <w:p w14:paraId="5732229C">
            <w:pPr>
              <w:widowControl/>
              <w:spacing w:line="590" w:lineRule="atLeast"/>
              <w:jc w:val="left"/>
              <w:rPr>
                <w:rFonts w:ascii="Times New Roman" w:hAnsi="Times New Roman" w:eastAsia="宋体" w:cs="Times New Roman"/>
                <w:kern w:val="0"/>
                <w:szCs w:val="21"/>
              </w:rPr>
            </w:pPr>
            <w:r>
              <w:rPr>
                <w:rFonts w:hint="eastAsia" w:ascii="宋体" w:hAnsi="宋体" w:eastAsia="宋体" w:cs="Times New Roman"/>
                <w:kern w:val="0"/>
                <w:sz w:val="28"/>
                <w:szCs w:val="28"/>
              </w:rPr>
              <w:t>办理现金支票提现、转账支票倒送、商业汇票背书等。</w:t>
            </w:r>
          </w:p>
        </w:tc>
        <w:tc>
          <w:tcPr>
            <w:tcW w:w="735" w:type="dxa"/>
            <w:tcBorders>
              <w:top w:val="nil"/>
              <w:left w:val="nil"/>
              <w:bottom w:val="single" w:color="auto" w:sz="8" w:space="0"/>
              <w:right w:val="single" w:color="auto" w:sz="8" w:space="0"/>
            </w:tcBorders>
            <w:tcMar>
              <w:top w:w="0" w:type="dxa"/>
              <w:left w:w="108" w:type="dxa"/>
              <w:bottom w:w="0" w:type="dxa"/>
              <w:right w:w="108" w:type="dxa"/>
            </w:tcMar>
            <w:vAlign w:val="center"/>
          </w:tcPr>
          <w:p w14:paraId="5D54FD7D">
            <w:pPr>
              <w:widowControl/>
              <w:spacing w:line="590" w:lineRule="atLeast"/>
              <w:jc w:val="center"/>
              <w:rPr>
                <w:rFonts w:ascii="Times New Roman" w:hAnsi="Times New Roman" w:eastAsia="宋体" w:cs="Times New Roman"/>
                <w:kern w:val="0"/>
                <w:szCs w:val="21"/>
              </w:rPr>
            </w:pPr>
            <w:r>
              <w:rPr>
                <w:rFonts w:hint="eastAsia" w:ascii="宋体" w:hAnsi="宋体" w:eastAsia="宋体" w:cs="Times New Roman"/>
                <w:kern w:val="0"/>
                <w:sz w:val="28"/>
                <w:szCs w:val="28"/>
              </w:rPr>
              <w:t>20</w:t>
            </w:r>
          </w:p>
        </w:tc>
        <w:tc>
          <w:tcPr>
            <w:tcW w:w="1042" w:type="dxa"/>
            <w:tcBorders>
              <w:top w:val="nil"/>
              <w:left w:val="nil"/>
              <w:bottom w:val="single" w:color="auto" w:sz="8" w:space="0"/>
              <w:right w:val="single" w:color="auto" w:sz="8" w:space="0"/>
            </w:tcBorders>
            <w:tcMar>
              <w:top w:w="0" w:type="dxa"/>
              <w:left w:w="108" w:type="dxa"/>
              <w:bottom w:w="0" w:type="dxa"/>
              <w:right w:w="108" w:type="dxa"/>
            </w:tcMar>
            <w:vAlign w:val="center"/>
          </w:tcPr>
          <w:p w14:paraId="086DF958">
            <w:pPr>
              <w:widowControl/>
              <w:spacing w:line="590" w:lineRule="atLeast"/>
              <w:jc w:val="center"/>
              <w:rPr>
                <w:rFonts w:ascii="Times New Roman" w:hAnsi="Times New Roman" w:eastAsia="宋体" w:cs="Times New Roman"/>
                <w:kern w:val="0"/>
                <w:szCs w:val="21"/>
              </w:rPr>
            </w:pPr>
            <w:r>
              <w:rPr>
                <w:rFonts w:hint="eastAsia" w:ascii="宋体" w:hAnsi="宋体" w:eastAsia="宋体" w:cs="Times New Roman"/>
                <w:kern w:val="0"/>
                <w:sz w:val="28"/>
                <w:szCs w:val="28"/>
              </w:rPr>
              <w:t>电子</w:t>
            </w:r>
          </w:p>
        </w:tc>
      </w:tr>
      <w:tr w14:paraId="1DC9C79D">
        <w:tblPrEx>
          <w:tblCellMar>
            <w:top w:w="15" w:type="dxa"/>
            <w:left w:w="15" w:type="dxa"/>
            <w:bottom w:w="15" w:type="dxa"/>
            <w:right w:w="15" w:type="dxa"/>
          </w:tblCellMar>
        </w:tblPrEx>
        <w:trPr>
          <w:trHeight w:val="757" w:hRule="atLeast"/>
          <w:jc w:val="center"/>
        </w:trPr>
        <w:tc>
          <w:tcPr>
            <w:tcW w:w="1912"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572067F7">
            <w:pPr>
              <w:widowControl/>
              <w:spacing w:line="590" w:lineRule="atLeast"/>
              <w:jc w:val="center"/>
              <w:rPr>
                <w:rFonts w:ascii="Times New Roman" w:hAnsi="Times New Roman" w:eastAsia="宋体" w:cs="Times New Roman"/>
                <w:kern w:val="0"/>
                <w:szCs w:val="21"/>
              </w:rPr>
            </w:pPr>
            <w:r>
              <w:rPr>
                <w:rFonts w:hint="eastAsia" w:ascii="宋体" w:hAnsi="宋体" w:eastAsia="宋体" w:cs="Times New Roman"/>
                <w:kern w:val="0"/>
                <w:sz w:val="28"/>
                <w:szCs w:val="28"/>
              </w:rPr>
              <w:t>记账凭证的编制与审核</w:t>
            </w:r>
          </w:p>
        </w:tc>
        <w:tc>
          <w:tcPr>
            <w:tcW w:w="4995" w:type="dxa"/>
            <w:tcBorders>
              <w:top w:val="nil"/>
              <w:left w:val="nil"/>
              <w:bottom w:val="single" w:color="auto" w:sz="8" w:space="0"/>
              <w:right w:val="single" w:color="auto" w:sz="8" w:space="0"/>
            </w:tcBorders>
            <w:tcMar>
              <w:top w:w="0" w:type="dxa"/>
              <w:left w:w="108" w:type="dxa"/>
              <w:bottom w:w="0" w:type="dxa"/>
              <w:right w:w="108" w:type="dxa"/>
            </w:tcMar>
            <w:vAlign w:val="center"/>
          </w:tcPr>
          <w:p w14:paraId="217EA345">
            <w:pPr>
              <w:widowControl/>
              <w:spacing w:line="590" w:lineRule="atLeast"/>
              <w:jc w:val="left"/>
              <w:rPr>
                <w:rFonts w:ascii="Times New Roman" w:hAnsi="Times New Roman" w:eastAsia="宋体" w:cs="Times New Roman"/>
                <w:kern w:val="0"/>
                <w:szCs w:val="21"/>
              </w:rPr>
            </w:pPr>
            <w:r>
              <w:rPr>
                <w:rFonts w:hint="eastAsia" w:ascii="宋体" w:hAnsi="宋体" w:eastAsia="宋体" w:cs="Times New Roman"/>
                <w:kern w:val="0"/>
                <w:sz w:val="28"/>
                <w:szCs w:val="28"/>
              </w:rPr>
              <w:t>记账凭证编制、记账凭证审核、相关签名盖章。</w:t>
            </w:r>
          </w:p>
        </w:tc>
        <w:tc>
          <w:tcPr>
            <w:tcW w:w="735" w:type="dxa"/>
            <w:tcBorders>
              <w:top w:val="nil"/>
              <w:left w:val="nil"/>
              <w:bottom w:val="single" w:color="auto" w:sz="8" w:space="0"/>
              <w:right w:val="single" w:color="auto" w:sz="8" w:space="0"/>
            </w:tcBorders>
            <w:tcMar>
              <w:top w:w="0" w:type="dxa"/>
              <w:left w:w="108" w:type="dxa"/>
              <w:bottom w:w="0" w:type="dxa"/>
              <w:right w:w="108" w:type="dxa"/>
            </w:tcMar>
            <w:vAlign w:val="center"/>
          </w:tcPr>
          <w:p w14:paraId="4EA1719D">
            <w:pPr>
              <w:widowControl/>
              <w:spacing w:line="590" w:lineRule="atLeast"/>
              <w:jc w:val="center"/>
              <w:rPr>
                <w:rFonts w:ascii="Times New Roman" w:hAnsi="Times New Roman" w:eastAsia="宋体" w:cs="Times New Roman"/>
                <w:kern w:val="0"/>
                <w:szCs w:val="21"/>
              </w:rPr>
            </w:pPr>
            <w:r>
              <w:rPr>
                <w:rFonts w:hint="eastAsia" w:ascii="宋体" w:hAnsi="宋体" w:eastAsia="宋体" w:cs="Times New Roman"/>
                <w:kern w:val="0"/>
                <w:sz w:val="28"/>
                <w:szCs w:val="28"/>
              </w:rPr>
              <w:t>100</w:t>
            </w:r>
          </w:p>
        </w:tc>
        <w:tc>
          <w:tcPr>
            <w:tcW w:w="1042" w:type="dxa"/>
            <w:tcBorders>
              <w:top w:val="nil"/>
              <w:left w:val="nil"/>
              <w:bottom w:val="single" w:color="auto" w:sz="8" w:space="0"/>
              <w:right w:val="single" w:color="auto" w:sz="8" w:space="0"/>
            </w:tcBorders>
            <w:tcMar>
              <w:top w:w="0" w:type="dxa"/>
              <w:left w:w="108" w:type="dxa"/>
              <w:bottom w:w="0" w:type="dxa"/>
              <w:right w:w="108" w:type="dxa"/>
            </w:tcMar>
            <w:vAlign w:val="center"/>
          </w:tcPr>
          <w:p w14:paraId="5F36BD1F">
            <w:pPr>
              <w:widowControl/>
              <w:spacing w:line="590" w:lineRule="atLeast"/>
              <w:jc w:val="center"/>
              <w:rPr>
                <w:rFonts w:ascii="Times New Roman" w:hAnsi="Times New Roman" w:eastAsia="宋体" w:cs="Times New Roman"/>
                <w:kern w:val="0"/>
                <w:szCs w:val="21"/>
              </w:rPr>
            </w:pPr>
            <w:r>
              <w:rPr>
                <w:rFonts w:hint="eastAsia" w:ascii="宋体" w:hAnsi="宋体" w:eastAsia="宋体" w:cs="Times New Roman"/>
                <w:kern w:val="0"/>
                <w:sz w:val="28"/>
                <w:szCs w:val="28"/>
              </w:rPr>
              <w:t>电子</w:t>
            </w:r>
          </w:p>
        </w:tc>
      </w:tr>
      <w:tr w14:paraId="4CBA4963">
        <w:tblPrEx>
          <w:tblCellMar>
            <w:top w:w="15" w:type="dxa"/>
            <w:left w:w="15" w:type="dxa"/>
            <w:bottom w:w="15" w:type="dxa"/>
            <w:right w:w="15" w:type="dxa"/>
          </w:tblCellMar>
        </w:tblPrEx>
        <w:trPr>
          <w:trHeight w:val="798" w:hRule="atLeast"/>
          <w:jc w:val="center"/>
        </w:trPr>
        <w:tc>
          <w:tcPr>
            <w:tcW w:w="1912"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73FD6EA0">
            <w:pPr>
              <w:widowControl/>
              <w:spacing w:line="590" w:lineRule="atLeast"/>
              <w:jc w:val="center"/>
              <w:rPr>
                <w:rFonts w:ascii="Times New Roman" w:hAnsi="Times New Roman" w:eastAsia="宋体" w:cs="Times New Roman"/>
                <w:kern w:val="0"/>
                <w:szCs w:val="21"/>
              </w:rPr>
            </w:pPr>
            <w:r>
              <w:rPr>
                <w:rFonts w:hint="eastAsia" w:ascii="宋体" w:hAnsi="宋体" w:eastAsia="宋体" w:cs="Times New Roman"/>
                <w:kern w:val="0"/>
                <w:sz w:val="28"/>
                <w:szCs w:val="28"/>
              </w:rPr>
              <w:t>资产负债表</w:t>
            </w:r>
          </w:p>
          <w:p w14:paraId="6FB7659C">
            <w:pPr>
              <w:widowControl/>
              <w:spacing w:line="590" w:lineRule="atLeast"/>
              <w:jc w:val="center"/>
              <w:rPr>
                <w:rFonts w:ascii="Times New Roman" w:hAnsi="Times New Roman" w:eastAsia="宋体" w:cs="Times New Roman"/>
                <w:kern w:val="0"/>
                <w:szCs w:val="21"/>
              </w:rPr>
            </w:pPr>
            <w:r>
              <w:rPr>
                <w:rFonts w:hint="eastAsia" w:ascii="宋体" w:hAnsi="宋体" w:eastAsia="宋体" w:cs="Times New Roman"/>
                <w:kern w:val="0"/>
                <w:sz w:val="28"/>
                <w:szCs w:val="28"/>
              </w:rPr>
              <w:t>编制</w:t>
            </w:r>
          </w:p>
        </w:tc>
        <w:tc>
          <w:tcPr>
            <w:tcW w:w="4995" w:type="dxa"/>
            <w:tcBorders>
              <w:top w:val="nil"/>
              <w:left w:val="nil"/>
              <w:bottom w:val="single" w:color="auto" w:sz="8" w:space="0"/>
              <w:right w:val="single" w:color="auto" w:sz="8" w:space="0"/>
            </w:tcBorders>
            <w:tcMar>
              <w:top w:w="0" w:type="dxa"/>
              <w:left w:w="108" w:type="dxa"/>
              <w:bottom w:w="0" w:type="dxa"/>
              <w:right w:w="108" w:type="dxa"/>
            </w:tcMar>
            <w:vAlign w:val="center"/>
          </w:tcPr>
          <w:p w14:paraId="20EBC578">
            <w:pPr>
              <w:widowControl/>
              <w:spacing w:line="590" w:lineRule="atLeast"/>
              <w:jc w:val="left"/>
              <w:rPr>
                <w:rFonts w:ascii="Times New Roman" w:hAnsi="Times New Roman" w:eastAsia="宋体" w:cs="Times New Roman"/>
                <w:kern w:val="0"/>
                <w:szCs w:val="21"/>
              </w:rPr>
            </w:pPr>
            <w:r>
              <w:rPr>
                <w:rFonts w:hint="eastAsia" w:ascii="宋体" w:hAnsi="宋体" w:eastAsia="宋体" w:cs="Times New Roman"/>
                <w:kern w:val="0"/>
                <w:sz w:val="28"/>
                <w:szCs w:val="28"/>
              </w:rPr>
              <w:t>表头的填写；报表各项目指标的计算与填写。</w:t>
            </w:r>
          </w:p>
        </w:tc>
        <w:tc>
          <w:tcPr>
            <w:tcW w:w="735" w:type="dxa"/>
            <w:tcBorders>
              <w:top w:val="nil"/>
              <w:left w:val="nil"/>
              <w:bottom w:val="single" w:color="auto" w:sz="8" w:space="0"/>
              <w:right w:val="single" w:color="auto" w:sz="8" w:space="0"/>
            </w:tcBorders>
            <w:tcMar>
              <w:top w:w="0" w:type="dxa"/>
              <w:left w:w="108" w:type="dxa"/>
              <w:bottom w:w="0" w:type="dxa"/>
              <w:right w:w="108" w:type="dxa"/>
            </w:tcMar>
            <w:vAlign w:val="center"/>
          </w:tcPr>
          <w:p w14:paraId="725A5FBF">
            <w:pPr>
              <w:widowControl/>
              <w:spacing w:line="590" w:lineRule="atLeast"/>
              <w:jc w:val="center"/>
              <w:rPr>
                <w:rFonts w:ascii="Times New Roman" w:hAnsi="Times New Roman" w:eastAsia="宋体" w:cs="Times New Roman"/>
                <w:kern w:val="0"/>
                <w:szCs w:val="21"/>
              </w:rPr>
            </w:pPr>
            <w:r>
              <w:rPr>
                <w:rFonts w:hint="eastAsia" w:ascii="宋体" w:hAnsi="宋体" w:eastAsia="宋体" w:cs="Times New Roman"/>
                <w:kern w:val="0"/>
                <w:sz w:val="28"/>
                <w:szCs w:val="28"/>
              </w:rPr>
              <w:t>30</w:t>
            </w:r>
          </w:p>
        </w:tc>
        <w:tc>
          <w:tcPr>
            <w:tcW w:w="1042" w:type="dxa"/>
            <w:tcBorders>
              <w:top w:val="nil"/>
              <w:left w:val="nil"/>
              <w:bottom w:val="single" w:color="auto" w:sz="8" w:space="0"/>
              <w:right w:val="single" w:color="auto" w:sz="8" w:space="0"/>
            </w:tcBorders>
            <w:tcMar>
              <w:top w:w="0" w:type="dxa"/>
              <w:left w:w="108" w:type="dxa"/>
              <w:bottom w:w="0" w:type="dxa"/>
              <w:right w:w="108" w:type="dxa"/>
            </w:tcMar>
            <w:vAlign w:val="center"/>
          </w:tcPr>
          <w:p w14:paraId="4410422C">
            <w:pPr>
              <w:widowControl/>
              <w:spacing w:line="590" w:lineRule="atLeast"/>
              <w:jc w:val="center"/>
              <w:rPr>
                <w:rFonts w:ascii="Times New Roman" w:hAnsi="Times New Roman" w:eastAsia="宋体" w:cs="Times New Roman"/>
                <w:kern w:val="0"/>
                <w:szCs w:val="21"/>
              </w:rPr>
            </w:pPr>
            <w:r>
              <w:rPr>
                <w:rFonts w:hint="eastAsia" w:ascii="宋体" w:hAnsi="宋体" w:eastAsia="宋体" w:cs="Times New Roman"/>
                <w:kern w:val="0"/>
                <w:sz w:val="28"/>
                <w:szCs w:val="28"/>
              </w:rPr>
              <w:t>电子</w:t>
            </w:r>
          </w:p>
        </w:tc>
      </w:tr>
      <w:tr w14:paraId="298CBF4C">
        <w:tblPrEx>
          <w:tblCellMar>
            <w:top w:w="15" w:type="dxa"/>
            <w:left w:w="15" w:type="dxa"/>
            <w:bottom w:w="15" w:type="dxa"/>
            <w:right w:w="15" w:type="dxa"/>
          </w:tblCellMar>
        </w:tblPrEx>
        <w:trPr>
          <w:trHeight w:val="658" w:hRule="atLeast"/>
          <w:jc w:val="center"/>
        </w:trPr>
        <w:tc>
          <w:tcPr>
            <w:tcW w:w="1912"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42D426BB">
            <w:pPr>
              <w:widowControl/>
              <w:spacing w:line="590" w:lineRule="atLeast"/>
              <w:jc w:val="center"/>
              <w:rPr>
                <w:rFonts w:ascii="Times New Roman" w:hAnsi="Times New Roman" w:eastAsia="宋体" w:cs="Times New Roman"/>
                <w:kern w:val="0"/>
                <w:szCs w:val="21"/>
              </w:rPr>
            </w:pPr>
            <w:r>
              <w:rPr>
                <w:rFonts w:hint="eastAsia" w:ascii="宋体" w:hAnsi="宋体" w:eastAsia="宋体" w:cs="Times New Roman"/>
                <w:kern w:val="0"/>
                <w:sz w:val="28"/>
                <w:szCs w:val="28"/>
              </w:rPr>
              <w:t>利润表编制</w:t>
            </w:r>
          </w:p>
        </w:tc>
        <w:tc>
          <w:tcPr>
            <w:tcW w:w="4995" w:type="dxa"/>
            <w:tcBorders>
              <w:top w:val="nil"/>
              <w:left w:val="nil"/>
              <w:bottom w:val="single" w:color="auto" w:sz="8" w:space="0"/>
              <w:right w:val="single" w:color="auto" w:sz="8" w:space="0"/>
            </w:tcBorders>
            <w:tcMar>
              <w:top w:w="0" w:type="dxa"/>
              <w:left w:w="108" w:type="dxa"/>
              <w:bottom w:w="0" w:type="dxa"/>
              <w:right w:w="108" w:type="dxa"/>
            </w:tcMar>
            <w:vAlign w:val="center"/>
          </w:tcPr>
          <w:p w14:paraId="4252E2A3">
            <w:pPr>
              <w:widowControl/>
              <w:spacing w:line="590" w:lineRule="atLeast"/>
              <w:jc w:val="left"/>
              <w:rPr>
                <w:rFonts w:ascii="Times New Roman" w:hAnsi="Times New Roman" w:eastAsia="宋体" w:cs="Times New Roman"/>
                <w:kern w:val="0"/>
                <w:szCs w:val="21"/>
              </w:rPr>
            </w:pPr>
            <w:r>
              <w:rPr>
                <w:rFonts w:hint="eastAsia" w:ascii="宋体" w:hAnsi="宋体" w:eastAsia="宋体" w:cs="Times New Roman"/>
                <w:kern w:val="0"/>
                <w:sz w:val="28"/>
                <w:szCs w:val="28"/>
              </w:rPr>
              <w:t>表头的填写；报表各项目指标的计算与填写。</w:t>
            </w:r>
          </w:p>
        </w:tc>
        <w:tc>
          <w:tcPr>
            <w:tcW w:w="735" w:type="dxa"/>
            <w:tcBorders>
              <w:top w:val="nil"/>
              <w:left w:val="nil"/>
              <w:bottom w:val="single" w:color="auto" w:sz="8" w:space="0"/>
              <w:right w:val="single" w:color="auto" w:sz="8" w:space="0"/>
            </w:tcBorders>
            <w:tcMar>
              <w:top w:w="0" w:type="dxa"/>
              <w:left w:w="108" w:type="dxa"/>
              <w:bottom w:w="0" w:type="dxa"/>
              <w:right w:w="108" w:type="dxa"/>
            </w:tcMar>
            <w:vAlign w:val="center"/>
          </w:tcPr>
          <w:p w14:paraId="0AA4160A">
            <w:pPr>
              <w:widowControl/>
              <w:spacing w:line="590" w:lineRule="atLeast"/>
              <w:jc w:val="center"/>
              <w:rPr>
                <w:rFonts w:ascii="Times New Roman" w:hAnsi="Times New Roman" w:eastAsia="宋体" w:cs="Times New Roman"/>
                <w:kern w:val="0"/>
                <w:szCs w:val="21"/>
              </w:rPr>
            </w:pPr>
            <w:r>
              <w:rPr>
                <w:rFonts w:hint="eastAsia" w:ascii="宋体" w:hAnsi="宋体" w:eastAsia="宋体" w:cs="Times New Roman"/>
                <w:kern w:val="0"/>
                <w:sz w:val="28"/>
                <w:szCs w:val="28"/>
              </w:rPr>
              <w:t>30</w:t>
            </w:r>
          </w:p>
        </w:tc>
        <w:tc>
          <w:tcPr>
            <w:tcW w:w="1042" w:type="dxa"/>
            <w:tcBorders>
              <w:top w:val="nil"/>
              <w:left w:val="nil"/>
              <w:bottom w:val="single" w:color="auto" w:sz="8" w:space="0"/>
              <w:right w:val="single" w:color="auto" w:sz="8" w:space="0"/>
            </w:tcBorders>
            <w:tcMar>
              <w:top w:w="0" w:type="dxa"/>
              <w:left w:w="108" w:type="dxa"/>
              <w:bottom w:w="0" w:type="dxa"/>
              <w:right w:w="108" w:type="dxa"/>
            </w:tcMar>
            <w:vAlign w:val="center"/>
          </w:tcPr>
          <w:p w14:paraId="37D74892">
            <w:pPr>
              <w:widowControl/>
              <w:spacing w:line="590" w:lineRule="atLeast"/>
              <w:jc w:val="center"/>
              <w:rPr>
                <w:rFonts w:ascii="Times New Roman" w:hAnsi="Times New Roman" w:eastAsia="宋体" w:cs="Times New Roman"/>
                <w:kern w:val="0"/>
                <w:szCs w:val="21"/>
              </w:rPr>
            </w:pPr>
            <w:r>
              <w:rPr>
                <w:rFonts w:hint="eastAsia" w:ascii="宋体" w:hAnsi="宋体" w:eastAsia="宋体" w:cs="Times New Roman"/>
                <w:kern w:val="0"/>
                <w:sz w:val="28"/>
                <w:szCs w:val="28"/>
              </w:rPr>
              <w:t>电子</w:t>
            </w:r>
          </w:p>
        </w:tc>
      </w:tr>
      <w:tr w14:paraId="042CF9BC">
        <w:tblPrEx>
          <w:tblCellMar>
            <w:top w:w="15" w:type="dxa"/>
            <w:left w:w="15" w:type="dxa"/>
            <w:bottom w:w="15" w:type="dxa"/>
            <w:right w:w="15" w:type="dxa"/>
          </w:tblCellMar>
        </w:tblPrEx>
        <w:trPr>
          <w:trHeight w:val="826" w:hRule="atLeast"/>
          <w:jc w:val="center"/>
        </w:trPr>
        <w:tc>
          <w:tcPr>
            <w:tcW w:w="1912"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006C2207">
            <w:pPr>
              <w:widowControl/>
              <w:spacing w:line="590" w:lineRule="atLeast"/>
              <w:jc w:val="center"/>
              <w:rPr>
                <w:rFonts w:ascii="Times New Roman" w:hAnsi="Times New Roman" w:eastAsia="宋体" w:cs="Times New Roman"/>
                <w:kern w:val="0"/>
                <w:szCs w:val="21"/>
              </w:rPr>
            </w:pPr>
            <w:r>
              <w:rPr>
                <w:rFonts w:hint="eastAsia" w:ascii="宋体" w:hAnsi="宋体" w:eastAsia="宋体" w:cs="Times New Roman"/>
                <w:kern w:val="0"/>
                <w:sz w:val="28"/>
                <w:szCs w:val="28"/>
              </w:rPr>
              <w:t>编制纳税申</w:t>
            </w:r>
          </w:p>
          <w:p w14:paraId="394E7DC3">
            <w:pPr>
              <w:widowControl/>
              <w:spacing w:line="590" w:lineRule="atLeast"/>
              <w:jc w:val="center"/>
              <w:rPr>
                <w:rFonts w:ascii="Times New Roman" w:hAnsi="Times New Roman" w:eastAsia="宋体" w:cs="Times New Roman"/>
                <w:kern w:val="0"/>
                <w:szCs w:val="21"/>
              </w:rPr>
            </w:pPr>
            <w:r>
              <w:rPr>
                <w:rFonts w:hint="eastAsia" w:ascii="宋体" w:hAnsi="宋体" w:eastAsia="宋体" w:cs="Times New Roman"/>
                <w:kern w:val="0"/>
                <w:sz w:val="28"/>
                <w:szCs w:val="28"/>
              </w:rPr>
              <w:t>报表</w:t>
            </w:r>
          </w:p>
        </w:tc>
        <w:tc>
          <w:tcPr>
            <w:tcW w:w="4995" w:type="dxa"/>
            <w:tcBorders>
              <w:top w:val="nil"/>
              <w:left w:val="nil"/>
              <w:bottom w:val="single" w:color="auto" w:sz="8" w:space="0"/>
              <w:right w:val="single" w:color="auto" w:sz="8" w:space="0"/>
            </w:tcBorders>
            <w:tcMar>
              <w:top w:w="0" w:type="dxa"/>
              <w:left w:w="108" w:type="dxa"/>
              <w:bottom w:w="0" w:type="dxa"/>
              <w:right w:w="108" w:type="dxa"/>
            </w:tcMar>
            <w:vAlign w:val="center"/>
          </w:tcPr>
          <w:p w14:paraId="767F0C40">
            <w:pPr>
              <w:widowControl/>
              <w:spacing w:line="590" w:lineRule="atLeast"/>
              <w:jc w:val="left"/>
              <w:rPr>
                <w:rFonts w:ascii="Times New Roman" w:hAnsi="Times New Roman" w:eastAsia="宋体" w:cs="Times New Roman"/>
                <w:kern w:val="0"/>
                <w:szCs w:val="21"/>
              </w:rPr>
            </w:pPr>
            <w:r>
              <w:rPr>
                <w:rFonts w:hint="eastAsia" w:ascii="宋体" w:hAnsi="宋体" w:eastAsia="宋体" w:cs="Times New Roman"/>
                <w:kern w:val="0"/>
                <w:sz w:val="28"/>
                <w:szCs w:val="28"/>
              </w:rPr>
              <w:t>编制所得税、增值税、地方税申报表。</w:t>
            </w:r>
          </w:p>
        </w:tc>
        <w:tc>
          <w:tcPr>
            <w:tcW w:w="735" w:type="dxa"/>
            <w:tcBorders>
              <w:top w:val="nil"/>
              <w:left w:val="nil"/>
              <w:bottom w:val="single" w:color="auto" w:sz="8" w:space="0"/>
              <w:right w:val="single" w:color="auto" w:sz="8" w:space="0"/>
            </w:tcBorders>
            <w:tcMar>
              <w:top w:w="0" w:type="dxa"/>
              <w:left w:w="108" w:type="dxa"/>
              <w:bottom w:w="0" w:type="dxa"/>
              <w:right w:w="108" w:type="dxa"/>
            </w:tcMar>
            <w:vAlign w:val="center"/>
          </w:tcPr>
          <w:p w14:paraId="555FD320">
            <w:pPr>
              <w:widowControl/>
              <w:spacing w:line="590" w:lineRule="atLeast"/>
              <w:jc w:val="center"/>
              <w:rPr>
                <w:rFonts w:ascii="Times New Roman" w:hAnsi="Times New Roman" w:eastAsia="宋体" w:cs="Times New Roman"/>
                <w:kern w:val="0"/>
                <w:szCs w:val="21"/>
              </w:rPr>
            </w:pPr>
            <w:r>
              <w:rPr>
                <w:rFonts w:hint="eastAsia" w:ascii="宋体" w:hAnsi="宋体" w:eastAsia="宋体" w:cs="Times New Roman"/>
                <w:kern w:val="0"/>
                <w:sz w:val="28"/>
                <w:szCs w:val="28"/>
              </w:rPr>
              <w:t>20</w:t>
            </w:r>
          </w:p>
        </w:tc>
        <w:tc>
          <w:tcPr>
            <w:tcW w:w="1042" w:type="dxa"/>
            <w:tcBorders>
              <w:top w:val="nil"/>
              <w:left w:val="nil"/>
              <w:bottom w:val="single" w:color="auto" w:sz="8" w:space="0"/>
              <w:right w:val="single" w:color="auto" w:sz="8" w:space="0"/>
            </w:tcBorders>
            <w:tcMar>
              <w:top w:w="0" w:type="dxa"/>
              <w:left w:w="108" w:type="dxa"/>
              <w:bottom w:w="0" w:type="dxa"/>
              <w:right w:w="108" w:type="dxa"/>
            </w:tcMar>
            <w:vAlign w:val="center"/>
          </w:tcPr>
          <w:p w14:paraId="2BB164F2">
            <w:pPr>
              <w:widowControl/>
              <w:spacing w:line="590" w:lineRule="atLeast"/>
              <w:jc w:val="center"/>
              <w:rPr>
                <w:rFonts w:ascii="Times New Roman" w:hAnsi="Times New Roman" w:eastAsia="宋体" w:cs="Times New Roman"/>
                <w:kern w:val="0"/>
                <w:szCs w:val="21"/>
              </w:rPr>
            </w:pPr>
            <w:r>
              <w:rPr>
                <w:rFonts w:hint="eastAsia" w:ascii="宋体" w:hAnsi="宋体" w:eastAsia="宋体" w:cs="Times New Roman"/>
                <w:kern w:val="0"/>
                <w:sz w:val="28"/>
                <w:szCs w:val="28"/>
              </w:rPr>
              <w:t>电子</w:t>
            </w:r>
          </w:p>
        </w:tc>
      </w:tr>
      <w:tr w14:paraId="070019D1">
        <w:tblPrEx>
          <w:tblCellMar>
            <w:top w:w="15" w:type="dxa"/>
            <w:left w:w="15" w:type="dxa"/>
            <w:bottom w:w="15" w:type="dxa"/>
            <w:right w:w="15" w:type="dxa"/>
          </w:tblCellMar>
        </w:tblPrEx>
        <w:trPr>
          <w:trHeight w:val="896" w:hRule="atLeast"/>
          <w:jc w:val="center"/>
        </w:trPr>
        <w:tc>
          <w:tcPr>
            <w:tcW w:w="1912"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0C3B1DB3">
            <w:pPr>
              <w:widowControl/>
              <w:spacing w:line="590" w:lineRule="atLeast"/>
              <w:jc w:val="center"/>
              <w:rPr>
                <w:rFonts w:ascii="Times New Roman" w:hAnsi="Times New Roman" w:eastAsia="宋体" w:cs="Times New Roman"/>
                <w:kern w:val="0"/>
                <w:szCs w:val="21"/>
              </w:rPr>
            </w:pPr>
            <w:r>
              <w:rPr>
                <w:rFonts w:hint="eastAsia" w:ascii="宋体" w:hAnsi="宋体" w:eastAsia="宋体" w:cs="Times New Roman"/>
                <w:kern w:val="0"/>
                <w:sz w:val="28"/>
                <w:szCs w:val="28"/>
              </w:rPr>
              <w:t>产品成本</w:t>
            </w:r>
          </w:p>
          <w:p w14:paraId="248AE06B">
            <w:pPr>
              <w:widowControl/>
              <w:spacing w:line="590" w:lineRule="atLeast"/>
              <w:jc w:val="center"/>
              <w:rPr>
                <w:rFonts w:ascii="Times New Roman" w:hAnsi="Times New Roman" w:eastAsia="宋体" w:cs="Times New Roman"/>
                <w:kern w:val="0"/>
                <w:szCs w:val="21"/>
              </w:rPr>
            </w:pPr>
            <w:r>
              <w:rPr>
                <w:rFonts w:hint="eastAsia" w:ascii="宋体" w:hAnsi="宋体" w:eastAsia="宋体" w:cs="Times New Roman"/>
                <w:kern w:val="0"/>
                <w:sz w:val="28"/>
                <w:szCs w:val="28"/>
              </w:rPr>
              <w:t>计算单</w:t>
            </w:r>
          </w:p>
        </w:tc>
        <w:tc>
          <w:tcPr>
            <w:tcW w:w="4995" w:type="dxa"/>
            <w:tcBorders>
              <w:top w:val="nil"/>
              <w:left w:val="nil"/>
              <w:bottom w:val="single" w:color="auto" w:sz="8" w:space="0"/>
              <w:right w:val="single" w:color="auto" w:sz="8" w:space="0"/>
            </w:tcBorders>
            <w:tcMar>
              <w:top w:w="0" w:type="dxa"/>
              <w:left w:w="108" w:type="dxa"/>
              <w:bottom w:w="0" w:type="dxa"/>
              <w:right w:w="108" w:type="dxa"/>
            </w:tcMar>
            <w:vAlign w:val="center"/>
          </w:tcPr>
          <w:p w14:paraId="0B275DEB">
            <w:pPr>
              <w:widowControl/>
              <w:spacing w:line="590" w:lineRule="atLeast"/>
              <w:jc w:val="left"/>
              <w:rPr>
                <w:rFonts w:ascii="Times New Roman" w:hAnsi="Times New Roman" w:eastAsia="宋体" w:cs="Times New Roman"/>
                <w:kern w:val="0"/>
                <w:szCs w:val="21"/>
              </w:rPr>
            </w:pPr>
            <w:r>
              <w:rPr>
                <w:rFonts w:hint="eastAsia" w:ascii="宋体" w:hAnsi="宋体" w:eastAsia="宋体" w:cs="Times New Roman"/>
                <w:kern w:val="0"/>
                <w:sz w:val="28"/>
                <w:szCs w:val="28"/>
              </w:rPr>
              <w:t>成本计算。</w:t>
            </w:r>
          </w:p>
        </w:tc>
        <w:tc>
          <w:tcPr>
            <w:tcW w:w="735" w:type="dxa"/>
            <w:tcBorders>
              <w:top w:val="nil"/>
              <w:left w:val="nil"/>
              <w:bottom w:val="single" w:color="auto" w:sz="8" w:space="0"/>
              <w:right w:val="single" w:color="auto" w:sz="8" w:space="0"/>
            </w:tcBorders>
            <w:tcMar>
              <w:top w:w="0" w:type="dxa"/>
              <w:left w:w="108" w:type="dxa"/>
              <w:bottom w:w="0" w:type="dxa"/>
              <w:right w:w="108" w:type="dxa"/>
            </w:tcMar>
            <w:vAlign w:val="center"/>
          </w:tcPr>
          <w:p w14:paraId="5D676C74">
            <w:pPr>
              <w:widowControl/>
              <w:spacing w:line="590" w:lineRule="atLeast"/>
              <w:jc w:val="center"/>
              <w:rPr>
                <w:rFonts w:ascii="Times New Roman" w:hAnsi="Times New Roman" w:eastAsia="宋体" w:cs="Times New Roman"/>
                <w:kern w:val="0"/>
                <w:szCs w:val="21"/>
              </w:rPr>
            </w:pPr>
            <w:r>
              <w:rPr>
                <w:rFonts w:hint="eastAsia" w:ascii="宋体" w:hAnsi="宋体" w:eastAsia="宋体" w:cs="Times New Roman"/>
                <w:kern w:val="0"/>
                <w:sz w:val="28"/>
                <w:szCs w:val="28"/>
              </w:rPr>
              <w:t>40</w:t>
            </w:r>
          </w:p>
        </w:tc>
        <w:tc>
          <w:tcPr>
            <w:tcW w:w="1042" w:type="dxa"/>
            <w:tcBorders>
              <w:top w:val="nil"/>
              <w:left w:val="nil"/>
              <w:bottom w:val="single" w:color="auto" w:sz="8" w:space="0"/>
              <w:right w:val="single" w:color="auto" w:sz="8" w:space="0"/>
            </w:tcBorders>
            <w:tcMar>
              <w:top w:w="0" w:type="dxa"/>
              <w:left w:w="108" w:type="dxa"/>
              <w:bottom w:w="0" w:type="dxa"/>
              <w:right w:w="108" w:type="dxa"/>
            </w:tcMar>
            <w:vAlign w:val="center"/>
          </w:tcPr>
          <w:p w14:paraId="2F1DB8BE">
            <w:pPr>
              <w:widowControl/>
              <w:spacing w:line="590" w:lineRule="atLeast"/>
              <w:jc w:val="center"/>
              <w:rPr>
                <w:rFonts w:ascii="Times New Roman" w:hAnsi="Times New Roman" w:eastAsia="宋体" w:cs="Times New Roman"/>
                <w:kern w:val="0"/>
                <w:szCs w:val="21"/>
              </w:rPr>
            </w:pPr>
            <w:r>
              <w:rPr>
                <w:rFonts w:hint="eastAsia" w:ascii="宋体" w:hAnsi="宋体" w:eastAsia="宋体" w:cs="Times New Roman"/>
                <w:kern w:val="0"/>
                <w:sz w:val="28"/>
                <w:szCs w:val="28"/>
              </w:rPr>
              <w:t>电子</w:t>
            </w:r>
          </w:p>
        </w:tc>
      </w:tr>
      <w:tr w14:paraId="6C49888F">
        <w:tblPrEx>
          <w:tblCellMar>
            <w:top w:w="15" w:type="dxa"/>
            <w:left w:w="15" w:type="dxa"/>
            <w:bottom w:w="15" w:type="dxa"/>
            <w:right w:w="15" w:type="dxa"/>
          </w:tblCellMar>
        </w:tblPrEx>
        <w:trPr>
          <w:trHeight w:val="896" w:hRule="atLeast"/>
          <w:jc w:val="center"/>
        </w:trPr>
        <w:tc>
          <w:tcPr>
            <w:tcW w:w="1912"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29C72F15">
            <w:pPr>
              <w:widowControl/>
              <w:spacing w:line="590" w:lineRule="atLeast"/>
              <w:jc w:val="center"/>
              <w:rPr>
                <w:rFonts w:ascii="Times New Roman" w:hAnsi="Times New Roman" w:eastAsia="宋体" w:cs="Times New Roman"/>
                <w:kern w:val="0"/>
                <w:szCs w:val="21"/>
              </w:rPr>
            </w:pPr>
            <w:r>
              <w:rPr>
                <w:rFonts w:hint="eastAsia" w:ascii="宋体" w:hAnsi="宋体" w:eastAsia="宋体" w:cs="Times New Roman"/>
                <w:kern w:val="0"/>
                <w:sz w:val="28"/>
                <w:szCs w:val="28"/>
              </w:rPr>
              <w:t>数字化分析业务</w:t>
            </w:r>
          </w:p>
        </w:tc>
        <w:tc>
          <w:tcPr>
            <w:tcW w:w="4995" w:type="dxa"/>
            <w:tcBorders>
              <w:top w:val="nil"/>
              <w:left w:val="nil"/>
              <w:bottom w:val="single" w:color="auto" w:sz="8" w:space="0"/>
              <w:right w:val="single" w:color="auto" w:sz="8" w:space="0"/>
            </w:tcBorders>
            <w:tcMar>
              <w:top w:w="0" w:type="dxa"/>
              <w:left w:w="108" w:type="dxa"/>
              <w:bottom w:w="0" w:type="dxa"/>
              <w:right w:w="108" w:type="dxa"/>
            </w:tcMar>
            <w:vAlign w:val="center"/>
          </w:tcPr>
          <w:p w14:paraId="4CD6E3D1">
            <w:pPr>
              <w:widowControl/>
              <w:spacing w:line="590" w:lineRule="atLeast"/>
              <w:jc w:val="left"/>
              <w:rPr>
                <w:rFonts w:ascii="Times New Roman" w:hAnsi="Times New Roman" w:eastAsia="宋体" w:cs="Times New Roman"/>
                <w:kern w:val="0"/>
                <w:szCs w:val="21"/>
              </w:rPr>
            </w:pPr>
            <w:r>
              <w:rPr>
                <w:rFonts w:hint="eastAsia" w:ascii="宋体" w:hAnsi="宋体" w:eastAsia="宋体" w:cs="Times New Roman"/>
                <w:kern w:val="0"/>
                <w:sz w:val="28"/>
                <w:szCs w:val="28"/>
              </w:rPr>
              <w:t>获取数据：以企业日常经营生产活动为问题导向，利用内置的python工具收集财税资料和各个岗位的核算数据。</w:t>
            </w:r>
          </w:p>
        </w:tc>
        <w:tc>
          <w:tcPr>
            <w:tcW w:w="735" w:type="dxa"/>
            <w:tcBorders>
              <w:top w:val="nil"/>
              <w:left w:val="nil"/>
              <w:bottom w:val="single" w:color="auto" w:sz="8" w:space="0"/>
              <w:right w:val="single" w:color="auto" w:sz="8" w:space="0"/>
            </w:tcBorders>
            <w:tcMar>
              <w:top w:w="0" w:type="dxa"/>
              <w:left w:w="108" w:type="dxa"/>
              <w:bottom w:w="0" w:type="dxa"/>
              <w:right w:w="108" w:type="dxa"/>
            </w:tcMar>
            <w:vAlign w:val="center"/>
          </w:tcPr>
          <w:p w14:paraId="4C8833DD">
            <w:pPr>
              <w:widowControl/>
              <w:spacing w:line="590" w:lineRule="atLeast"/>
              <w:jc w:val="center"/>
              <w:rPr>
                <w:rFonts w:ascii="Times New Roman" w:hAnsi="Times New Roman" w:eastAsia="宋体" w:cs="Times New Roman"/>
                <w:kern w:val="0"/>
                <w:szCs w:val="21"/>
              </w:rPr>
            </w:pPr>
            <w:r>
              <w:rPr>
                <w:rFonts w:hint="eastAsia" w:ascii="宋体" w:hAnsi="宋体" w:eastAsia="宋体" w:cs="Times New Roman"/>
                <w:kern w:val="0"/>
                <w:sz w:val="28"/>
                <w:szCs w:val="28"/>
              </w:rPr>
              <w:t>20</w:t>
            </w:r>
          </w:p>
        </w:tc>
        <w:tc>
          <w:tcPr>
            <w:tcW w:w="1042" w:type="dxa"/>
            <w:tcBorders>
              <w:top w:val="nil"/>
              <w:left w:val="nil"/>
              <w:bottom w:val="single" w:color="auto" w:sz="8" w:space="0"/>
              <w:right w:val="single" w:color="auto" w:sz="8" w:space="0"/>
            </w:tcBorders>
            <w:tcMar>
              <w:top w:w="0" w:type="dxa"/>
              <w:left w:w="108" w:type="dxa"/>
              <w:bottom w:w="0" w:type="dxa"/>
              <w:right w:w="108" w:type="dxa"/>
            </w:tcMar>
            <w:vAlign w:val="center"/>
          </w:tcPr>
          <w:p w14:paraId="359666A4">
            <w:pPr>
              <w:widowControl/>
              <w:spacing w:line="590" w:lineRule="atLeast"/>
              <w:jc w:val="center"/>
              <w:rPr>
                <w:rFonts w:ascii="Times New Roman" w:hAnsi="Times New Roman" w:eastAsia="宋体" w:cs="Times New Roman"/>
                <w:kern w:val="0"/>
                <w:szCs w:val="21"/>
              </w:rPr>
            </w:pPr>
            <w:r>
              <w:rPr>
                <w:rFonts w:hint="eastAsia" w:ascii="宋体" w:hAnsi="宋体" w:eastAsia="宋体" w:cs="Times New Roman"/>
                <w:kern w:val="0"/>
                <w:sz w:val="28"/>
                <w:szCs w:val="28"/>
              </w:rPr>
              <w:t>电子</w:t>
            </w:r>
          </w:p>
        </w:tc>
      </w:tr>
      <w:tr w14:paraId="027B661B">
        <w:tblPrEx>
          <w:tblCellMar>
            <w:top w:w="15" w:type="dxa"/>
            <w:left w:w="15" w:type="dxa"/>
            <w:bottom w:w="15" w:type="dxa"/>
            <w:right w:w="15" w:type="dxa"/>
          </w:tblCellMar>
        </w:tblPrEx>
        <w:trPr>
          <w:trHeight w:val="896" w:hRule="atLeast"/>
          <w:jc w:val="center"/>
        </w:trPr>
        <w:tc>
          <w:tcPr>
            <w:tcW w:w="0" w:type="auto"/>
            <w:vMerge w:val="continue"/>
            <w:tcBorders>
              <w:top w:val="nil"/>
              <w:left w:val="single" w:color="auto" w:sz="8" w:space="0"/>
              <w:bottom w:val="single" w:color="auto" w:sz="8" w:space="0"/>
              <w:right w:val="single" w:color="auto" w:sz="8" w:space="0"/>
            </w:tcBorders>
            <w:tcMar>
              <w:top w:w="0" w:type="dxa"/>
              <w:left w:w="0" w:type="dxa"/>
              <w:bottom w:w="0" w:type="dxa"/>
              <w:right w:w="0" w:type="dxa"/>
            </w:tcMar>
            <w:vAlign w:val="center"/>
          </w:tcPr>
          <w:p w14:paraId="4CF88DD9">
            <w:pPr>
              <w:widowControl/>
              <w:jc w:val="left"/>
              <w:rPr>
                <w:rFonts w:ascii="Times New Roman" w:hAnsi="Times New Roman" w:eastAsia="宋体" w:cs="Times New Roman"/>
                <w:kern w:val="0"/>
                <w:szCs w:val="21"/>
              </w:rPr>
            </w:pPr>
          </w:p>
        </w:tc>
        <w:tc>
          <w:tcPr>
            <w:tcW w:w="4995" w:type="dxa"/>
            <w:tcBorders>
              <w:top w:val="nil"/>
              <w:left w:val="nil"/>
              <w:bottom w:val="single" w:color="auto" w:sz="8" w:space="0"/>
              <w:right w:val="single" w:color="auto" w:sz="8" w:space="0"/>
            </w:tcBorders>
            <w:tcMar>
              <w:top w:w="0" w:type="dxa"/>
              <w:left w:w="108" w:type="dxa"/>
              <w:bottom w:w="0" w:type="dxa"/>
              <w:right w:w="108" w:type="dxa"/>
            </w:tcMar>
            <w:vAlign w:val="center"/>
          </w:tcPr>
          <w:p w14:paraId="735EB5AD">
            <w:pPr>
              <w:widowControl/>
              <w:spacing w:line="590" w:lineRule="atLeast"/>
              <w:jc w:val="left"/>
              <w:rPr>
                <w:rFonts w:ascii="Times New Roman" w:hAnsi="Times New Roman" w:eastAsia="宋体" w:cs="Times New Roman"/>
                <w:kern w:val="0"/>
                <w:szCs w:val="21"/>
              </w:rPr>
            </w:pPr>
            <w:r>
              <w:rPr>
                <w:rFonts w:hint="eastAsia" w:ascii="宋体" w:hAnsi="宋体" w:eastAsia="宋体" w:cs="Times New Roman"/>
                <w:kern w:val="0"/>
                <w:sz w:val="28"/>
                <w:szCs w:val="28"/>
              </w:rPr>
              <w:t>数据处理：将收集的核算数据运用商务智能分析工具进行包括数据清洗、数据集成、数据标准化处理等数据处理。</w:t>
            </w:r>
          </w:p>
        </w:tc>
        <w:tc>
          <w:tcPr>
            <w:tcW w:w="735" w:type="dxa"/>
            <w:tcBorders>
              <w:top w:val="nil"/>
              <w:left w:val="nil"/>
              <w:bottom w:val="single" w:color="auto" w:sz="8" w:space="0"/>
              <w:right w:val="single" w:color="auto" w:sz="8" w:space="0"/>
            </w:tcBorders>
            <w:tcMar>
              <w:top w:w="0" w:type="dxa"/>
              <w:left w:w="108" w:type="dxa"/>
              <w:bottom w:w="0" w:type="dxa"/>
              <w:right w:w="108" w:type="dxa"/>
            </w:tcMar>
            <w:vAlign w:val="center"/>
          </w:tcPr>
          <w:p w14:paraId="314B0FB9">
            <w:pPr>
              <w:widowControl/>
              <w:spacing w:line="590" w:lineRule="atLeast"/>
              <w:jc w:val="center"/>
              <w:rPr>
                <w:rFonts w:ascii="Times New Roman" w:hAnsi="Times New Roman" w:eastAsia="宋体" w:cs="Times New Roman"/>
                <w:kern w:val="0"/>
                <w:szCs w:val="21"/>
              </w:rPr>
            </w:pPr>
            <w:r>
              <w:rPr>
                <w:rFonts w:hint="eastAsia" w:ascii="宋体" w:hAnsi="宋体" w:eastAsia="宋体" w:cs="Times New Roman"/>
                <w:kern w:val="0"/>
                <w:sz w:val="28"/>
                <w:szCs w:val="28"/>
              </w:rPr>
              <w:t>40</w:t>
            </w:r>
          </w:p>
        </w:tc>
        <w:tc>
          <w:tcPr>
            <w:tcW w:w="1042" w:type="dxa"/>
            <w:tcBorders>
              <w:top w:val="nil"/>
              <w:left w:val="nil"/>
              <w:bottom w:val="single" w:color="auto" w:sz="8" w:space="0"/>
              <w:right w:val="single" w:color="auto" w:sz="8" w:space="0"/>
            </w:tcBorders>
            <w:tcMar>
              <w:top w:w="0" w:type="dxa"/>
              <w:left w:w="108" w:type="dxa"/>
              <w:bottom w:w="0" w:type="dxa"/>
              <w:right w:w="108" w:type="dxa"/>
            </w:tcMar>
            <w:vAlign w:val="center"/>
          </w:tcPr>
          <w:p w14:paraId="08B15A31">
            <w:pPr>
              <w:widowControl/>
              <w:spacing w:line="590" w:lineRule="atLeast"/>
              <w:jc w:val="center"/>
              <w:rPr>
                <w:rFonts w:ascii="Times New Roman" w:hAnsi="Times New Roman" w:eastAsia="宋体" w:cs="Times New Roman"/>
                <w:kern w:val="0"/>
                <w:szCs w:val="21"/>
              </w:rPr>
            </w:pPr>
            <w:r>
              <w:rPr>
                <w:rFonts w:hint="eastAsia" w:ascii="宋体" w:hAnsi="宋体" w:eastAsia="宋体" w:cs="Times New Roman"/>
                <w:kern w:val="0"/>
                <w:sz w:val="28"/>
                <w:szCs w:val="28"/>
              </w:rPr>
              <w:t>电子</w:t>
            </w:r>
          </w:p>
        </w:tc>
      </w:tr>
      <w:tr w14:paraId="5518542C">
        <w:tblPrEx>
          <w:tblCellMar>
            <w:top w:w="15" w:type="dxa"/>
            <w:left w:w="15" w:type="dxa"/>
            <w:bottom w:w="15" w:type="dxa"/>
            <w:right w:w="15" w:type="dxa"/>
          </w:tblCellMar>
        </w:tblPrEx>
        <w:trPr>
          <w:trHeight w:val="896" w:hRule="atLeast"/>
          <w:jc w:val="center"/>
        </w:trPr>
        <w:tc>
          <w:tcPr>
            <w:tcW w:w="0" w:type="auto"/>
            <w:vMerge w:val="continue"/>
            <w:tcBorders>
              <w:top w:val="nil"/>
              <w:left w:val="single" w:color="auto" w:sz="8" w:space="0"/>
              <w:bottom w:val="single" w:color="auto" w:sz="8" w:space="0"/>
              <w:right w:val="single" w:color="auto" w:sz="8" w:space="0"/>
            </w:tcBorders>
            <w:tcMar>
              <w:top w:w="0" w:type="dxa"/>
              <w:left w:w="0" w:type="dxa"/>
              <w:bottom w:w="0" w:type="dxa"/>
              <w:right w:w="0" w:type="dxa"/>
            </w:tcMar>
            <w:vAlign w:val="center"/>
          </w:tcPr>
          <w:p w14:paraId="36BD5830">
            <w:pPr>
              <w:widowControl/>
              <w:jc w:val="left"/>
              <w:rPr>
                <w:rFonts w:ascii="Times New Roman" w:hAnsi="Times New Roman" w:eastAsia="宋体" w:cs="Times New Roman"/>
                <w:kern w:val="0"/>
                <w:szCs w:val="21"/>
              </w:rPr>
            </w:pPr>
          </w:p>
        </w:tc>
        <w:tc>
          <w:tcPr>
            <w:tcW w:w="4995" w:type="dxa"/>
            <w:tcBorders>
              <w:top w:val="nil"/>
              <w:left w:val="nil"/>
              <w:bottom w:val="single" w:color="auto" w:sz="8" w:space="0"/>
              <w:right w:val="single" w:color="auto" w:sz="8" w:space="0"/>
            </w:tcBorders>
            <w:tcMar>
              <w:top w:w="0" w:type="dxa"/>
              <w:left w:w="108" w:type="dxa"/>
              <w:bottom w:w="0" w:type="dxa"/>
              <w:right w:w="108" w:type="dxa"/>
            </w:tcMar>
            <w:vAlign w:val="center"/>
          </w:tcPr>
          <w:p w14:paraId="0A21957A">
            <w:pPr>
              <w:widowControl/>
              <w:spacing w:line="590" w:lineRule="atLeast"/>
              <w:jc w:val="left"/>
              <w:rPr>
                <w:rFonts w:ascii="Times New Roman" w:hAnsi="Times New Roman" w:eastAsia="宋体" w:cs="Times New Roman"/>
                <w:kern w:val="0"/>
                <w:szCs w:val="21"/>
              </w:rPr>
            </w:pPr>
            <w:r>
              <w:rPr>
                <w:rFonts w:hint="eastAsia" w:ascii="宋体" w:hAnsi="宋体" w:eastAsia="宋体" w:cs="Times New Roman"/>
                <w:kern w:val="0"/>
                <w:sz w:val="28"/>
                <w:szCs w:val="28"/>
              </w:rPr>
              <w:t>数据分析：结合案例背景及问题，运用专业的财务知识，多角度选择分析指标，确定合适的数字分析模型，建模分析案例企业面临的问题。</w:t>
            </w:r>
          </w:p>
        </w:tc>
        <w:tc>
          <w:tcPr>
            <w:tcW w:w="735" w:type="dxa"/>
            <w:tcBorders>
              <w:top w:val="nil"/>
              <w:left w:val="nil"/>
              <w:bottom w:val="single" w:color="auto" w:sz="8" w:space="0"/>
              <w:right w:val="single" w:color="auto" w:sz="8" w:space="0"/>
            </w:tcBorders>
            <w:tcMar>
              <w:top w:w="0" w:type="dxa"/>
              <w:left w:w="108" w:type="dxa"/>
              <w:bottom w:w="0" w:type="dxa"/>
              <w:right w:w="108" w:type="dxa"/>
            </w:tcMar>
            <w:vAlign w:val="center"/>
          </w:tcPr>
          <w:p w14:paraId="3BF691A7">
            <w:pPr>
              <w:widowControl/>
              <w:spacing w:line="590" w:lineRule="atLeast"/>
              <w:jc w:val="center"/>
              <w:rPr>
                <w:rFonts w:ascii="Times New Roman" w:hAnsi="Times New Roman" w:eastAsia="宋体" w:cs="Times New Roman"/>
                <w:kern w:val="0"/>
                <w:szCs w:val="21"/>
              </w:rPr>
            </w:pPr>
            <w:r>
              <w:rPr>
                <w:rFonts w:hint="eastAsia" w:ascii="宋体" w:hAnsi="宋体" w:eastAsia="宋体" w:cs="Times New Roman"/>
                <w:kern w:val="0"/>
                <w:sz w:val="28"/>
                <w:szCs w:val="28"/>
              </w:rPr>
              <w:t>60</w:t>
            </w:r>
          </w:p>
        </w:tc>
        <w:tc>
          <w:tcPr>
            <w:tcW w:w="1042" w:type="dxa"/>
            <w:tcBorders>
              <w:top w:val="nil"/>
              <w:left w:val="nil"/>
              <w:bottom w:val="single" w:color="auto" w:sz="8" w:space="0"/>
              <w:right w:val="single" w:color="auto" w:sz="8" w:space="0"/>
            </w:tcBorders>
            <w:tcMar>
              <w:top w:w="0" w:type="dxa"/>
              <w:left w:w="108" w:type="dxa"/>
              <w:bottom w:w="0" w:type="dxa"/>
              <w:right w:w="108" w:type="dxa"/>
            </w:tcMar>
            <w:vAlign w:val="center"/>
          </w:tcPr>
          <w:p w14:paraId="16EDE841">
            <w:pPr>
              <w:widowControl/>
              <w:spacing w:line="590" w:lineRule="atLeast"/>
              <w:jc w:val="center"/>
              <w:rPr>
                <w:rFonts w:ascii="Times New Roman" w:hAnsi="Times New Roman" w:eastAsia="宋体" w:cs="Times New Roman"/>
                <w:kern w:val="0"/>
                <w:szCs w:val="21"/>
              </w:rPr>
            </w:pPr>
            <w:r>
              <w:rPr>
                <w:rFonts w:hint="eastAsia" w:ascii="宋体" w:hAnsi="宋体" w:eastAsia="宋体" w:cs="Times New Roman"/>
                <w:kern w:val="0"/>
                <w:sz w:val="28"/>
                <w:szCs w:val="28"/>
              </w:rPr>
              <w:t>电子</w:t>
            </w:r>
          </w:p>
        </w:tc>
      </w:tr>
      <w:tr w14:paraId="2B48A991">
        <w:tblPrEx>
          <w:tblCellMar>
            <w:top w:w="15" w:type="dxa"/>
            <w:left w:w="15" w:type="dxa"/>
            <w:bottom w:w="15" w:type="dxa"/>
            <w:right w:w="15" w:type="dxa"/>
          </w:tblCellMar>
        </w:tblPrEx>
        <w:trPr>
          <w:trHeight w:val="896" w:hRule="atLeast"/>
          <w:jc w:val="center"/>
        </w:trPr>
        <w:tc>
          <w:tcPr>
            <w:tcW w:w="0" w:type="auto"/>
            <w:vMerge w:val="continue"/>
            <w:tcBorders>
              <w:top w:val="nil"/>
              <w:left w:val="single" w:color="auto" w:sz="8" w:space="0"/>
              <w:bottom w:val="single" w:color="auto" w:sz="8" w:space="0"/>
              <w:right w:val="single" w:color="auto" w:sz="8" w:space="0"/>
            </w:tcBorders>
            <w:tcMar>
              <w:top w:w="0" w:type="dxa"/>
              <w:left w:w="0" w:type="dxa"/>
              <w:bottom w:w="0" w:type="dxa"/>
              <w:right w:w="0" w:type="dxa"/>
            </w:tcMar>
            <w:vAlign w:val="center"/>
          </w:tcPr>
          <w:p w14:paraId="75FD111F">
            <w:pPr>
              <w:widowControl/>
              <w:jc w:val="left"/>
              <w:rPr>
                <w:rFonts w:ascii="Times New Roman" w:hAnsi="Times New Roman" w:eastAsia="宋体" w:cs="Times New Roman"/>
                <w:kern w:val="0"/>
                <w:szCs w:val="21"/>
              </w:rPr>
            </w:pPr>
          </w:p>
        </w:tc>
        <w:tc>
          <w:tcPr>
            <w:tcW w:w="4995" w:type="dxa"/>
            <w:tcBorders>
              <w:top w:val="nil"/>
              <w:left w:val="nil"/>
              <w:bottom w:val="single" w:color="auto" w:sz="8" w:space="0"/>
              <w:right w:val="single" w:color="auto" w:sz="8" w:space="0"/>
            </w:tcBorders>
            <w:tcMar>
              <w:top w:w="0" w:type="dxa"/>
              <w:left w:w="108" w:type="dxa"/>
              <w:bottom w:w="0" w:type="dxa"/>
              <w:right w:w="108" w:type="dxa"/>
            </w:tcMar>
            <w:vAlign w:val="center"/>
          </w:tcPr>
          <w:p w14:paraId="54A674BA">
            <w:pPr>
              <w:widowControl/>
              <w:spacing w:line="590" w:lineRule="atLeast"/>
              <w:jc w:val="left"/>
              <w:rPr>
                <w:rFonts w:ascii="Times New Roman" w:hAnsi="Times New Roman" w:eastAsia="宋体" w:cs="Times New Roman"/>
                <w:kern w:val="0"/>
                <w:szCs w:val="21"/>
              </w:rPr>
            </w:pPr>
            <w:r>
              <w:rPr>
                <w:rFonts w:hint="eastAsia" w:ascii="宋体" w:hAnsi="宋体" w:eastAsia="宋体" w:cs="Times New Roman"/>
                <w:kern w:val="0"/>
                <w:sz w:val="28"/>
                <w:szCs w:val="28"/>
              </w:rPr>
              <w:t>数据可视化：运用平台内置的可视化工具，将数据分析结果以可视化的形式呈现，最终输出企业的分析决策。</w:t>
            </w:r>
          </w:p>
        </w:tc>
        <w:tc>
          <w:tcPr>
            <w:tcW w:w="735" w:type="dxa"/>
            <w:tcBorders>
              <w:top w:val="nil"/>
              <w:left w:val="nil"/>
              <w:bottom w:val="single" w:color="auto" w:sz="8" w:space="0"/>
              <w:right w:val="single" w:color="auto" w:sz="8" w:space="0"/>
            </w:tcBorders>
            <w:tcMar>
              <w:top w:w="0" w:type="dxa"/>
              <w:left w:w="108" w:type="dxa"/>
              <w:bottom w:w="0" w:type="dxa"/>
              <w:right w:w="108" w:type="dxa"/>
            </w:tcMar>
            <w:vAlign w:val="center"/>
          </w:tcPr>
          <w:p w14:paraId="4E27213B">
            <w:pPr>
              <w:widowControl/>
              <w:spacing w:line="590" w:lineRule="atLeast"/>
              <w:jc w:val="center"/>
              <w:rPr>
                <w:rFonts w:ascii="Times New Roman" w:hAnsi="Times New Roman" w:eastAsia="宋体" w:cs="Times New Roman"/>
                <w:kern w:val="0"/>
                <w:szCs w:val="21"/>
              </w:rPr>
            </w:pPr>
            <w:r>
              <w:rPr>
                <w:rFonts w:hint="eastAsia" w:ascii="宋体" w:hAnsi="宋体" w:eastAsia="宋体" w:cs="Times New Roman"/>
                <w:kern w:val="0"/>
                <w:sz w:val="28"/>
                <w:szCs w:val="28"/>
              </w:rPr>
              <w:t>40</w:t>
            </w:r>
          </w:p>
        </w:tc>
        <w:tc>
          <w:tcPr>
            <w:tcW w:w="1042" w:type="dxa"/>
            <w:tcBorders>
              <w:top w:val="nil"/>
              <w:left w:val="nil"/>
              <w:bottom w:val="single" w:color="auto" w:sz="8" w:space="0"/>
              <w:right w:val="single" w:color="auto" w:sz="8" w:space="0"/>
            </w:tcBorders>
            <w:tcMar>
              <w:top w:w="0" w:type="dxa"/>
              <w:left w:w="108" w:type="dxa"/>
              <w:bottom w:w="0" w:type="dxa"/>
              <w:right w:w="108" w:type="dxa"/>
            </w:tcMar>
            <w:vAlign w:val="center"/>
          </w:tcPr>
          <w:p w14:paraId="4FCEBB86">
            <w:pPr>
              <w:widowControl/>
              <w:spacing w:line="590" w:lineRule="atLeast"/>
              <w:jc w:val="center"/>
              <w:rPr>
                <w:rFonts w:ascii="Times New Roman" w:hAnsi="Times New Roman" w:eastAsia="宋体" w:cs="Times New Roman"/>
                <w:kern w:val="0"/>
                <w:szCs w:val="21"/>
              </w:rPr>
            </w:pPr>
            <w:r>
              <w:rPr>
                <w:rFonts w:hint="eastAsia" w:ascii="宋体" w:hAnsi="宋体" w:eastAsia="宋体" w:cs="Times New Roman"/>
                <w:kern w:val="0"/>
                <w:sz w:val="28"/>
                <w:szCs w:val="28"/>
              </w:rPr>
              <w:t>电子</w:t>
            </w:r>
          </w:p>
        </w:tc>
      </w:tr>
      <w:tr w14:paraId="75357981">
        <w:tblPrEx>
          <w:tblCellMar>
            <w:top w:w="15" w:type="dxa"/>
            <w:left w:w="15" w:type="dxa"/>
            <w:bottom w:w="15" w:type="dxa"/>
            <w:right w:w="15" w:type="dxa"/>
          </w:tblCellMar>
        </w:tblPrEx>
        <w:trPr>
          <w:trHeight w:val="636" w:hRule="atLeast"/>
          <w:jc w:val="center"/>
        </w:trPr>
        <w:tc>
          <w:tcPr>
            <w:tcW w:w="6907" w:type="dxa"/>
            <w:gridSpan w:val="2"/>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2746B0A1">
            <w:pPr>
              <w:widowControl/>
              <w:spacing w:line="590" w:lineRule="atLeast"/>
              <w:ind w:firstLine="2632"/>
              <w:jc w:val="left"/>
              <w:rPr>
                <w:rFonts w:ascii="Times New Roman" w:hAnsi="Times New Roman" w:eastAsia="宋体" w:cs="Times New Roman"/>
                <w:kern w:val="0"/>
                <w:szCs w:val="21"/>
              </w:rPr>
            </w:pPr>
            <w:r>
              <w:rPr>
                <w:rFonts w:hint="eastAsia" w:ascii="宋体" w:hAnsi="宋体" w:eastAsia="宋体" w:cs="Times New Roman"/>
                <w:kern w:val="0"/>
                <w:sz w:val="28"/>
                <w:szCs w:val="28"/>
              </w:rPr>
              <w:t>合   计</w:t>
            </w:r>
          </w:p>
        </w:tc>
        <w:tc>
          <w:tcPr>
            <w:tcW w:w="735" w:type="dxa"/>
            <w:tcBorders>
              <w:top w:val="nil"/>
              <w:left w:val="nil"/>
              <w:bottom w:val="single" w:color="auto" w:sz="8" w:space="0"/>
              <w:right w:val="single" w:color="auto" w:sz="8" w:space="0"/>
            </w:tcBorders>
            <w:tcMar>
              <w:top w:w="0" w:type="dxa"/>
              <w:left w:w="108" w:type="dxa"/>
              <w:bottom w:w="0" w:type="dxa"/>
              <w:right w:w="108" w:type="dxa"/>
            </w:tcMar>
            <w:vAlign w:val="center"/>
          </w:tcPr>
          <w:p w14:paraId="036B4178">
            <w:pPr>
              <w:widowControl/>
              <w:spacing w:line="590" w:lineRule="atLeast"/>
              <w:jc w:val="center"/>
              <w:rPr>
                <w:rFonts w:ascii="Times New Roman" w:hAnsi="Times New Roman" w:eastAsia="宋体" w:cs="Times New Roman"/>
                <w:kern w:val="0"/>
                <w:szCs w:val="21"/>
              </w:rPr>
            </w:pPr>
            <w:r>
              <w:rPr>
                <w:rFonts w:hint="eastAsia" w:ascii="宋体" w:hAnsi="宋体" w:eastAsia="宋体" w:cs="Times New Roman"/>
                <w:kern w:val="0"/>
                <w:sz w:val="28"/>
                <w:szCs w:val="28"/>
              </w:rPr>
              <w:t>400</w:t>
            </w:r>
          </w:p>
        </w:tc>
        <w:tc>
          <w:tcPr>
            <w:tcW w:w="1042" w:type="dxa"/>
            <w:tcBorders>
              <w:top w:val="nil"/>
              <w:left w:val="nil"/>
              <w:bottom w:val="single" w:color="auto" w:sz="8" w:space="0"/>
              <w:right w:val="single" w:color="auto" w:sz="8" w:space="0"/>
            </w:tcBorders>
            <w:tcMar>
              <w:top w:w="0" w:type="dxa"/>
              <w:left w:w="108" w:type="dxa"/>
              <w:bottom w:w="0" w:type="dxa"/>
              <w:right w:w="108" w:type="dxa"/>
            </w:tcMar>
            <w:vAlign w:val="center"/>
          </w:tcPr>
          <w:p w14:paraId="1E0CAE4F">
            <w:pPr>
              <w:widowControl/>
              <w:spacing w:line="590" w:lineRule="atLeast"/>
              <w:jc w:val="center"/>
              <w:rPr>
                <w:rFonts w:ascii="Times New Roman" w:hAnsi="Times New Roman" w:eastAsia="宋体" w:cs="Times New Roman"/>
                <w:kern w:val="0"/>
                <w:szCs w:val="21"/>
              </w:rPr>
            </w:pPr>
            <w:r>
              <w:rPr>
                <w:rFonts w:hint="eastAsia" w:ascii="宋体" w:hAnsi="宋体" w:eastAsia="宋体" w:cs="Times New Roman"/>
                <w:kern w:val="0"/>
                <w:sz w:val="28"/>
                <w:szCs w:val="28"/>
              </w:rPr>
              <w:t> </w:t>
            </w:r>
          </w:p>
        </w:tc>
      </w:tr>
    </w:tbl>
    <w:p w14:paraId="644F87E5">
      <w:pPr>
        <w:widowControl/>
        <w:shd w:val="clear" w:color="auto" w:fill="FFFFFF"/>
        <w:spacing w:line="590" w:lineRule="atLeast"/>
        <w:ind w:firstLine="560"/>
        <w:jc w:val="left"/>
        <w:rPr>
          <w:rFonts w:ascii="Times New Roman" w:hAnsi="Times New Roman" w:eastAsia="宋体" w:cs="Times New Roman"/>
          <w:color w:val="000000"/>
          <w:kern w:val="0"/>
          <w:szCs w:val="21"/>
        </w:rPr>
      </w:pPr>
    </w:p>
    <w:p w14:paraId="42D4FF6A">
      <w:pPr>
        <w:pStyle w:val="2"/>
        <w:rPr>
          <w:rFonts w:ascii="Times New Roman" w:hAnsi="Times New Roman"/>
          <w:szCs w:val="21"/>
        </w:rPr>
      </w:pPr>
      <w:r>
        <w:rPr>
          <w:rFonts w:hint="eastAsia"/>
        </w:rPr>
        <w:t>三、竞赛须知</w:t>
      </w:r>
    </w:p>
    <w:p w14:paraId="09512FC0">
      <w:pPr>
        <w:widowControl/>
        <w:shd w:val="clear" w:color="auto" w:fill="FFFFFF"/>
        <w:spacing w:line="590" w:lineRule="atLeast"/>
        <w:jc w:val="left"/>
        <w:rPr>
          <w:rFonts w:ascii="Times New Roman" w:hAnsi="Times New Roman" w:eastAsia="宋体" w:cs="Times New Roman"/>
          <w:b/>
          <w:bCs/>
          <w:color w:val="000000"/>
          <w:kern w:val="0"/>
          <w:szCs w:val="21"/>
        </w:rPr>
      </w:pPr>
      <w:r>
        <w:rPr>
          <w:rFonts w:hint="eastAsia" w:ascii="宋体" w:hAnsi="宋体" w:eastAsia="宋体" w:cs="Times New Roman"/>
          <w:b/>
          <w:bCs/>
          <w:color w:val="000000"/>
          <w:kern w:val="0"/>
          <w:sz w:val="28"/>
          <w:szCs w:val="28"/>
          <w:lang w:eastAsia="zh-CN"/>
        </w:rPr>
        <w:t>（</w:t>
      </w:r>
      <w:r>
        <w:rPr>
          <w:rFonts w:hint="eastAsia" w:ascii="宋体" w:hAnsi="宋体" w:eastAsia="宋体" w:cs="Times New Roman"/>
          <w:b/>
          <w:bCs/>
          <w:color w:val="000000"/>
          <w:kern w:val="0"/>
          <w:sz w:val="28"/>
          <w:szCs w:val="28"/>
          <w:lang w:val="en-US" w:eastAsia="zh-CN"/>
        </w:rPr>
        <w:t>一</w:t>
      </w:r>
      <w:r>
        <w:rPr>
          <w:rFonts w:hint="eastAsia" w:ascii="宋体" w:hAnsi="宋体" w:eastAsia="宋体" w:cs="Times New Roman"/>
          <w:b/>
          <w:bCs/>
          <w:color w:val="000000"/>
          <w:kern w:val="0"/>
          <w:sz w:val="28"/>
          <w:szCs w:val="28"/>
          <w:lang w:eastAsia="zh-CN"/>
        </w:rPr>
        <w:t>）</w:t>
      </w:r>
      <w:r>
        <w:rPr>
          <w:rFonts w:hint="eastAsia" w:ascii="宋体" w:hAnsi="宋体" w:eastAsia="宋体" w:cs="Times New Roman"/>
          <w:b/>
          <w:bCs/>
          <w:color w:val="000000"/>
          <w:kern w:val="0"/>
          <w:sz w:val="28"/>
          <w:szCs w:val="28"/>
        </w:rPr>
        <w:t>参赛队须知</w:t>
      </w:r>
    </w:p>
    <w:p w14:paraId="182E146D">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lang w:val="en-US" w:eastAsia="zh-CN"/>
        </w:rPr>
        <w:t>1.</w:t>
      </w:r>
      <w:r>
        <w:rPr>
          <w:rFonts w:hint="eastAsia" w:ascii="宋体" w:hAnsi="宋体" w:eastAsia="宋体" w:cs="Times New Roman"/>
          <w:color w:val="000000"/>
          <w:kern w:val="0"/>
          <w:sz w:val="28"/>
          <w:szCs w:val="28"/>
        </w:rPr>
        <w:t>各参赛代表队要发扬良好道德风尚，听从指挥，服从裁判，不弄虚作假。如发现弄虚作假者，将取消其参赛资格，所获名次无效。</w:t>
      </w:r>
    </w:p>
    <w:p w14:paraId="276F4056">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lang w:val="en-US" w:eastAsia="zh-CN"/>
        </w:rPr>
        <w:t>2.</w:t>
      </w:r>
      <w:r>
        <w:rPr>
          <w:rFonts w:hint="eastAsia" w:ascii="宋体" w:hAnsi="宋体" w:eastAsia="宋体" w:cs="Times New Roman"/>
          <w:color w:val="000000"/>
          <w:kern w:val="0"/>
          <w:sz w:val="28"/>
          <w:szCs w:val="28"/>
        </w:rPr>
        <w:t>各参赛代表队要坚决执行竞赛各项规定，加强对参赛人员的管理，做好赛前准备工作，督促选手带好证件等竞赛相关材料。</w:t>
      </w:r>
    </w:p>
    <w:p w14:paraId="5AC3D7E5">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lang w:val="en-US" w:eastAsia="zh-CN"/>
        </w:rPr>
        <w:t>3.</w:t>
      </w:r>
      <w:r>
        <w:rPr>
          <w:rFonts w:hint="eastAsia" w:ascii="宋体" w:hAnsi="宋体" w:eastAsia="宋体" w:cs="Times New Roman"/>
          <w:color w:val="000000"/>
          <w:kern w:val="0"/>
          <w:sz w:val="28"/>
          <w:szCs w:val="28"/>
        </w:rPr>
        <w:t>决赛过程中，除参加当场次决赛的选手、执行裁判员、现场工作人员和经批准的人员外，领队、指导老师及其他人员一律不得进入竞赛现场。</w:t>
      </w:r>
    </w:p>
    <w:p w14:paraId="2C455E79">
      <w:pPr>
        <w:widowControl/>
        <w:shd w:val="clear" w:color="auto" w:fill="FFFFFF"/>
        <w:spacing w:line="590" w:lineRule="atLeast"/>
        <w:jc w:val="left"/>
        <w:rPr>
          <w:rFonts w:hint="eastAsia" w:ascii="宋体" w:hAnsi="宋体" w:eastAsia="宋体" w:cs="Times New Roman"/>
          <w:b/>
          <w:bCs/>
          <w:color w:val="000000"/>
          <w:kern w:val="0"/>
          <w:sz w:val="28"/>
          <w:szCs w:val="28"/>
        </w:rPr>
      </w:pPr>
      <w:r>
        <w:rPr>
          <w:rFonts w:hint="eastAsia" w:ascii="宋体" w:hAnsi="宋体" w:eastAsia="宋体" w:cs="Times New Roman"/>
          <w:b/>
          <w:bCs/>
          <w:color w:val="000000"/>
          <w:kern w:val="0"/>
          <w:sz w:val="28"/>
          <w:szCs w:val="28"/>
          <w:lang w:eastAsia="zh-CN"/>
        </w:rPr>
        <w:t>（</w:t>
      </w:r>
      <w:r>
        <w:rPr>
          <w:rFonts w:hint="eastAsia" w:ascii="宋体" w:hAnsi="宋体" w:eastAsia="宋体" w:cs="Times New Roman"/>
          <w:b/>
          <w:bCs/>
          <w:color w:val="000000"/>
          <w:kern w:val="0"/>
          <w:sz w:val="28"/>
          <w:szCs w:val="28"/>
          <w:lang w:val="en-US" w:eastAsia="zh-CN"/>
        </w:rPr>
        <w:t>二</w:t>
      </w:r>
      <w:r>
        <w:rPr>
          <w:rFonts w:hint="eastAsia" w:ascii="宋体" w:hAnsi="宋体" w:eastAsia="宋体" w:cs="Times New Roman"/>
          <w:b/>
          <w:bCs/>
          <w:color w:val="000000"/>
          <w:kern w:val="0"/>
          <w:sz w:val="28"/>
          <w:szCs w:val="28"/>
          <w:lang w:eastAsia="zh-CN"/>
        </w:rPr>
        <w:t>）</w:t>
      </w:r>
      <w:r>
        <w:rPr>
          <w:rFonts w:hint="eastAsia" w:ascii="宋体" w:hAnsi="宋体" w:eastAsia="宋体" w:cs="Times New Roman"/>
          <w:b/>
          <w:bCs/>
          <w:color w:val="000000"/>
          <w:kern w:val="0"/>
          <w:sz w:val="28"/>
          <w:szCs w:val="28"/>
        </w:rPr>
        <w:t>指导教师须知</w:t>
      </w:r>
    </w:p>
    <w:p w14:paraId="50370EB6">
      <w:pPr>
        <w:widowControl/>
        <w:shd w:val="clear" w:color="auto" w:fill="FFFFFF"/>
        <w:spacing w:line="590" w:lineRule="atLeast"/>
        <w:ind w:firstLine="560"/>
        <w:jc w:val="left"/>
        <w:rPr>
          <w:rFonts w:hint="eastAsia" w:ascii="宋体" w:hAnsi="宋体" w:eastAsia="宋体" w:cs="Times New Roman"/>
          <w:color w:val="000000"/>
          <w:kern w:val="0"/>
          <w:sz w:val="28"/>
          <w:szCs w:val="28"/>
        </w:rPr>
      </w:pPr>
      <w:r>
        <w:rPr>
          <w:rFonts w:hint="eastAsia" w:ascii="宋体" w:hAnsi="宋体" w:eastAsia="宋体" w:cs="Times New Roman"/>
          <w:color w:val="000000"/>
          <w:kern w:val="0"/>
          <w:sz w:val="28"/>
          <w:szCs w:val="28"/>
          <w:lang w:val="en-US" w:eastAsia="zh-CN"/>
        </w:rPr>
        <w:t>1.</w:t>
      </w:r>
      <w:r>
        <w:rPr>
          <w:rFonts w:hint="eastAsia" w:ascii="宋体" w:hAnsi="宋体" w:eastAsia="宋体" w:cs="Times New Roman"/>
          <w:color w:val="000000"/>
          <w:kern w:val="0"/>
          <w:sz w:val="28"/>
          <w:szCs w:val="28"/>
        </w:rPr>
        <w:t>指导教师应及时查看大赛专用网站和竞赛群有关赛项的通知和内容，认真研究和掌握本赛项竞赛的规程、技术规范和赛场要求，指导选手做好赛前的一切技术准备和竞赛准备工作。</w:t>
      </w:r>
    </w:p>
    <w:p w14:paraId="61E5928D">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lang w:val="en-US" w:eastAsia="zh-CN"/>
        </w:rPr>
        <w:t>2.</w:t>
      </w:r>
      <w:r>
        <w:rPr>
          <w:rFonts w:hint="eastAsia" w:ascii="宋体" w:hAnsi="宋体" w:eastAsia="宋体" w:cs="Times New Roman"/>
          <w:color w:val="000000"/>
          <w:kern w:val="0"/>
          <w:sz w:val="28"/>
          <w:szCs w:val="28"/>
        </w:rPr>
        <w:t>指导教师参加赛前说明会、领队会议，若因个人原因导致没有正常参加说明会或领队会议，导致竞赛信息及注意事项等情况不了解而产生的后果由参赛学校自行承担。</w:t>
      </w:r>
    </w:p>
    <w:p w14:paraId="506EE228">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lang w:val="en-US" w:eastAsia="zh-CN"/>
        </w:rPr>
        <w:t>3.</w:t>
      </w:r>
      <w:r>
        <w:rPr>
          <w:rFonts w:hint="eastAsia" w:ascii="宋体" w:hAnsi="宋体" w:eastAsia="宋体" w:cs="Times New Roman"/>
          <w:color w:val="000000"/>
          <w:kern w:val="0"/>
          <w:sz w:val="28"/>
          <w:szCs w:val="28"/>
        </w:rPr>
        <w:t>各参赛学校要给参加现场决赛的学生和指导教师集体购买保险，保证教师和学生的人身安全。</w:t>
      </w:r>
    </w:p>
    <w:p w14:paraId="1117AB07">
      <w:pPr>
        <w:widowControl/>
        <w:shd w:val="clear" w:color="auto" w:fill="FFFFFF"/>
        <w:spacing w:line="590" w:lineRule="atLeast"/>
        <w:jc w:val="left"/>
        <w:rPr>
          <w:rFonts w:hint="eastAsia" w:ascii="宋体" w:hAnsi="宋体" w:eastAsia="宋体" w:cs="Times New Roman"/>
          <w:b/>
          <w:bCs/>
          <w:color w:val="000000"/>
          <w:kern w:val="0"/>
          <w:sz w:val="28"/>
          <w:szCs w:val="28"/>
        </w:rPr>
      </w:pPr>
      <w:r>
        <w:rPr>
          <w:rFonts w:hint="eastAsia" w:ascii="宋体" w:hAnsi="宋体" w:eastAsia="宋体" w:cs="Times New Roman"/>
          <w:b/>
          <w:bCs/>
          <w:color w:val="000000"/>
          <w:kern w:val="0"/>
          <w:sz w:val="28"/>
          <w:szCs w:val="28"/>
          <w:lang w:eastAsia="zh-CN"/>
        </w:rPr>
        <w:t>（</w:t>
      </w:r>
      <w:r>
        <w:rPr>
          <w:rFonts w:hint="eastAsia" w:ascii="宋体" w:hAnsi="宋体" w:eastAsia="宋体" w:cs="Times New Roman"/>
          <w:b/>
          <w:bCs/>
          <w:color w:val="000000"/>
          <w:kern w:val="0"/>
          <w:sz w:val="28"/>
          <w:szCs w:val="28"/>
          <w:lang w:val="en-US" w:eastAsia="zh-CN"/>
        </w:rPr>
        <w:t>三</w:t>
      </w:r>
      <w:r>
        <w:rPr>
          <w:rFonts w:hint="eastAsia" w:ascii="宋体" w:hAnsi="宋体" w:eastAsia="宋体" w:cs="Times New Roman"/>
          <w:b/>
          <w:bCs/>
          <w:color w:val="000000"/>
          <w:kern w:val="0"/>
          <w:sz w:val="28"/>
          <w:szCs w:val="28"/>
          <w:lang w:eastAsia="zh-CN"/>
        </w:rPr>
        <w:t>）</w:t>
      </w:r>
      <w:r>
        <w:rPr>
          <w:rFonts w:hint="eastAsia" w:ascii="宋体" w:hAnsi="宋体" w:eastAsia="宋体" w:cs="Times New Roman"/>
          <w:b/>
          <w:bCs/>
          <w:color w:val="000000"/>
          <w:kern w:val="0"/>
          <w:sz w:val="28"/>
          <w:szCs w:val="28"/>
        </w:rPr>
        <w:t>参赛选手须知</w:t>
      </w:r>
    </w:p>
    <w:p w14:paraId="67711B94">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lang w:val="en-US" w:eastAsia="zh-CN"/>
        </w:rPr>
        <w:t>1.</w:t>
      </w:r>
      <w:r>
        <w:rPr>
          <w:rFonts w:hint="eastAsia" w:ascii="宋体" w:hAnsi="宋体" w:eastAsia="宋体" w:cs="Times New Roman"/>
          <w:color w:val="000000"/>
          <w:kern w:val="0"/>
          <w:sz w:val="28"/>
          <w:szCs w:val="28"/>
        </w:rPr>
        <w:t>参赛选手应按有关要求如实填报个人信息，并携带参赛证和有效身份证件、学生证件参加竞赛。</w:t>
      </w:r>
    </w:p>
    <w:p w14:paraId="37C8AAA8">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lang w:val="en-US" w:eastAsia="zh-CN"/>
        </w:rPr>
        <w:t>2.</w:t>
      </w:r>
      <w:r>
        <w:rPr>
          <w:rFonts w:hint="eastAsia" w:ascii="宋体" w:hAnsi="宋体" w:eastAsia="宋体" w:cs="Times New Roman"/>
          <w:color w:val="000000"/>
          <w:kern w:val="0"/>
          <w:sz w:val="28"/>
          <w:szCs w:val="28"/>
        </w:rPr>
        <w:t>参加选手请勿携带与竞赛无关的电子设备、通讯设备及其他资料与用品进入赛场，可携带无记忆功能计算器进入考场。</w:t>
      </w:r>
    </w:p>
    <w:p w14:paraId="11B749B4">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lang w:val="en-US" w:eastAsia="zh-CN"/>
        </w:rPr>
        <w:t>3.</w:t>
      </w:r>
      <w:r>
        <w:rPr>
          <w:rFonts w:hint="eastAsia" w:ascii="宋体" w:hAnsi="宋体" w:eastAsia="宋体" w:cs="Times New Roman"/>
          <w:color w:val="000000"/>
          <w:kern w:val="0"/>
          <w:sz w:val="28"/>
          <w:szCs w:val="28"/>
        </w:rPr>
        <w:t>参赛选手须在确认竞赛内容和现场设备等无误后开始竞赛。在竞赛过程中，如有疑问，参赛选手应举手示意，监考教师、技术人员等应及时予以解决。确因计算机软件或硬件故障，致使操作无法继续的，经裁判长确认，启用备用计算机。如身体不适，参赛选手应举手示意，现场医务人员按应急预案救治。</w:t>
      </w:r>
    </w:p>
    <w:p w14:paraId="781CB7A5">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lang w:val="en-US" w:eastAsia="zh-CN"/>
        </w:rPr>
        <w:t>4.</w:t>
      </w:r>
      <w:r>
        <w:rPr>
          <w:rFonts w:hint="eastAsia" w:ascii="宋体" w:hAnsi="宋体" w:eastAsia="宋体" w:cs="Times New Roman"/>
          <w:color w:val="000000"/>
          <w:kern w:val="0"/>
          <w:sz w:val="28"/>
          <w:szCs w:val="28"/>
        </w:rPr>
        <w:t>各参赛选手必须按规范要求操作竞赛设备，一旦出现较严重的安全事故，经裁判长批准后立即取消其参赛资格。</w:t>
      </w:r>
    </w:p>
    <w:p w14:paraId="4AFAF00F">
      <w:pPr>
        <w:widowControl/>
        <w:shd w:val="clear" w:color="auto" w:fill="FFFFFF"/>
        <w:spacing w:line="590" w:lineRule="atLeast"/>
        <w:ind w:firstLine="560"/>
        <w:jc w:val="left"/>
        <w:rPr>
          <w:rFonts w:hint="eastAsia" w:ascii="宋体" w:hAnsi="宋体" w:eastAsia="宋体" w:cs="Times New Roman"/>
          <w:b/>
          <w:bCs/>
          <w:color w:val="000000"/>
          <w:kern w:val="0"/>
          <w:sz w:val="28"/>
          <w:szCs w:val="28"/>
        </w:rPr>
      </w:pPr>
      <w:r>
        <w:rPr>
          <w:rFonts w:hint="eastAsia" w:ascii="宋体" w:hAnsi="宋体" w:eastAsia="宋体" w:cs="Times New Roman"/>
          <w:color w:val="000000"/>
          <w:kern w:val="0"/>
          <w:sz w:val="28"/>
          <w:szCs w:val="28"/>
          <w:lang w:val="en-US" w:eastAsia="zh-CN"/>
        </w:rPr>
        <w:t>5.</w:t>
      </w:r>
      <w:r>
        <w:rPr>
          <w:rFonts w:hint="eastAsia" w:ascii="宋体" w:hAnsi="宋体" w:eastAsia="宋体" w:cs="Times New Roman"/>
          <w:color w:val="000000"/>
          <w:kern w:val="0"/>
          <w:sz w:val="28"/>
          <w:szCs w:val="28"/>
        </w:rPr>
        <w:t>竞赛时间终了，选手应全体起立，结束操作。将资料和工具整齐摆放在操作台上，经工作人员清点后方可离开赛场，离开赛场时不得带走任何资料。</w:t>
      </w:r>
    </w:p>
    <w:p w14:paraId="673F3E1F">
      <w:pPr>
        <w:pStyle w:val="2"/>
        <w:rPr>
          <w:rFonts w:ascii="Times New Roman" w:hAnsi="Times New Roman"/>
          <w:szCs w:val="21"/>
        </w:rPr>
      </w:pPr>
      <w:r>
        <w:rPr>
          <w:rFonts w:hint="eastAsia"/>
        </w:rPr>
        <w:t>四、申诉与仲裁</w:t>
      </w:r>
    </w:p>
    <w:p w14:paraId="1CDB4B9C">
      <w:pPr>
        <w:widowControl/>
        <w:shd w:val="clear" w:color="auto" w:fill="FFFFFF"/>
        <w:spacing w:line="590" w:lineRule="atLeast"/>
        <w:jc w:val="left"/>
        <w:rPr>
          <w:rFonts w:ascii="Times New Roman" w:hAnsi="Times New Roman" w:eastAsia="宋体" w:cs="Times New Roman"/>
          <w:b/>
          <w:bCs/>
          <w:color w:val="000000"/>
          <w:kern w:val="0"/>
          <w:szCs w:val="21"/>
        </w:rPr>
      </w:pPr>
      <w:r>
        <w:rPr>
          <w:rFonts w:hint="eastAsia" w:ascii="宋体" w:hAnsi="宋体" w:eastAsia="宋体" w:cs="Times New Roman"/>
          <w:b/>
          <w:bCs/>
          <w:color w:val="000000"/>
          <w:kern w:val="0"/>
          <w:sz w:val="28"/>
          <w:szCs w:val="28"/>
        </w:rPr>
        <w:t>（</w:t>
      </w:r>
      <w:r>
        <w:rPr>
          <w:rFonts w:hint="eastAsia" w:ascii="宋体" w:hAnsi="宋体" w:eastAsia="宋体" w:cs="Times New Roman"/>
          <w:b/>
          <w:bCs/>
          <w:color w:val="000000"/>
          <w:kern w:val="0"/>
          <w:sz w:val="28"/>
          <w:szCs w:val="28"/>
          <w:lang w:val="en-US" w:eastAsia="zh-CN"/>
        </w:rPr>
        <w:t>一</w:t>
      </w:r>
      <w:r>
        <w:rPr>
          <w:rFonts w:hint="eastAsia" w:ascii="宋体" w:hAnsi="宋体" w:eastAsia="宋体" w:cs="Times New Roman"/>
          <w:b/>
          <w:bCs/>
          <w:color w:val="000000"/>
          <w:kern w:val="0"/>
          <w:sz w:val="28"/>
          <w:szCs w:val="28"/>
        </w:rPr>
        <w:t>）申诉</w:t>
      </w:r>
    </w:p>
    <w:p w14:paraId="3CAA5BF7">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在比赛过程中若出现有失公正或有关人员违规等现象，应由参赛学校领队在比赛结束后 2 小时内向仲裁委员会递交书面申诉报告，超过时效不予受理。报告中应对申诉事件的现象、发生的时间、涉及到的人员、申诉依据与理由等进行充分的、实事求是的叙述。事实依据不充分、仅凭主观臆断的申诉不予受理。申诉报告须有申诉的参赛选手、指导教师和领队的签名。</w:t>
      </w:r>
    </w:p>
    <w:p w14:paraId="4C047F00">
      <w:pPr>
        <w:widowControl/>
        <w:shd w:val="clear" w:color="auto" w:fill="FFFFFF"/>
        <w:spacing w:line="590" w:lineRule="atLeast"/>
        <w:jc w:val="left"/>
        <w:rPr>
          <w:rFonts w:ascii="Times New Roman" w:hAnsi="Times New Roman" w:eastAsia="宋体" w:cs="Times New Roman"/>
          <w:b/>
          <w:bCs/>
          <w:color w:val="000000"/>
          <w:kern w:val="0"/>
          <w:szCs w:val="21"/>
        </w:rPr>
      </w:pPr>
      <w:r>
        <w:rPr>
          <w:rFonts w:hint="eastAsia" w:ascii="宋体" w:hAnsi="宋体" w:eastAsia="宋体" w:cs="Times New Roman"/>
          <w:b/>
          <w:bCs/>
          <w:color w:val="000000"/>
          <w:kern w:val="0"/>
          <w:sz w:val="28"/>
          <w:szCs w:val="28"/>
        </w:rPr>
        <w:t>（二）仲裁</w:t>
      </w:r>
    </w:p>
    <w:p w14:paraId="6B5C304E">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1.仲裁委员会负责受理申诉并进行仲裁，以保证比赛的顺利进行和比赛结果的公平、公正。仲裁委员会收到申诉报告后，在 2小时内组织复议，并及时反馈复议结果。该仲裁委员会的仲裁结果为最终结果。</w:t>
      </w:r>
    </w:p>
    <w:p w14:paraId="3744603A">
      <w:pPr>
        <w:widowControl/>
        <w:shd w:val="clear" w:color="auto" w:fill="FFFFFF"/>
        <w:spacing w:line="590" w:lineRule="atLeast"/>
        <w:ind w:firstLine="560"/>
        <w:jc w:val="left"/>
        <w:rPr>
          <w:rFonts w:ascii="Times New Roman" w:hAnsi="Times New Roman" w:eastAsia="宋体" w:cs="Times New Roman"/>
          <w:color w:val="000000"/>
          <w:kern w:val="0"/>
          <w:szCs w:val="21"/>
        </w:rPr>
      </w:pPr>
      <w:r>
        <w:rPr>
          <w:rFonts w:hint="eastAsia" w:ascii="宋体" w:hAnsi="宋体" w:eastAsia="宋体" w:cs="Times New Roman"/>
          <w:color w:val="000000"/>
          <w:kern w:val="0"/>
          <w:sz w:val="28"/>
          <w:szCs w:val="28"/>
        </w:rPr>
        <w:t>2.参赛队不得因提起申诉或对申诉处理意见不服而停止比赛或滋事，否则按弃权处理。比赛不因申诉事件而组织重赛。</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854"/>
    <w:rsid w:val="00215A8D"/>
    <w:rsid w:val="002C1B61"/>
    <w:rsid w:val="00361DE6"/>
    <w:rsid w:val="00464BAE"/>
    <w:rsid w:val="00482854"/>
    <w:rsid w:val="00603B54"/>
    <w:rsid w:val="007156A4"/>
    <w:rsid w:val="00780555"/>
    <w:rsid w:val="008557A2"/>
    <w:rsid w:val="008718EB"/>
    <w:rsid w:val="008A6F10"/>
    <w:rsid w:val="009438CF"/>
    <w:rsid w:val="00994465"/>
    <w:rsid w:val="009A594E"/>
    <w:rsid w:val="009C551E"/>
    <w:rsid w:val="009C5C56"/>
    <w:rsid w:val="00A7799E"/>
    <w:rsid w:val="00AE2729"/>
    <w:rsid w:val="00C13B01"/>
    <w:rsid w:val="00C75828"/>
    <w:rsid w:val="00DE46DC"/>
    <w:rsid w:val="00F64305"/>
    <w:rsid w:val="00FF3A2B"/>
    <w:rsid w:val="030D310F"/>
    <w:rsid w:val="049D5915"/>
    <w:rsid w:val="04C64E6C"/>
    <w:rsid w:val="092959CA"/>
    <w:rsid w:val="0A365FAD"/>
    <w:rsid w:val="0AFA51E4"/>
    <w:rsid w:val="0CDA4E0F"/>
    <w:rsid w:val="12B30ABF"/>
    <w:rsid w:val="140E413A"/>
    <w:rsid w:val="1492160C"/>
    <w:rsid w:val="1BA64C58"/>
    <w:rsid w:val="2ED11B16"/>
    <w:rsid w:val="37B301EE"/>
    <w:rsid w:val="3DEB2395"/>
    <w:rsid w:val="44C85ABB"/>
    <w:rsid w:val="48AC74A2"/>
    <w:rsid w:val="4C1635B0"/>
    <w:rsid w:val="4E2D4BE1"/>
    <w:rsid w:val="513C2AAD"/>
    <w:rsid w:val="532F31A9"/>
    <w:rsid w:val="53DF697E"/>
    <w:rsid w:val="57D63BF4"/>
    <w:rsid w:val="61970898"/>
    <w:rsid w:val="61B01959"/>
    <w:rsid w:val="627C0E5F"/>
    <w:rsid w:val="632717A7"/>
    <w:rsid w:val="63275C4B"/>
    <w:rsid w:val="63C535E0"/>
    <w:rsid w:val="63F57AF7"/>
    <w:rsid w:val="64C5571C"/>
    <w:rsid w:val="6796339F"/>
    <w:rsid w:val="6A44542B"/>
    <w:rsid w:val="6C44161C"/>
    <w:rsid w:val="6E587601"/>
    <w:rsid w:val="6F7C731F"/>
    <w:rsid w:val="70E46F2A"/>
    <w:rsid w:val="7E0173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link w:val="14"/>
    <w:qFormat/>
    <w:uiPriority w:val="9"/>
    <w:pPr>
      <w:widowControl/>
      <w:spacing w:line="590" w:lineRule="atLeast"/>
      <w:jc w:val="left"/>
      <w:outlineLvl w:val="0"/>
    </w:pPr>
    <w:rPr>
      <w:rFonts w:ascii="宋体" w:hAnsi="宋体" w:eastAsia="宋体" w:cs="宋体"/>
      <w:b/>
      <w:bCs/>
      <w:kern w:val="36"/>
      <w:sz w:val="28"/>
      <w:szCs w:val="48"/>
    </w:rPr>
  </w:style>
  <w:style w:type="paragraph" w:styleId="3">
    <w:name w:val="heading 2"/>
    <w:basedOn w:val="1"/>
    <w:next w:val="1"/>
    <w:link w:val="15"/>
    <w:unhideWhenUsed/>
    <w:qFormat/>
    <w:uiPriority w:val="9"/>
    <w:pPr>
      <w:keepNext/>
      <w:keepLines/>
      <w:adjustRightInd w:val="0"/>
      <w:spacing w:line="590" w:lineRule="atLeast"/>
      <w:ind w:firstLine="20"/>
      <w:outlineLvl w:val="1"/>
    </w:pPr>
    <w:rPr>
      <w:rFonts w:eastAsia="宋体" w:asciiTheme="majorHAnsi" w:hAnsiTheme="majorHAnsi" w:cstheme="majorBidi"/>
      <w:b/>
      <w:bCs/>
      <w:sz w:val="28"/>
      <w:szCs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Strong"/>
    <w:basedOn w:val="7"/>
    <w:qFormat/>
    <w:uiPriority w:val="22"/>
    <w:rPr>
      <w:b/>
    </w:rPr>
  </w:style>
  <w:style w:type="character" w:styleId="9">
    <w:name w:val="Hyperlink"/>
    <w:basedOn w:val="7"/>
    <w:unhideWhenUsed/>
    <w:qFormat/>
    <w:uiPriority w:val="99"/>
    <w:rPr>
      <w:color w:val="0563C1" w:themeColor="hyperlink"/>
      <w:u w:val="single"/>
      <w14:textFill>
        <w14:solidFill>
          <w14:schemeClr w14:val="hlink"/>
        </w14:solidFill>
      </w14:textFill>
    </w:rPr>
  </w:style>
  <w:style w:type="character" w:customStyle="1" w:styleId="10">
    <w:name w:val="页眉 字符"/>
    <w:basedOn w:val="7"/>
    <w:link w:val="5"/>
    <w:qFormat/>
    <w:uiPriority w:val="99"/>
    <w:rPr>
      <w:sz w:val="18"/>
      <w:szCs w:val="18"/>
    </w:rPr>
  </w:style>
  <w:style w:type="character" w:customStyle="1" w:styleId="11">
    <w:name w:val="页脚 字符"/>
    <w:basedOn w:val="7"/>
    <w:link w:val="4"/>
    <w:qFormat/>
    <w:uiPriority w:val="99"/>
    <w:rPr>
      <w:sz w:val="18"/>
      <w:szCs w:val="18"/>
    </w:rPr>
  </w:style>
  <w:style w:type="paragraph" w:customStyle="1" w:styleId="12">
    <w:name w:val="p"/>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3">
    <w:name w:val="15"/>
    <w:basedOn w:val="7"/>
    <w:qFormat/>
    <w:uiPriority w:val="0"/>
  </w:style>
  <w:style w:type="character" w:customStyle="1" w:styleId="14">
    <w:name w:val="标题 1 字符"/>
    <w:basedOn w:val="7"/>
    <w:link w:val="2"/>
    <w:qFormat/>
    <w:uiPriority w:val="9"/>
    <w:rPr>
      <w:rFonts w:ascii="宋体" w:hAnsi="宋体" w:cs="宋体"/>
      <w:b/>
      <w:bCs/>
      <w:kern w:val="36"/>
      <w:sz w:val="28"/>
      <w:szCs w:val="48"/>
    </w:rPr>
  </w:style>
  <w:style w:type="character" w:customStyle="1" w:styleId="15">
    <w:name w:val="标题 2 字符"/>
    <w:basedOn w:val="7"/>
    <w:link w:val="3"/>
    <w:qFormat/>
    <w:uiPriority w:val="9"/>
    <w:rPr>
      <w:rFonts w:asciiTheme="majorHAnsi" w:hAnsiTheme="majorHAnsi" w:cstheme="majorBidi"/>
      <w:b/>
      <w:bCs/>
      <w:kern w:val="2"/>
      <w:sz w:val="28"/>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DoubleOX</Company>
  <Pages>9</Pages>
  <Words>3374</Words>
  <Characters>3421</Characters>
  <Lines>34</Lines>
  <Paragraphs>9</Paragraphs>
  <TotalTime>2</TotalTime>
  <ScaleCrop>false</ScaleCrop>
  <LinksUpToDate>false</LinksUpToDate>
  <CharactersWithSpaces>3428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2026-09-29T07:07:00Z</dcterms:created>
  <dc:creator>Administrator</dc:creator>
  <cp:lastModifiedBy>李又又</cp:lastModifiedBy>
  <dcterms:modified xsi:type="dcterms:W3CDTF">2026-09-30T07:11:11Z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eyJoZGlkIjoiNjU5MTdlNzIyNDQ2ODhkMDEyYzZkY2U1YzVmMDdlOWUiLCJ1c2VySWQiOiI5MjQzNTIxNzYifQ==</vt:lpwstr>
  </property>
  <property fmtid="{D5CDD505-2E9C-101B-9397-08002B2CF9AE}" pid="3" name="KSOProductBuildVer">
    <vt:lpwstr>2052-12.1.0.28505</vt:lpwstr>
  </property>
  <property fmtid="{D5CDD505-2E9C-101B-9397-08002B2CF9AE}" pid="4" name="ICV">
    <vt:lpwstr>71566E64AF604B9DAB5795C3D313AFF9_13</vt:lpwstr>
  </property>
</Properties>
</file>