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华文仿宋" w:hAnsi="华文仿宋" w:eastAsia="华文仿宋" w:cs="华文仿宋"/>
          <w:sz w:val="44"/>
          <w:szCs w:val="44"/>
          <w:lang w:val="en-US" w:eastAsia="zh-CN"/>
        </w:rPr>
      </w:pPr>
      <w:r>
        <w:rPr>
          <w:rFonts w:hint="eastAsia" w:ascii="华文仿宋" w:hAnsi="华文仿宋" w:eastAsia="华文仿宋" w:cs="华文仿宋"/>
          <w:sz w:val="44"/>
          <w:szCs w:val="44"/>
          <w:lang w:val="en-US" w:eastAsia="zh-CN"/>
        </w:rPr>
        <w:t>管理会计</w:t>
      </w:r>
      <w:r>
        <w:rPr>
          <w:rFonts w:hint="eastAsia" w:ascii="华文仿宋" w:hAnsi="华文仿宋" w:eastAsia="华文仿宋" w:cs="华文仿宋"/>
          <w:sz w:val="44"/>
          <w:szCs w:val="44"/>
        </w:rPr>
        <w:t xml:space="preserve"> “课程思政”</w:t>
      </w:r>
      <w:r>
        <w:rPr>
          <w:rFonts w:hint="eastAsia" w:ascii="华文仿宋" w:hAnsi="华文仿宋" w:eastAsia="华文仿宋" w:cs="华文仿宋"/>
          <w:sz w:val="44"/>
          <w:szCs w:val="44"/>
          <w:lang w:val="en-US" w:eastAsia="zh-CN"/>
        </w:rPr>
        <w:t>素材</w:t>
      </w:r>
    </w:p>
    <w:tbl>
      <w:tblPr>
        <w:tblStyle w:val="7"/>
        <w:tblW w:w="928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800"/>
        <w:gridCol w:w="1260"/>
        <w:gridCol w:w="1659"/>
        <w:gridCol w:w="1581"/>
        <w:gridCol w:w="179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6"/>
            <w:tcBorders>
              <w:top w:val="double" w:color="auto" w:sz="4" w:space="0"/>
            </w:tcBorders>
          </w:tcPr>
          <w:p>
            <w:pPr>
              <w:spacing w:line="360" w:lineRule="auto"/>
              <w:jc w:val="center"/>
              <w:rPr>
                <w:rFonts w:ascii="仿宋_GB2312" w:eastAsia="仿宋_GB2312"/>
                <w:sz w:val="24"/>
              </w:rPr>
            </w:pPr>
            <w:r>
              <w:rPr>
                <w:rFonts w:hint="eastAsia" w:ascii="仿宋_GB2312" w:eastAsia="仿宋_GB2312"/>
                <w:b/>
                <w:bCs/>
                <w:sz w:val="24"/>
              </w:rPr>
              <w:t>课 程 概 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double" w:color="auto" w:sz="4" w:space="0"/>
            </w:tcBorders>
          </w:tcPr>
          <w:p>
            <w:pPr>
              <w:spacing w:line="360" w:lineRule="auto"/>
              <w:jc w:val="center"/>
              <w:rPr>
                <w:rFonts w:ascii="仿宋_GB2312" w:eastAsia="仿宋_GB2312"/>
                <w:sz w:val="24"/>
              </w:rPr>
            </w:pPr>
            <w:r>
              <w:rPr>
                <w:rFonts w:hint="eastAsia" w:ascii="仿宋_GB2312" w:eastAsia="仿宋_GB2312"/>
                <w:b/>
                <w:bCs/>
                <w:sz w:val="24"/>
              </w:rPr>
              <w:t>课程名称</w:t>
            </w:r>
          </w:p>
        </w:tc>
        <w:tc>
          <w:tcPr>
            <w:tcW w:w="1800" w:type="dxa"/>
            <w:tcBorders>
              <w:top w:val="double" w:color="auto" w:sz="4" w:space="0"/>
            </w:tcBorders>
          </w:tcPr>
          <w:p>
            <w:pPr>
              <w:spacing w:line="360" w:lineRule="auto"/>
              <w:jc w:val="center"/>
              <w:rPr>
                <w:rFonts w:hint="eastAsia" w:ascii="仿宋_GB2312" w:eastAsia="仿宋_GB2312"/>
                <w:sz w:val="24"/>
                <w:lang w:val="en-US" w:eastAsia="zh-CN"/>
              </w:rPr>
            </w:pPr>
            <w:r>
              <w:rPr>
                <w:rFonts w:ascii="仿宋_GB2312" w:eastAsia="仿宋_GB2312"/>
                <w:sz w:val="24"/>
              </w:rPr>
              <w:t>管理</w:t>
            </w:r>
            <w:r>
              <w:rPr>
                <w:rFonts w:hint="eastAsia" w:ascii="仿宋_GB2312" w:eastAsia="仿宋_GB2312"/>
                <w:sz w:val="24"/>
                <w:lang w:val="en-US" w:eastAsia="zh-CN"/>
              </w:rPr>
              <w:t>会计</w:t>
            </w:r>
          </w:p>
        </w:tc>
        <w:tc>
          <w:tcPr>
            <w:tcW w:w="1260" w:type="dxa"/>
            <w:tcBorders>
              <w:top w:val="double" w:color="auto" w:sz="4" w:space="0"/>
            </w:tcBorders>
            <w:vAlign w:val="center"/>
          </w:tcPr>
          <w:p>
            <w:pPr>
              <w:spacing w:line="360" w:lineRule="auto"/>
              <w:jc w:val="center"/>
              <w:rPr>
                <w:rFonts w:ascii="仿宋_GB2312" w:eastAsia="仿宋_GB2312"/>
                <w:sz w:val="24"/>
              </w:rPr>
            </w:pPr>
            <w:r>
              <w:rPr>
                <w:rFonts w:hint="eastAsia" w:ascii="仿宋_GB2312" w:eastAsia="仿宋_GB2312"/>
                <w:b/>
                <w:bCs/>
                <w:sz w:val="24"/>
              </w:rPr>
              <w:t>课程性质</w:t>
            </w:r>
          </w:p>
        </w:tc>
        <w:tc>
          <w:tcPr>
            <w:tcW w:w="1659" w:type="dxa"/>
            <w:tcBorders>
              <w:top w:val="double" w:color="auto" w:sz="4" w:space="0"/>
            </w:tcBorders>
            <w:vAlign w:val="center"/>
          </w:tcPr>
          <w:p>
            <w:pPr>
              <w:spacing w:line="360" w:lineRule="auto"/>
              <w:jc w:val="center"/>
              <w:rPr>
                <w:rFonts w:ascii="仿宋_GB2312" w:eastAsia="仿宋_GB2312"/>
                <w:sz w:val="24"/>
              </w:rPr>
            </w:pPr>
            <w:r>
              <w:rPr>
                <w:rFonts w:hint="eastAsia" w:ascii="仿宋_GB2312" w:eastAsia="仿宋_GB2312"/>
                <w:sz w:val="24"/>
              </w:rPr>
              <w:t>专业必修课</w:t>
            </w:r>
          </w:p>
        </w:tc>
        <w:tc>
          <w:tcPr>
            <w:tcW w:w="1581" w:type="dxa"/>
            <w:tcBorders>
              <w:top w:val="double" w:color="auto" w:sz="4" w:space="0"/>
            </w:tcBorders>
            <w:vAlign w:val="center"/>
          </w:tcPr>
          <w:p>
            <w:pPr>
              <w:spacing w:line="360" w:lineRule="auto"/>
              <w:jc w:val="center"/>
              <w:rPr>
                <w:rFonts w:ascii="仿宋_GB2312" w:eastAsia="仿宋_GB2312"/>
                <w:sz w:val="24"/>
              </w:rPr>
            </w:pPr>
            <w:r>
              <w:rPr>
                <w:rFonts w:hint="eastAsia" w:ascii="仿宋_GB2312" w:eastAsia="仿宋_GB2312"/>
                <w:b/>
                <w:bCs/>
                <w:sz w:val="24"/>
              </w:rPr>
              <w:t>学    时</w:t>
            </w:r>
          </w:p>
        </w:tc>
        <w:tc>
          <w:tcPr>
            <w:tcW w:w="1798" w:type="dxa"/>
            <w:tcBorders>
              <w:top w:val="double" w:color="auto" w:sz="4" w:space="0"/>
            </w:tcBorders>
          </w:tcPr>
          <w:p>
            <w:pPr>
              <w:spacing w:line="360" w:lineRule="auto"/>
              <w:jc w:val="center"/>
              <w:rPr>
                <w:rFonts w:ascii="仿宋_GB2312" w:eastAsia="仿宋_GB2312"/>
                <w:sz w:val="24"/>
              </w:rPr>
            </w:pPr>
            <w:r>
              <w:rPr>
                <w:rFonts w:hint="eastAsia" w:ascii="仿宋_GB2312" w:eastAsia="仿宋_GB2312"/>
                <w:sz w:val="24"/>
              </w:rPr>
              <w:t>48课时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pPr>
              <w:spacing w:line="400" w:lineRule="exact"/>
              <w:jc w:val="center"/>
              <w:rPr>
                <w:rFonts w:ascii="仿宋_GB2312" w:eastAsia="仿宋_GB2312"/>
                <w:sz w:val="24"/>
              </w:rPr>
            </w:pPr>
            <w:r>
              <w:rPr>
                <w:rFonts w:hint="eastAsia" w:ascii="仿宋_GB2312" w:eastAsia="仿宋_GB2312"/>
                <w:b/>
                <w:bCs/>
                <w:sz w:val="24"/>
              </w:rPr>
              <w:t>授课对象</w:t>
            </w:r>
          </w:p>
        </w:tc>
        <w:tc>
          <w:tcPr>
            <w:tcW w:w="4719" w:type="dxa"/>
            <w:gridSpan w:val="3"/>
            <w:vAlign w:val="center"/>
          </w:tcPr>
          <w:p>
            <w:pPr>
              <w:spacing w:line="400" w:lineRule="exact"/>
              <w:jc w:val="center"/>
              <w:rPr>
                <w:rFonts w:ascii="仿宋_GB2312" w:eastAsia="仿宋_GB2312"/>
                <w:sz w:val="24"/>
              </w:rPr>
            </w:pPr>
            <w:r>
              <w:rPr>
                <w:rFonts w:hint="eastAsia" w:ascii="仿宋_GB2312" w:eastAsia="仿宋_GB2312"/>
                <w:sz w:val="24"/>
              </w:rPr>
              <w:t>本科</w:t>
            </w:r>
            <w:r>
              <w:rPr>
                <w:rFonts w:hint="eastAsia" w:ascii="仿宋_GB2312" w:eastAsia="仿宋_GB2312"/>
                <w:sz w:val="24"/>
                <w:lang w:val="en-US" w:eastAsia="zh-CN"/>
              </w:rPr>
              <w:t>三</w:t>
            </w:r>
            <w:r>
              <w:rPr>
                <w:rFonts w:ascii="仿宋_GB2312" w:eastAsia="仿宋_GB2312"/>
                <w:sz w:val="24"/>
              </w:rPr>
              <w:t>年级会计学</w:t>
            </w:r>
            <w:r>
              <w:rPr>
                <w:rFonts w:hint="eastAsia" w:ascii="仿宋_GB2312" w:eastAsia="仿宋_GB2312"/>
                <w:sz w:val="24"/>
              </w:rPr>
              <w:t>、</w:t>
            </w:r>
            <w:r>
              <w:rPr>
                <w:rFonts w:hint="eastAsia" w:ascii="仿宋_GB2312" w:eastAsia="仿宋_GB2312"/>
                <w:sz w:val="24"/>
                <w:lang w:val="en-US" w:eastAsia="zh-CN"/>
              </w:rPr>
              <w:t>法学</w:t>
            </w:r>
            <w:r>
              <w:rPr>
                <w:rFonts w:ascii="仿宋_GB2312" w:eastAsia="仿宋_GB2312"/>
                <w:sz w:val="24"/>
              </w:rPr>
              <w:t>等</w:t>
            </w:r>
            <w:bookmarkStart w:id="0" w:name="_GoBack"/>
            <w:bookmarkEnd w:id="0"/>
            <w:r>
              <w:rPr>
                <w:rFonts w:ascii="仿宋_GB2312" w:eastAsia="仿宋_GB2312"/>
                <w:sz w:val="24"/>
              </w:rPr>
              <w:t>专业学生</w:t>
            </w:r>
          </w:p>
        </w:tc>
        <w:tc>
          <w:tcPr>
            <w:tcW w:w="1581" w:type="dxa"/>
            <w:vAlign w:val="center"/>
          </w:tcPr>
          <w:p>
            <w:pPr>
              <w:spacing w:line="360" w:lineRule="auto"/>
              <w:jc w:val="center"/>
              <w:rPr>
                <w:rFonts w:ascii="仿宋_GB2312" w:eastAsia="仿宋_GB2312"/>
                <w:sz w:val="24"/>
              </w:rPr>
            </w:pPr>
            <w:r>
              <w:rPr>
                <w:rFonts w:hint="eastAsia" w:ascii="仿宋_GB2312" w:eastAsia="仿宋_GB2312"/>
                <w:b/>
                <w:bCs/>
                <w:sz w:val="24"/>
              </w:rPr>
              <w:t>学</w:t>
            </w:r>
            <w:r>
              <w:rPr>
                <w:rFonts w:ascii="仿宋_GB2312" w:eastAsia="仿宋_GB2312"/>
                <w:b/>
                <w:bCs/>
                <w:sz w:val="24"/>
              </w:rPr>
              <w:t xml:space="preserve">    </w:t>
            </w:r>
            <w:r>
              <w:rPr>
                <w:rFonts w:hint="eastAsia" w:ascii="仿宋_GB2312" w:eastAsia="仿宋_GB2312"/>
                <w:b/>
                <w:bCs/>
                <w:sz w:val="24"/>
              </w:rPr>
              <w:t>分</w:t>
            </w:r>
          </w:p>
        </w:tc>
        <w:tc>
          <w:tcPr>
            <w:tcW w:w="1798" w:type="dxa"/>
            <w:vAlign w:val="center"/>
          </w:tcPr>
          <w:p>
            <w:pPr>
              <w:spacing w:line="360" w:lineRule="auto"/>
              <w:jc w:val="center"/>
              <w:rPr>
                <w:rFonts w:ascii="仿宋_GB2312" w:eastAsia="仿宋_GB2312"/>
                <w:sz w:val="24"/>
              </w:rPr>
            </w:pPr>
            <w:r>
              <w:rPr>
                <w:rFonts w:hint="eastAsia" w:ascii="仿宋_GB2312" w:eastAsia="仿宋_GB2312"/>
                <w:sz w:val="24"/>
              </w:rPr>
              <w:t>3学分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72" w:hRule="atLeast"/>
        </w:trPr>
        <w:tc>
          <w:tcPr>
            <w:tcW w:w="1188" w:type="dxa"/>
            <w:vAlign w:val="center"/>
          </w:tcPr>
          <w:p>
            <w:pPr>
              <w:spacing w:line="360" w:lineRule="auto"/>
              <w:jc w:val="center"/>
              <w:rPr>
                <w:rFonts w:ascii="仿宋_GB2312" w:eastAsia="仿宋_GB2312"/>
                <w:b/>
                <w:bCs/>
                <w:sz w:val="24"/>
              </w:rPr>
            </w:pPr>
            <w:r>
              <w:rPr>
                <w:rFonts w:hint="eastAsia" w:ascii="仿宋_GB2312" w:eastAsia="仿宋_GB2312"/>
                <w:b/>
                <w:bCs/>
                <w:sz w:val="24"/>
              </w:rPr>
              <w:t xml:space="preserve">课 程 </w:t>
            </w:r>
          </w:p>
          <w:p>
            <w:pPr>
              <w:spacing w:line="360" w:lineRule="auto"/>
              <w:jc w:val="center"/>
              <w:rPr>
                <w:rFonts w:ascii="仿宋_GB2312" w:eastAsia="仿宋_GB2312"/>
                <w:b/>
                <w:bCs/>
                <w:sz w:val="24"/>
              </w:rPr>
            </w:pPr>
          </w:p>
          <w:p>
            <w:pPr>
              <w:spacing w:line="360" w:lineRule="auto"/>
              <w:jc w:val="center"/>
              <w:rPr>
                <w:rFonts w:ascii="仿宋_GB2312" w:eastAsia="仿宋_GB2312"/>
                <w:b/>
                <w:bCs/>
                <w:sz w:val="24"/>
              </w:rPr>
            </w:pPr>
            <w:r>
              <w:rPr>
                <w:rFonts w:hint="eastAsia" w:ascii="仿宋_GB2312" w:eastAsia="仿宋_GB2312"/>
                <w:b/>
                <w:bCs/>
                <w:sz w:val="24"/>
              </w:rPr>
              <w:t>简 介</w:t>
            </w:r>
          </w:p>
        </w:tc>
        <w:tc>
          <w:tcPr>
            <w:tcW w:w="8098" w:type="dxa"/>
            <w:gridSpan w:val="5"/>
            <w:vAlign w:val="center"/>
          </w:tcPr>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管理会计》是会计学专业的一门专业核心课，以强化企业内部经营管理，实现最佳经济效益为最终目标，以现代企业经营活动及其价值表现为对象，通过对财务等信息的深加工和再利用，实现对经济过程的预测、决策、规划、控制、责任考核评价等职能。</w:t>
            </w:r>
          </w:p>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本课程主要介绍</w:t>
            </w:r>
            <w:r>
              <w:rPr>
                <w:rFonts w:hint="eastAsia" w:ascii="宋体" w:hAnsi="宋体" w:eastAsia="宋体" w:cs="Times New Roman"/>
                <w:szCs w:val="21"/>
              </w:rPr>
              <w:t>管理会计的基本概念、主要方法，并将理论与实践相结合，运用一系列的会计方法、收集、分类、汇总、分析和报告各种经济信息，借以进行预测和决策，制定计划，对经营业务进行控制，对业绩进行评价，为企业管理者、决策者提供信息，以确保企业改善经营管理，提高经济效益。</w:t>
            </w:r>
            <w:r>
              <w:rPr>
                <w:rFonts w:hint="eastAsia" w:ascii="宋体" w:hAnsi="宋体" w:eastAsia="宋体" w:cs="Times New Roman"/>
                <w:szCs w:val="21"/>
                <w:lang w:val="en-US" w:eastAsia="zh-CN"/>
              </w:rPr>
              <w:t>在教学中</w:t>
            </w:r>
            <w:r>
              <w:rPr>
                <w:rFonts w:hint="eastAsia" w:ascii="宋体" w:hAnsi="宋体" w:eastAsia="宋体" w:cs="Times New Roman"/>
                <w:szCs w:val="21"/>
              </w:rPr>
              <w:t>采用案例分析的方式，推动学生对相关知识点的掌握和更为灵活多样地运用到模拟企业实践的情景中</w:t>
            </w:r>
            <w:r>
              <w:rPr>
                <w:rFonts w:hint="eastAsia" w:ascii="宋体" w:hAnsi="宋体" w:eastAsia="宋体" w:cs="Times New Roman"/>
                <w:szCs w:val="21"/>
                <w:lang w:val="en-US" w:eastAsia="zh-CN"/>
              </w:rPr>
              <w:t>。</w:t>
            </w:r>
          </w:p>
          <w:p>
            <w:pPr>
              <w:adjustRightInd w:val="0"/>
              <w:snapToGrid w:val="0"/>
              <w:spacing w:line="400" w:lineRule="exact"/>
              <w:ind w:firstLine="420" w:firstLineChars="200"/>
              <w:rPr>
                <w:rFonts w:ascii="宋体" w:hAnsi="宋体"/>
                <w:szCs w:val="21"/>
              </w:rPr>
            </w:pPr>
            <w:r>
              <w:rPr>
                <w:rFonts w:hint="eastAsia" w:ascii="宋体" w:hAnsi="宋体" w:eastAsia="宋体" w:cs="Times New Roman"/>
                <w:szCs w:val="21"/>
                <w:lang w:val="en-US" w:eastAsia="zh-CN"/>
              </w:rPr>
              <w:t>通过本课程的学习，学生需要了解管理会计在组织中的地位和作用，掌握管理会计学的主要理论和方法，具备综合分析问题和解决问题的能力。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2" w:hRule="atLeast"/>
        </w:trPr>
        <w:tc>
          <w:tcPr>
            <w:tcW w:w="1188" w:type="dxa"/>
            <w:vAlign w:val="center"/>
          </w:tcPr>
          <w:p>
            <w:pPr>
              <w:spacing w:line="360" w:lineRule="auto"/>
              <w:jc w:val="center"/>
              <w:rPr>
                <w:rFonts w:hint="eastAsia" w:ascii="仿宋_GB2312" w:eastAsia="仿宋_GB2312"/>
                <w:b/>
                <w:bCs/>
                <w:sz w:val="24"/>
                <w:lang w:val="en-US" w:eastAsia="zh-CN"/>
              </w:rPr>
            </w:pPr>
            <w:r>
              <w:rPr>
                <w:rFonts w:hint="eastAsia" w:ascii="仿宋_GB2312" w:eastAsia="仿宋_GB2312"/>
                <w:b/>
                <w:bCs/>
                <w:sz w:val="24"/>
                <w:lang w:val="en-US" w:eastAsia="zh-CN"/>
              </w:rPr>
              <w:t>教 学</w:t>
            </w:r>
          </w:p>
          <w:p>
            <w:pPr>
              <w:spacing w:line="360" w:lineRule="auto"/>
              <w:jc w:val="center"/>
              <w:rPr>
                <w:rFonts w:hint="default" w:ascii="仿宋_GB2312" w:eastAsia="仿宋_GB2312"/>
                <w:b/>
                <w:bCs/>
                <w:sz w:val="24"/>
                <w:lang w:val="en-US" w:eastAsia="zh-CN"/>
              </w:rPr>
            </w:pPr>
            <w:r>
              <w:rPr>
                <w:rFonts w:hint="eastAsia" w:ascii="仿宋_GB2312" w:eastAsia="仿宋_GB2312"/>
                <w:b/>
                <w:bCs/>
                <w:sz w:val="24"/>
                <w:lang w:val="en-US" w:eastAsia="zh-CN"/>
              </w:rPr>
              <w:t>方 式</w:t>
            </w:r>
          </w:p>
        </w:tc>
        <w:tc>
          <w:tcPr>
            <w:tcW w:w="8098" w:type="dxa"/>
            <w:gridSpan w:val="5"/>
            <w:vAlign w:val="center"/>
          </w:tcPr>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老师讲授—学生课堂练习—思政专题—案例教学—学生小组研讨—教师总结—布置课后作业</w:t>
            </w:r>
          </w:p>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1.教师讲授管理会计课程知识点。</w:t>
            </w:r>
          </w:p>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2.围绕教学内容，学生完成课堂练习，能够理解、掌握并运用知识解决企业实际经营管理中的问题；</w:t>
            </w:r>
          </w:p>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3.将思政内容有机融入管理会计课程之中，不断提高课程的水平和质量。师生共同学习思政内容，引导学生树立正确的世界观、人生观、价值观，增强职业责任感和使命；</w:t>
            </w:r>
          </w:p>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中国案例”贯穿整个教学过程，精心挑选中国案例，引导学生探索中国经验的兴趣，坚定“四个自信”。结合案例教学的特点，学生分组讨论并进行汇报，教师引导学生回答问题，师生联动，注重对学生综合实践能力的培养。</w:t>
            </w:r>
          </w:p>
          <w:p>
            <w:pPr>
              <w:adjustRightInd w:val="0"/>
              <w:snapToGrid w:val="0"/>
              <w:spacing w:line="40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5.教师总结并布置课后作业，帮助学生提高预测、决策、分析的能力。</w:t>
            </w:r>
          </w:p>
          <w:p>
            <w:pPr>
              <w:adjustRightInd w:val="0"/>
              <w:snapToGrid w:val="0"/>
              <w:spacing w:line="400" w:lineRule="exact"/>
              <w:ind w:firstLine="482" w:firstLineChars="200"/>
              <w:rPr>
                <w:rFonts w:ascii="仿宋_GB2312" w:eastAsia="仿宋_GB2312"/>
                <w:b/>
                <w:bCs/>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188" w:type="dxa"/>
            <w:vMerge w:val="restart"/>
            <w:vAlign w:val="center"/>
          </w:tcPr>
          <w:p>
            <w:pPr>
              <w:spacing w:line="360" w:lineRule="auto"/>
              <w:jc w:val="center"/>
              <w:rPr>
                <w:rFonts w:ascii="仿宋_GB2312" w:eastAsia="仿宋_GB2312"/>
                <w:b/>
                <w:bCs/>
                <w:sz w:val="24"/>
              </w:rPr>
            </w:pPr>
            <w:r>
              <w:rPr>
                <w:rFonts w:hint="eastAsia" w:ascii="仿宋_GB2312" w:eastAsia="仿宋_GB2312"/>
                <w:b/>
                <w:bCs/>
                <w:sz w:val="24"/>
              </w:rPr>
              <w:t>案例</w:t>
            </w:r>
          </w:p>
        </w:tc>
        <w:tc>
          <w:tcPr>
            <w:tcW w:w="8098" w:type="dxa"/>
            <w:gridSpan w:val="5"/>
            <w:vAlign w:val="center"/>
          </w:tcPr>
          <w:p>
            <w:pPr>
              <w:spacing w:line="360" w:lineRule="auto"/>
              <w:jc w:val="center"/>
              <w:rPr>
                <w:rFonts w:ascii="仿宋_GB2312" w:eastAsia="仿宋_GB2312"/>
                <w:szCs w:val="21"/>
              </w:rPr>
            </w:pPr>
            <w:r>
              <w:rPr>
                <w:rFonts w:hint="eastAsia" w:ascii="仿宋_GB2312" w:eastAsia="仿宋_GB2312"/>
                <w:b/>
                <w:bCs/>
                <w:sz w:val="24"/>
              </w:rPr>
              <w:t>案例所属教学大纲章节及知识点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rPr>
                <w:rFonts w:hint="eastAsia" w:ascii="仿宋_GB2312" w:eastAsia="仿宋_GB2312" w:cs="Times New Roman"/>
                <w:bCs/>
                <w:sz w:val="24"/>
                <w:lang w:val="en-US" w:eastAsia="zh-CN"/>
              </w:rPr>
            </w:pPr>
            <w:r>
              <w:rPr>
                <w:rFonts w:hint="eastAsia" w:ascii="仿宋_GB2312" w:eastAsia="仿宋_GB2312"/>
                <w:b/>
                <w:bCs/>
                <w:sz w:val="24"/>
              </w:rPr>
              <w:t>所属章节：</w:t>
            </w:r>
            <w:r>
              <w:rPr>
                <w:rFonts w:hint="eastAsia" w:ascii="仿宋_GB2312" w:eastAsia="仿宋_GB2312"/>
                <w:bCs/>
                <w:sz w:val="24"/>
              </w:rPr>
              <w:t>第一章 管</w:t>
            </w:r>
            <w:r>
              <w:rPr>
                <w:rFonts w:hint="eastAsia" w:ascii="仿宋_GB2312" w:eastAsia="仿宋_GB2312" w:cs="Times New Roman"/>
                <w:bCs/>
                <w:sz w:val="24"/>
              </w:rPr>
              <w:t>理</w:t>
            </w:r>
            <w:r>
              <w:rPr>
                <w:rFonts w:hint="eastAsia" w:ascii="仿宋_GB2312" w:eastAsia="仿宋_GB2312" w:cs="Times New Roman"/>
                <w:bCs/>
                <w:sz w:val="24"/>
                <w:lang w:val="en-US" w:eastAsia="zh-CN"/>
              </w:rPr>
              <w:t>会计概论</w:t>
            </w:r>
          </w:p>
          <w:p>
            <w:pPr>
              <w:spacing w:line="360" w:lineRule="auto"/>
              <w:ind w:firstLine="1200" w:firstLineChars="500"/>
              <w:rPr>
                <w:rFonts w:ascii="仿宋_GB2312" w:eastAsia="仿宋_GB2312"/>
                <w:sz w:val="24"/>
              </w:rPr>
            </w:pPr>
            <w:r>
              <w:rPr>
                <w:rFonts w:hint="eastAsia" w:ascii="仿宋_GB2312" w:eastAsia="仿宋_GB2312" w:cs="Times New Roman"/>
                <w:bCs/>
                <w:sz w:val="24"/>
              </w:rPr>
              <w:t xml:space="preserve"> 第二节 </w:t>
            </w:r>
            <w:r>
              <w:rPr>
                <w:rFonts w:hint="eastAsia" w:ascii="仿宋_GB2312" w:eastAsia="仿宋_GB2312" w:cs="Times New Roman"/>
                <w:bCs/>
                <w:sz w:val="24"/>
                <w:lang w:val="en-US" w:eastAsia="zh-CN"/>
              </w:rPr>
              <w:t>管理会计目标与管理会计师职业道德</w:t>
            </w:r>
          </w:p>
          <w:p>
            <w:pPr>
              <w:spacing w:line="360" w:lineRule="auto"/>
              <w:rPr>
                <w:rFonts w:ascii="仿宋_GB2312" w:eastAsia="仿宋_GB2312"/>
                <w:sz w:val="24"/>
              </w:rPr>
            </w:pPr>
            <w:r>
              <w:rPr>
                <w:rFonts w:hint="eastAsia" w:ascii="仿宋_GB2312" w:eastAsia="仿宋_GB2312"/>
                <w:b/>
                <w:bCs/>
                <w:sz w:val="24"/>
              </w:rPr>
              <w:t>涉及知识点：</w:t>
            </w:r>
            <w:r>
              <w:rPr>
                <w:rFonts w:hint="eastAsia" w:ascii="仿宋_GB2312" w:eastAsia="仿宋_GB2312"/>
                <w:bCs/>
                <w:sz w:val="24"/>
              </w:rPr>
              <w:t>管理</w:t>
            </w:r>
            <w:r>
              <w:rPr>
                <w:rFonts w:hint="eastAsia" w:ascii="仿宋_GB2312" w:eastAsia="仿宋_GB2312"/>
                <w:bCs/>
                <w:sz w:val="24"/>
                <w:lang w:val="en-US" w:eastAsia="zh-CN"/>
              </w:rPr>
              <w:t>会计</w:t>
            </w:r>
            <w:r>
              <w:rPr>
                <w:rFonts w:hint="eastAsia" w:ascii="仿宋_GB2312" w:eastAsia="仿宋_GB2312"/>
                <w:bCs/>
                <w:sz w:val="24"/>
              </w:rPr>
              <w:t>的目标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jc w:val="center"/>
              <w:rPr>
                <w:rFonts w:ascii="仿宋_GB2312" w:eastAsia="仿宋_GB2312"/>
                <w:szCs w:val="21"/>
              </w:rPr>
            </w:pPr>
            <w:r>
              <w:rPr>
                <w:rFonts w:hint="eastAsia" w:ascii="仿宋_GB2312" w:eastAsia="仿宋_GB2312"/>
                <w:b/>
                <w:bCs/>
                <w:sz w:val="24"/>
              </w:rPr>
              <w:t>“课程思政”的教学目标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rPr>
                <w:rFonts w:hint="eastAsia" w:ascii="仿宋_GB2312" w:eastAsia="仿宋_GB2312"/>
                <w:sz w:val="24"/>
              </w:rPr>
            </w:pPr>
            <w:r>
              <w:rPr>
                <w:rFonts w:hint="eastAsia" w:ascii="仿宋_GB2312" w:eastAsia="仿宋_GB2312"/>
                <w:sz w:val="24"/>
              </w:rPr>
              <w:t>1.</w:t>
            </w:r>
            <w:r>
              <w:rPr>
                <w:rFonts w:hint="eastAsia" w:ascii="仿宋_GB2312" w:eastAsia="仿宋_GB2312"/>
                <w:sz w:val="24"/>
                <w:lang w:val="en-US" w:eastAsia="zh-CN"/>
              </w:rPr>
              <w:t>通过学习</w:t>
            </w:r>
            <w:r>
              <w:rPr>
                <w:rFonts w:hint="eastAsia" w:ascii="仿宋_GB2312" w:eastAsia="仿宋_GB2312"/>
                <w:bCs/>
                <w:sz w:val="24"/>
              </w:rPr>
              <w:t>管理</w:t>
            </w:r>
            <w:r>
              <w:rPr>
                <w:rFonts w:hint="eastAsia" w:ascii="仿宋_GB2312" w:eastAsia="仿宋_GB2312"/>
                <w:bCs/>
                <w:sz w:val="24"/>
                <w:lang w:val="en-US" w:eastAsia="zh-CN"/>
              </w:rPr>
              <w:t>会计</w:t>
            </w:r>
            <w:r>
              <w:rPr>
                <w:rFonts w:hint="eastAsia" w:ascii="仿宋_GB2312" w:eastAsia="仿宋_GB2312"/>
                <w:bCs/>
                <w:sz w:val="24"/>
              </w:rPr>
              <w:t>的目标</w:t>
            </w:r>
            <w:r>
              <w:rPr>
                <w:rFonts w:hint="eastAsia" w:ascii="仿宋_GB2312" w:eastAsia="仿宋_GB2312"/>
                <w:sz w:val="24"/>
              </w:rPr>
              <w:t>，引导学生思考自己的职业目标，做好自己大学四年规划，青春的底色是奋斗，不负韶华砥砺前行。</w:t>
            </w:r>
          </w:p>
          <w:p>
            <w:pPr>
              <w:spacing w:line="360" w:lineRule="auto"/>
              <w:rPr>
                <w:rFonts w:hint="eastAsia" w:ascii="仿宋_GB2312" w:eastAsia="仿宋_GB2312"/>
                <w:sz w:val="24"/>
              </w:rPr>
            </w:pPr>
            <w:r>
              <w:rPr>
                <w:rFonts w:hint="eastAsia" w:ascii="仿宋_GB2312" w:eastAsia="仿宋_GB2312"/>
                <w:sz w:val="24"/>
              </w:rPr>
              <w:t>2.</w:t>
            </w:r>
            <w:r>
              <w:rPr>
                <w:rFonts w:hint="eastAsia" w:ascii="仿宋_GB2312" w:eastAsia="仿宋_GB2312"/>
                <w:sz w:val="24"/>
                <w:lang w:val="zh-TW" w:eastAsia="zh-TW"/>
              </w:rPr>
              <w:t>目标对行动有重要的引领作用，同学们应树立学习目标和职业发展目标。</w:t>
            </w:r>
          </w:p>
          <w:p>
            <w:pPr>
              <w:spacing w:line="360" w:lineRule="auto"/>
              <w:rPr>
                <w:rFonts w:ascii="仿宋_GB2312" w:eastAsia="仿宋_GB2312"/>
                <w:szCs w:val="21"/>
              </w:rPr>
            </w:pPr>
            <w:r>
              <w:rPr>
                <w:rFonts w:hint="eastAsia" w:ascii="仿宋_GB2312" w:eastAsia="仿宋_GB2312"/>
                <w:sz w:val="24"/>
              </w:rPr>
              <w:t>3.加强新时代青年理想信念教育，培养学生认真钻研、勇于奉献、诚实守信的精神。</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jc w:val="center"/>
              <w:rPr>
                <w:rFonts w:ascii="仿宋_GB2312" w:eastAsia="仿宋_GB2312"/>
                <w:szCs w:val="21"/>
              </w:rPr>
            </w:pPr>
            <w:r>
              <w:rPr>
                <w:rFonts w:hint="eastAsia" w:ascii="仿宋" w:hAnsi="仿宋" w:eastAsia="仿宋" w:cs="仿宋"/>
                <w:b/>
                <w:bCs/>
                <w:sz w:val="24"/>
              </w:rPr>
              <w:t>“课程思政”的教学素材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ind w:firstLine="482" w:firstLineChars="200"/>
              <w:rPr>
                <w:rFonts w:ascii="仿宋_GB2312" w:eastAsia="仿宋_GB2312"/>
                <w:b/>
                <w:bCs/>
                <w:sz w:val="24"/>
              </w:rPr>
            </w:pPr>
            <w:r>
              <w:rPr>
                <w:rFonts w:hint="eastAsia" w:ascii="仿宋_GB2312" w:eastAsia="仿宋_GB2312"/>
                <w:b/>
                <w:bCs/>
                <w:sz w:val="24"/>
              </w:rPr>
              <w:t>1.视频材料：上海国家会计学院《会计口述历史2012-2019》</w:t>
            </w:r>
          </w:p>
          <w:p>
            <w:pPr>
              <w:spacing w:line="360" w:lineRule="auto"/>
              <w:ind w:firstLine="480" w:firstLineChars="200"/>
              <w:rPr>
                <w:rFonts w:ascii="仿宋_GB2312" w:eastAsia="仿宋_GB2312"/>
                <w:sz w:val="24"/>
              </w:rPr>
            </w:pPr>
            <w:r>
              <w:rPr>
                <w:rFonts w:hint="eastAsia" w:ascii="仿宋_GB2312" w:eastAsia="仿宋_GB2312"/>
                <w:sz w:val="24"/>
              </w:rPr>
              <w:t>会计口述历史者大多是上个世纪20后，大师风范，高山仰止。葛家澍老先生对自己的总结：“踏踏实实做事，老老实实做人”；“我对自己评价，叫做名不符实。当然从健在的老一辈的会计学者来说，我是比较老的，跟我同辈的现在都先后凋零了。实际上，我感到我也没有做什么工作。”面对晚辈，92岁高寿的葛家澍老先生这样谦虚地评价自己。尽管他并不以自己取得的成就为傲，但是，会计学界仍然把“大师”、“泰斗”等称号送给他，而且，少有人对这样的称号提出异议。常勋先生一生经历坎坷，他说，“半生坎坷，我这一辈子做过两次牢，日本人的牢房，还有就是人民政府的牢房。做过两次牢，判过两次刑。”在常勋的人生旅程中，多半都是服从安排，重返教育是服从安排，专业选择也是服从安排，创办事务所、创建华厦学院都是服从安排，只是在这种被动服从之下，他却主动把创新的火花赋予到每项事业当中，在多项会计事业上开历史之先河，不惜余力的为会计、审计事业的发展奠基。</w:t>
            </w:r>
          </w:p>
          <w:p>
            <w:pPr>
              <w:spacing w:line="360" w:lineRule="auto"/>
              <w:ind w:firstLine="480" w:firstLineChars="200"/>
              <w:rPr>
                <w:rFonts w:ascii="仿宋_GB2312" w:eastAsia="仿宋_GB2312"/>
                <w:sz w:val="24"/>
              </w:rPr>
            </w:pPr>
            <w:r>
              <w:rPr>
                <w:rFonts w:hint="eastAsia" w:ascii="仿宋_GB2312" w:eastAsia="仿宋_GB2312"/>
                <w:sz w:val="24"/>
              </w:rPr>
              <w:t>陈安怀先生，“老骥伏枥，不忘初心”。1988年，陈安怀退休，退休以后的陈安怀先是出任长沙九三科技职业学校第一任校长，招收会计及建筑专业学生。一学期后，因兴趣所致，他转而从事了一项年轻人都不敢轻易尝试的“新”工作。80年代末的时候，电脑还是一个新鲜事物，远没有普及，会计电算化更是被视为“高不可攀”的领域。但就是这样一个年轻人都退避三舍的领域，时年七十岁的陈安怀却想要“比划比划”，还立志要写出一本书来。陈安怀老先生开始从零学起，自学软件编程，费时四年，和正在攻读会计专业硕士学位的儿子陈敏一起，终于写成《会计电算化基础》一书。这本书语言通俗，“用会计人员熟悉的语言，并附以简单的例子。”不再像以前由计算机专业人员编写的那样晦涩难懂，陈安怀直到现在还非常欣慰自己能在古稀之年写出一本这样的书，“我就是要打破人们对于会计电算化的迷信。这本书我完全是用会计人员熟悉的语言来写的。整本书从编制记账凭证到设置数据库，再到如何往数据库里输入信息，再到由数据库结转到总账，最后输出报表，每一个环节我都要让会计人能够看得懂，学得会。”</w:t>
            </w:r>
          </w:p>
          <w:p>
            <w:pPr>
              <w:spacing w:line="360" w:lineRule="auto"/>
              <w:ind w:firstLine="480" w:firstLineChars="200"/>
              <w:rPr>
                <w:rFonts w:ascii="仿宋_GB2312" w:eastAsia="仿宋_GB2312"/>
                <w:sz w:val="24"/>
              </w:rPr>
            </w:pPr>
            <w:r>
              <w:rPr>
                <w:rFonts w:ascii="仿宋_GB2312" w:eastAsia="仿宋_GB2312"/>
                <w:sz w:val="24"/>
              </w:rPr>
              <w:t>让我们一起听前辈们讲过去的故事：他们桃李满天下，却宽容谦逊；他们亲历了中国会计的岁月峥嵘，为会计事业奋斗终生；他们平淡生活，踏实工作，耕耘不问收获，他们是我们的人生榜样。</w:t>
            </w:r>
            <w:r>
              <w:rPr>
                <w:rFonts w:hint="eastAsia" w:ascii="仿宋_GB2312" w:eastAsia="仿宋_GB2312"/>
                <w:sz w:val="24"/>
              </w:rPr>
              <w:t xml:space="preserve"> </w:t>
            </w:r>
          </w:p>
          <w:p>
            <w:pPr>
              <w:spacing w:line="360" w:lineRule="auto"/>
              <w:ind w:firstLine="482" w:firstLineChars="200"/>
              <w:rPr>
                <w:rFonts w:ascii="仿宋_GB2312" w:eastAsia="仿宋_GB2312"/>
                <w:b/>
                <w:bCs/>
                <w:sz w:val="24"/>
              </w:rPr>
            </w:pPr>
            <w:r>
              <w:rPr>
                <w:rFonts w:hint="eastAsia" w:ascii="仿宋_GB2312" w:eastAsia="仿宋_GB2312"/>
                <w:b/>
                <w:bCs/>
                <w:sz w:val="24"/>
              </w:rPr>
              <w:t>2.视频材料：纪录片：资本的故事</w:t>
            </w:r>
          </w:p>
          <w:p>
            <w:pPr>
              <w:spacing w:line="360" w:lineRule="auto"/>
              <w:ind w:firstLine="480" w:firstLineChars="200"/>
              <w:rPr>
                <w:rFonts w:ascii="仿宋_GB2312" w:eastAsia="仿宋_GB2312"/>
                <w:bCs/>
                <w:sz w:val="24"/>
              </w:rPr>
            </w:pPr>
            <w:r>
              <w:rPr>
                <w:rFonts w:hint="eastAsia" w:ascii="仿宋_GB2312" w:eastAsia="仿宋_GB2312"/>
                <w:bCs/>
                <w:sz w:val="24"/>
              </w:rPr>
              <w:t>纪录片《资本的故事》共三季，每季二十集，每集大概八分钟。讲述了从荷兰东印度公司到现代四百年间发生的资本世界的重大事件、任务和带来的新的资本概念。</w:t>
            </w:r>
          </w:p>
          <w:p>
            <w:pPr>
              <w:spacing w:line="360" w:lineRule="auto"/>
              <w:ind w:firstLine="480" w:firstLineChars="200"/>
              <w:rPr>
                <w:rFonts w:ascii="仿宋_GB2312" w:eastAsia="仿宋_GB2312"/>
                <w:bCs/>
                <w:sz w:val="24"/>
              </w:rPr>
            </w:pPr>
            <w:r>
              <w:rPr>
                <w:rFonts w:hint="eastAsia" w:ascii="仿宋_GB2312" w:eastAsia="仿宋_GB2312"/>
                <w:bCs/>
                <w:sz w:val="24"/>
              </w:rPr>
              <w:t>从最初因为香料贸易，产生了股票，出现了第一个股票交易市场，到为了规避风险而产生的期货交易；从梧桐树下签署的第一份行业自律文件，到郁金香泡沫的诱惑；从南海骗局到旁氏骗局，到汉密尔顿的旋转门；从美国股票大战到JP摩根的诞生；从美元成为世界货币，到1989年日本资产泡沫破裂，日元的快速升值带来的“失去的十年”；从风险投资的产生，到英镑阻击战；从八佰伴的倒闭，到黑天鹅事件；从纽交所到纳斯达克；从峭壁边缘的华尔街，到华尔街的3A游戏。400多年来世界经济的发展历程勾画出资本流动和变化的轨迹，以当下的视角剖析资本在市场经济中的作用和地位，为中国经济下一步的深化改革和发展提供借鉴。</w:t>
            </w:r>
          </w:p>
          <w:p>
            <w:pPr>
              <w:spacing w:line="360" w:lineRule="auto"/>
              <w:ind w:firstLine="482" w:firstLineChars="200"/>
              <w:rPr>
                <w:rFonts w:ascii="仿宋_GB2312" w:eastAsia="仿宋_GB2312"/>
                <w:b/>
                <w:bCs/>
                <w:sz w:val="24"/>
              </w:rPr>
            </w:pPr>
            <w:r>
              <w:rPr>
                <w:rFonts w:hint="eastAsia" w:ascii="仿宋_GB2312" w:eastAsia="仿宋_GB2312"/>
                <w:b/>
                <w:bCs/>
                <w:sz w:val="24"/>
              </w:rPr>
              <w:t>3.图片材料：《上海立信会计学院中国会计博物馆</w:t>
            </w:r>
            <w:r>
              <w:rPr>
                <w:rFonts w:hint="eastAsia" w:ascii="仿宋" w:hAnsi="仿宋" w:eastAsia="仿宋"/>
                <w:b/>
                <w:bCs/>
                <w:sz w:val="24"/>
              </w:rPr>
              <w:t>·</w:t>
            </w:r>
            <w:r>
              <w:rPr>
                <w:rFonts w:hint="eastAsia" w:ascii="仿宋_GB2312" w:eastAsia="仿宋_GB2312"/>
                <w:b/>
                <w:bCs/>
                <w:sz w:val="24"/>
              </w:rPr>
              <w:t>会计史展览》</w:t>
            </w:r>
          </w:p>
          <w:p>
            <w:pPr>
              <w:spacing w:line="360" w:lineRule="auto"/>
              <w:ind w:firstLine="480" w:firstLineChars="200"/>
              <w:rPr>
                <w:rFonts w:ascii="仿宋_GB2312" w:eastAsia="仿宋_GB2312"/>
                <w:sz w:val="24"/>
              </w:rPr>
            </w:pPr>
            <w:r>
              <w:rPr>
                <w:rFonts w:hint="eastAsia" w:ascii="仿宋_GB2312" w:eastAsia="仿宋_GB2312"/>
                <w:sz w:val="24"/>
              </w:rPr>
              <w:t>中国会计博物馆坐落在上海立信会计学院松江校区，东面隔龙源路与上海视觉艺术学院相望，北面紧邻华东政法大学，位于上海立信会计学院内东北部 。会计博物馆侧重于会计文化的综合展示，其内容重在会计基本方法、制度、理论、会计实务及相关成就的展示方面。</w:t>
            </w:r>
          </w:p>
          <w:p>
            <w:pPr>
              <w:spacing w:line="360" w:lineRule="auto"/>
              <w:ind w:firstLine="480" w:firstLineChars="200"/>
              <w:rPr>
                <w:rFonts w:ascii="仿宋_GB2312" w:eastAsia="仿宋_GB2312"/>
                <w:sz w:val="24"/>
              </w:rPr>
            </w:pPr>
            <w:r>
              <w:rPr>
                <w:rFonts w:hint="eastAsia" w:ascii="仿宋_GB2312" w:eastAsia="仿宋_GB2312"/>
                <w:sz w:val="24"/>
              </w:rPr>
              <w:t xml:space="preserve"> “人”是指对会计历史人物的展示。中国会计博物馆中将设立中国会计名人堂，通过评选和表彰对近现代中国会计发展做出了突出贡献的历史人物，弘扬他们的历史功绩，繁荣和发展会计文化，同时介绍国际会计名家生平事迹及重要成就。</w:t>
            </w:r>
          </w:p>
          <w:p>
            <w:pPr>
              <w:spacing w:line="360" w:lineRule="auto"/>
              <w:ind w:firstLine="480" w:firstLineChars="200"/>
              <w:rPr>
                <w:rFonts w:ascii="仿宋_GB2312" w:eastAsia="仿宋_GB2312"/>
                <w:sz w:val="24"/>
              </w:rPr>
            </w:pPr>
            <w:r>
              <w:rPr>
                <w:rFonts w:hint="eastAsia" w:ascii="仿宋_GB2312" w:eastAsia="仿宋_GB2312"/>
                <w:sz w:val="24"/>
              </w:rPr>
              <w:t xml:space="preserve"> “物”是指通过会计历史文物的收集、整理、保存、研究和展示，在抢救性地收集和整理会计历史文物、文献的同时，集中展现会计历史的真实。</w:t>
            </w:r>
          </w:p>
          <w:p>
            <w:pPr>
              <w:spacing w:line="360" w:lineRule="auto"/>
              <w:ind w:firstLine="480" w:firstLineChars="200"/>
              <w:rPr>
                <w:rFonts w:ascii="仿宋_GB2312" w:eastAsia="仿宋_GB2312"/>
                <w:sz w:val="24"/>
              </w:rPr>
            </w:pPr>
            <w:r>
              <w:rPr>
                <w:rFonts w:hint="eastAsia" w:ascii="仿宋_GB2312" w:eastAsia="仿宋_GB2312"/>
                <w:sz w:val="24"/>
              </w:rPr>
              <w:t>“史”是指会计历史研究及展示。一方面通过博物馆展示悠久的会计历史文化，另一方面利用馆藏资料开展并促进会计历史研究，在会计史研究的国际交流方面发挥重要作用。</w:t>
            </w:r>
          </w:p>
          <w:p>
            <w:pPr>
              <w:spacing w:line="360" w:lineRule="auto"/>
              <w:ind w:firstLine="480" w:firstLineChars="200"/>
              <w:rPr>
                <w:rFonts w:ascii="仿宋_GB2312" w:eastAsia="仿宋_GB2312"/>
                <w:sz w:val="24"/>
              </w:rPr>
            </w:pPr>
            <w:r>
              <w:rPr>
                <w:rFonts w:hint="eastAsia" w:ascii="仿宋_GB2312" w:eastAsia="仿宋_GB2312"/>
                <w:sz w:val="24"/>
              </w:rPr>
              <w:t>部分票据、账本如下：</w:t>
            </w:r>
          </w:p>
          <w:p>
            <w:pPr>
              <w:spacing w:line="360" w:lineRule="auto"/>
              <w:ind w:firstLine="960" w:firstLineChars="400"/>
              <w:rPr>
                <w:rFonts w:ascii="仿宋_GB2312" w:eastAsia="仿宋_GB2312"/>
                <w:sz w:val="24"/>
              </w:rPr>
            </w:pPr>
            <w:r>
              <w:rPr>
                <w:rFonts w:hint="eastAsia" w:ascii="仿宋_GB2312" w:eastAsia="仿宋_GB2312"/>
                <w:sz w:val="24"/>
              </w:rPr>
              <w:drawing>
                <wp:inline distT="0" distB="0" distL="0" distR="0">
                  <wp:extent cx="1193165" cy="187071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194663" cy="1873061"/>
                          </a:xfrm>
                          <a:prstGeom prst="rect">
                            <a:avLst/>
                          </a:prstGeom>
                        </pic:spPr>
                      </pic:pic>
                    </a:graphicData>
                  </a:graphic>
                </wp:inline>
              </w:drawing>
            </w:r>
            <w:r>
              <w:rPr>
                <w:rFonts w:hint="eastAsia" w:ascii="仿宋_GB2312" w:eastAsia="仿宋_GB2312"/>
                <w:sz w:val="24"/>
              </w:rPr>
              <w:t xml:space="preserve">     </w:t>
            </w:r>
            <w:r>
              <w:rPr>
                <w:rFonts w:hint="eastAsia" w:ascii="仿宋_GB2312" w:eastAsia="仿宋_GB2312"/>
                <w:sz w:val="24"/>
              </w:rPr>
              <w:drawing>
                <wp:inline distT="0" distB="0" distL="0" distR="0">
                  <wp:extent cx="1376045" cy="17964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76734" cy="1797516"/>
                          </a:xfrm>
                          <a:prstGeom prst="rect">
                            <a:avLst/>
                          </a:prstGeom>
                        </pic:spPr>
                      </pic:pic>
                    </a:graphicData>
                  </a:graphic>
                </wp:inline>
              </w:drawing>
            </w:r>
            <w:r>
              <w:rPr>
                <w:rFonts w:hint="eastAsia" w:ascii="仿宋_GB2312" w:eastAsia="仿宋_GB2312"/>
                <w:sz w:val="24"/>
              </w:rPr>
              <w:t xml:space="preserve">  </w:t>
            </w:r>
          </w:p>
          <w:p>
            <w:pPr>
              <w:spacing w:line="360" w:lineRule="auto"/>
              <w:rPr>
                <w:rFonts w:ascii="仿宋_GB2312" w:eastAsia="仿宋_GB2312"/>
                <w:sz w:val="24"/>
              </w:rPr>
            </w:pPr>
            <w:r>
              <w:rPr>
                <w:rFonts w:hint="eastAsia" w:ascii="仿宋_GB2312" w:eastAsia="仿宋_GB2312"/>
                <w:sz w:val="24"/>
              </w:rPr>
              <w:drawing>
                <wp:inline distT="0" distB="0" distL="0" distR="0">
                  <wp:extent cx="2728595" cy="13639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737760" cy="1368881"/>
                          </a:xfrm>
                          <a:prstGeom prst="rect">
                            <a:avLst/>
                          </a:prstGeom>
                        </pic:spPr>
                      </pic:pic>
                    </a:graphicData>
                  </a:graphic>
                </wp:inline>
              </w:drawing>
            </w:r>
            <w:r>
              <w:rPr>
                <w:rFonts w:ascii="仿宋_GB2312" w:eastAsia="仿宋_GB2312"/>
                <w:sz w:val="24"/>
              </w:rPr>
              <w:drawing>
                <wp:inline distT="0" distB="0" distL="0" distR="0">
                  <wp:extent cx="1863725" cy="139763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869932" cy="1402567"/>
                          </a:xfrm>
                          <a:prstGeom prst="rect">
                            <a:avLst/>
                          </a:prstGeom>
                        </pic:spPr>
                      </pic:pic>
                    </a:graphicData>
                  </a:graphic>
                </wp:inline>
              </w:drawing>
            </w:r>
            <w:r>
              <w:rPr>
                <w:rFonts w:hint="eastAsia" w:ascii="仿宋_GB2312" w:eastAsia="仿宋_GB2312"/>
                <w:sz w:val="24"/>
              </w:rPr>
              <w:t xml:space="preserve"> </w:t>
            </w:r>
          </w:p>
          <w:p>
            <w:pPr>
              <w:spacing w:line="360" w:lineRule="auto"/>
              <w:ind w:firstLine="480" w:firstLineChars="200"/>
              <w:rPr>
                <w:rFonts w:ascii="仿宋_GB2312" w:eastAsia="仿宋_GB2312"/>
                <w:sz w:val="24"/>
              </w:rPr>
            </w:pPr>
            <w:r>
              <w:rPr>
                <w:rFonts w:hint="eastAsia" w:ascii="仿宋_GB2312" w:eastAsia="仿宋_GB2312"/>
                <w:sz w:val="24"/>
              </w:rPr>
              <w:drawing>
                <wp:inline distT="0" distB="0" distL="0" distR="0">
                  <wp:extent cx="1913255" cy="13785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916649" cy="1380951"/>
                          </a:xfrm>
                          <a:prstGeom prst="rect">
                            <a:avLst/>
                          </a:prstGeom>
                        </pic:spPr>
                      </pic:pic>
                    </a:graphicData>
                  </a:graphic>
                </wp:inline>
              </w:drawing>
            </w:r>
            <w:r>
              <w:rPr>
                <w:rFonts w:hint="eastAsia" w:ascii="仿宋_GB2312" w:eastAsia="仿宋_GB2312"/>
                <w:sz w:val="24"/>
              </w:rPr>
              <w:t xml:space="preserve">   </w:t>
            </w:r>
            <w:r>
              <w:rPr>
                <w:rFonts w:hint="eastAsia" w:ascii="仿宋_GB2312" w:eastAsia="仿宋_GB2312"/>
                <w:sz w:val="24"/>
              </w:rPr>
              <w:drawing>
                <wp:inline distT="0" distB="0" distL="0" distR="0">
                  <wp:extent cx="1842135" cy="1381760"/>
                  <wp:effectExtent l="0" t="0" r="5715"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844245" cy="1383301"/>
                          </a:xfrm>
                          <a:prstGeom prst="rect">
                            <a:avLst/>
                          </a:prstGeom>
                        </pic:spPr>
                      </pic:pic>
                    </a:graphicData>
                  </a:graphic>
                </wp:inline>
              </w:drawing>
            </w:r>
          </w:p>
          <w:p>
            <w:pPr>
              <w:spacing w:line="360" w:lineRule="auto"/>
              <w:ind w:firstLine="482" w:firstLineChars="200"/>
              <w:rPr>
                <w:rFonts w:ascii="仿宋_GB2312" w:eastAsia="仿宋_GB2312"/>
                <w:b/>
                <w:bCs/>
                <w:sz w:val="24"/>
              </w:rPr>
            </w:pPr>
            <w:r>
              <w:rPr>
                <w:rFonts w:hint="eastAsia" w:ascii="仿宋_GB2312" w:eastAsia="仿宋_GB2312"/>
                <w:b/>
                <w:bCs/>
                <w:sz w:val="24"/>
              </w:rPr>
              <w:t>4.文字材料：中国现代会计之父——潘序伦</w:t>
            </w:r>
          </w:p>
          <w:p>
            <w:pPr>
              <w:spacing w:line="360" w:lineRule="auto"/>
              <w:ind w:firstLine="480" w:firstLineChars="200"/>
              <w:rPr>
                <w:rFonts w:ascii="仿宋_GB2312" w:eastAsia="仿宋_GB2312"/>
                <w:sz w:val="24"/>
              </w:rPr>
            </w:pPr>
            <w:r>
              <w:rPr>
                <w:rFonts w:hint="eastAsia" w:ascii="仿宋_GB2312" w:eastAsia="仿宋_GB2312"/>
                <w:sz w:val="24"/>
              </w:rPr>
              <w:t>潘序伦（1893～1985），中国会计界一代宗师，被誉为中国现代会计之父。他是不可多得的“高材生”。先后获得哈佛大学企业管理硕士和哥伦比亚大学经济学博士学位，是当时中国少有的在美国取得经济学博士学位的留学生。</w:t>
            </w:r>
          </w:p>
          <w:p>
            <w:pPr>
              <w:spacing w:line="360" w:lineRule="auto"/>
              <w:ind w:firstLine="480" w:firstLineChars="200"/>
              <w:rPr>
                <w:rFonts w:ascii="仿宋_GB2312" w:eastAsia="仿宋_GB2312"/>
                <w:sz w:val="24"/>
              </w:rPr>
            </w:pPr>
            <w:r>
              <w:rPr>
                <w:rFonts w:hint="eastAsia" w:ascii="仿宋_GB2312" w:eastAsia="仿宋_GB2312"/>
                <w:sz w:val="24"/>
              </w:rPr>
              <w:t xml:space="preserve"> 他是久负盛名的会计教育家。1924年，潘序伦怀揣“教育救国”和“实业救国”的愿望学成归国，回到上海，先后在多所大学执教，引进并讲授西方新式会计。他是我国推广应用新式簿记、从事现代会计事业的创始人，被称为中国现代会计之父。</w:t>
            </w:r>
          </w:p>
          <w:p>
            <w:pPr>
              <w:spacing w:line="360" w:lineRule="auto"/>
              <w:ind w:firstLine="480" w:firstLineChars="200"/>
              <w:rPr>
                <w:rFonts w:ascii="仿宋_GB2312" w:eastAsia="仿宋_GB2312"/>
                <w:sz w:val="24"/>
              </w:rPr>
            </w:pPr>
            <w:r>
              <w:rPr>
                <w:rFonts w:hint="eastAsia" w:ascii="仿宋_GB2312" w:eastAsia="仿宋_GB2312"/>
                <w:sz w:val="24"/>
              </w:rPr>
              <w:t xml:space="preserve"> 他是集大成的会计学家、会计实务专家和会计实业家。1927年1月，他辞去教授职务，创办了中国第一家会计师事务所，并创立了一个闻名中国的会计品牌——立信。</w:t>
            </w:r>
          </w:p>
          <w:p>
            <w:pPr>
              <w:spacing w:line="360" w:lineRule="auto"/>
              <w:ind w:firstLine="480" w:firstLineChars="200"/>
              <w:rPr>
                <w:rFonts w:ascii="仿宋_GB2312" w:eastAsia="仿宋_GB2312"/>
                <w:sz w:val="24"/>
              </w:rPr>
            </w:pPr>
            <w:r>
              <w:rPr>
                <w:rFonts w:hint="eastAsia" w:ascii="仿宋_GB2312" w:eastAsia="仿宋_GB2312"/>
                <w:sz w:val="24"/>
              </w:rPr>
              <w:t>潘序伦主张理论和实务要结合，然后，可望有专长。所以，会计学科除平时有相当多的习作外，还专门设有一科即“会计实习”，专做特有的习题。会计学科的各种习题，有专人为之批改。批改中发现的问题，则由批改人分别摘出，交给有关教授在上课时答疑，务使学生弄懂为止。他还主张教学和实习分为两人处理，吸收分工合作之效。因为习题太多，一个教授就无法批改，由此可能减少习作。如果请专人批改作业，教授既可按时教授学科，而习题仍可照常进行。这对学生来说实在得益匪浅。此后，沪上各大学对于会计学科的教学，也采用潘序伦的方法。所以，潘序伦非但是中国会计的改革者，也是会计教学方法的提倡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jc w:val="center"/>
              <w:rPr>
                <w:rFonts w:ascii="仿宋_GB2312" w:eastAsia="仿宋_GB2312"/>
                <w:szCs w:val="21"/>
              </w:rPr>
            </w:pPr>
            <w:r>
              <w:rPr>
                <w:rFonts w:hint="eastAsia" w:ascii="仿宋_GB2312" w:eastAsia="仿宋_GB2312"/>
                <w:b/>
                <w:bCs/>
                <w:sz w:val="24"/>
              </w:rPr>
              <w:t>“课程思政”的教学实施及融入设计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rPr>
                <w:rFonts w:ascii="仿宋_GB2312" w:eastAsia="仿宋_GB2312"/>
                <w:sz w:val="24"/>
              </w:rPr>
            </w:pPr>
            <w:r>
              <w:rPr>
                <w:rFonts w:hint="eastAsia" w:ascii="仿宋_GB2312" w:eastAsia="仿宋_GB2312"/>
                <w:b/>
                <w:bCs/>
                <w:sz w:val="24"/>
              </w:rPr>
              <w:t>1.讲授法：</w:t>
            </w:r>
            <w:r>
              <w:rPr>
                <w:rFonts w:hint="eastAsia" w:ascii="仿宋_GB2312" w:eastAsia="仿宋_GB2312"/>
                <w:sz w:val="24"/>
              </w:rPr>
              <w:t>讲授管理</w:t>
            </w:r>
            <w:r>
              <w:rPr>
                <w:rFonts w:hint="eastAsia" w:ascii="仿宋_GB2312" w:eastAsia="仿宋_GB2312"/>
                <w:sz w:val="24"/>
                <w:lang w:val="en-US" w:eastAsia="zh-CN"/>
              </w:rPr>
              <w:t>会计</w:t>
            </w:r>
            <w:r>
              <w:rPr>
                <w:rFonts w:hint="eastAsia" w:ascii="仿宋_GB2312" w:eastAsia="仿宋_GB2312"/>
                <w:sz w:val="24"/>
              </w:rPr>
              <w:t>基本理论知识的同时，提醒学生教材有些论述存在西方价值观念，引导学生思考中国特色社会主义下的财务现实及背景，融入社会主义核心价值观，提升学生文化自信和民族自豪感。</w:t>
            </w:r>
          </w:p>
          <w:p>
            <w:pPr>
              <w:spacing w:line="360" w:lineRule="auto"/>
              <w:rPr>
                <w:rFonts w:ascii="仿宋_GB2312" w:eastAsia="仿宋_GB2312"/>
                <w:sz w:val="24"/>
              </w:rPr>
            </w:pPr>
            <w:r>
              <w:rPr>
                <w:rFonts w:hint="eastAsia" w:ascii="仿宋_GB2312" w:eastAsia="仿宋_GB2312"/>
                <w:b/>
                <w:bCs/>
                <w:sz w:val="24"/>
              </w:rPr>
              <w:t>2.多媒体展示法：</w:t>
            </w:r>
            <w:r>
              <w:rPr>
                <w:rFonts w:hint="eastAsia" w:ascii="仿宋_GB2312" w:eastAsia="仿宋_GB2312"/>
                <w:sz w:val="24"/>
              </w:rPr>
              <w:t>历史是最好的教科书，读史以明志，借古而鉴今。运用多媒体播放“会计口述历史”视频，学习老一辈会计学者孜孜以求、敢于质疑的求真精神，学习老一辈会计学者坚韧不拔、百折不挠的奋进精神，感受他们的情怀，激励学生从事会计职业的热情。</w:t>
            </w:r>
          </w:p>
          <w:p>
            <w:pPr>
              <w:spacing w:line="360" w:lineRule="auto"/>
              <w:rPr>
                <w:rFonts w:ascii="仿宋_GB2312" w:eastAsia="仿宋_GB2312"/>
                <w:sz w:val="24"/>
              </w:rPr>
            </w:pPr>
            <w:r>
              <w:rPr>
                <w:rFonts w:hint="eastAsia" w:ascii="仿宋_GB2312" w:eastAsia="仿宋_GB2312"/>
                <w:b/>
                <w:bCs/>
                <w:sz w:val="24"/>
              </w:rPr>
              <w:t>3.主题讨论法</w:t>
            </w:r>
            <w:r>
              <w:rPr>
                <w:rFonts w:hint="eastAsia" w:ascii="仿宋_GB2312" w:eastAsia="仿宋_GB2312"/>
                <w:sz w:val="24"/>
              </w:rPr>
              <w:t>：运用“超星学生通”发起主题讨论“你的职业目标是什么？”引导学生进行职业规划，树立职业目标，写一封给“未来的自己”的信。我相信同学们肯定会有很多很多的话，想说给未来的自己。老师希望你们不忘初心，早日实现从“会计小白”到“会计大神”的华丽转身！</w:t>
            </w:r>
          </w:p>
          <w:p>
            <w:pPr>
              <w:spacing w:line="360" w:lineRule="auto"/>
              <w:rPr>
                <w:rFonts w:ascii="仿宋_GB2312" w:eastAsia="仿宋_GB2312"/>
                <w:sz w:val="24"/>
              </w:rPr>
            </w:pPr>
            <w:r>
              <w:rPr>
                <w:rFonts w:hint="eastAsia" w:ascii="仿宋_GB2312" w:eastAsia="仿宋_GB2312"/>
                <w:b/>
                <w:sz w:val="24"/>
              </w:rPr>
              <w:t>4.案例分析法：</w:t>
            </w:r>
            <w:r>
              <w:rPr>
                <w:rFonts w:hint="eastAsia" w:ascii="仿宋_GB2312" w:eastAsia="仿宋_GB2312"/>
                <w:sz w:val="24"/>
              </w:rPr>
              <w:t>让学生搜集</w:t>
            </w:r>
            <w:r>
              <w:rPr>
                <w:rFonts w:hint="eastAsia" w:ascii="仿宋_GB2312" w:eastAsia="仿宋_GB2312"/>
                <w:bCs/>
                <w:sz w:val="24"/>
              </w:rPr>
              <w:t>潘序伦语录，在课堂上诵读，继而互相交流。摘取部分如下：</w:t>
            </w:r>
            <w:r>
              <w:rPr>
                <w:rFonts w:hint="eastAsia" w:ascii="仿宋_GB2312" w:eastAsia="仿宋_GB2312"/>
                <w:sz w:val="24"/>
              </w:rPr>
              <w:t>①会计师应具有公正之品格，诚笃之心地，廉洁之操守，勤奋之精神，以恢张其信用，而发挥其效能。②夫学识经验及才能，在会计师固无一项可缺，然根本上终究不若道德之重要。③刻苦耐劳办学校，然后可能有成就；理论实务相结合，然后可望有专才。④会计99分不算合格，只有100分才算合格。⑤取之于社会，用之于社会；取之于会计，用之于会计；取之于学生，用之于学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jc w:val="center"/>
              <w:rPr>
                <w:rFonts w:ascii="仿宋_GB2312" w:eastAsia="仿宋_GB2312"/>
                <w:szCs w:val="21"/>
              </w:rPr>
            </w:pPr>
            <w:r>
              <w:rPr>
                <w:rFonts w:hint="eastAsia" w:ascii="仿宋_GB2312" w:eastAsia="仿宋_GB2312"/>
                <w:b/>
                <w:bCs/>
                <w:sz w:val="24"/>
              </w:rPr>
              <w:t>“课程思政”的教学反思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44" w:hRule="atLeast"/>
        </w:trPr>
        <w:tc>
          <w:tcPr>
            <w:tcW w:w="1188" w:type="dxa"/>
            <w:vMerge w:val="continue"/>
            <w:vAlign w:val="center"/>
          </w:tcPr>
          <w:p>
            <w:pPr>
              <w:spacing w:line="360" w:lineRule="auto"/>
              <w:jc w:val="center"/>
              <w:rPr>
                <w:rFonts w:ascii="仿宋_GB2312" w:eastAsia="仿宋_GB2312"/>
                <w:b/>
                <w:bCs/>
                <w:sz w:val="24"/>
              </w:rPr>
            </w:pPr>
          </w:p>
        </w:tc>
        <w:tc>
          <w:tcPr>
            <w:tcW w:w="8098" w:type="dxa"/>
            <w:gridSpan w:val="5"/>
          </w:tcPr>
          <w:p>
            <w:pPr>
              <w:spacing w:line="360" w:lineRule="auto"/>
              <w:rPr>
                <w:rFonts w:ascii="仿宋_GB2312" w:eastAsia="仿宋_GB2312"/>
                <w:b/>
                <w:sz w:val="24"/>
              </w:rPr>
            </w:pPr>
            <w:r>
              <w:rPr>
                <w:rFonts w:hint="eastAsia" w:ascii="仿宋_GB2312" w:eastAsia="仿宋_GB2312"/>
                <w:b/>
                <w:bCs/>
                <w:sz w:val="24"/>
              </w:rPr>
              <w:t>1</w:t>
            </w:r>
            <w:r>
              <w:rPr>
                <w:rFonts w:hint="eastAsia" w:ascii="仿宋_GB2312" w:eastAsia="仿宋_GB2312"/>
                <w:b/>
                <w:sz w:val="24"/>
              </w:rPr>
              <w:t>.精彩之处：心系天下 无惧得失：一起听前辈们讲过去的故事</w:t>
            </w:r>
          </w:p>
          <w:p>
            <w:pPr>
              <w:spacing w:line="360" w:lineRule="auto"/>
              <w:ind w:firstLine="480" w:firstLineChars="200"/>
              <w:rPr>
                <w:rFonts w:ascii="仿宋_GB2312" w:eastAsia="仿宋_GB2312"/>
                <w:sz w:val="24"/>
              </w:rPr>
            </w:pPr>
            <w:r>
              <w:rPr>
                <w:rFonts w:hint="eastAsia" w:ascii="仿宋_GB2312" w:eastAsia="仿宋_GB2312"/>
                <w:sz w:val="24"/>
              </w:rPr>
              <w:t>一颗诚挚赤子心，满腔热忱会计情。历史滚滚而来，社会飞速发展。他们桃李满天下，却宽容谦逊；他们亲历了中国会计的岁月峥嵘，为会计事业奋斗终生；他们平淡生活，踏实工作，耕耘不问收获，他们是我们的人生榜样。会计在社会生活中或许只是一个普通的专业，但书中各位老人的人生经历随着社会变革而跌宕起伏，这些会计人生故事让学生汲取前行的力量。</w:t>
            </w:r>
          </w:p>
          <w:p>
            <w:pPr>
              <w:spacing w:line="360" w:lineRule="auto"/>
              <w:rPr>
                <w:rFonts w:ascii="仿宋_GB2312" w:eastAsia="仿宋_GB2312"/>
                <w:b/>
                <w:bCs/>
                <w:sz w:val="24"/>
              </w:rPr>
            </w:pPr>
            <w:r>
              <w:rPr>
                <w:rFonts w:hint="eastAsia" w:ascii="仿宋_GB2312" w:eastAsia="仿宋_GB2312"/>
                <w:sz w:val="24"/>
              </w:rPr>
              <w:t xml:space="preserve"> </w:t>
            </w:r>
            <w:r>
              <w:rPr>
                <w:rFonts w:hint="eastAsia" w:ascii="仿宋_GB2312" w:eastAsia="仿宋_GB2312"/>
                <w:b/>
                <w:bCs/>
                <w:sz w:val="24"/>
              </w:rPr>
              <w:t>2.不足之处：部分学生对会计职业理解“不够走心”</w:t>
            </w:r>
          </w:p>
          <w:p>
            <w:pPr>
              <w:spacing w:line="360" w:lineRule="auto"/>
              <w:ind w:firstLine="480" w:firstLineChars="200"/>
              <w:rPr>
                <w:rFonts w:ascii="仿宋_GB2312" w:eastAsia="仿宋_GB2312"/>
                <w:sz w:val="24"/>
              </w:rPr>
            </w:pPr>
            <w:r>
              <w:rPr>
                <w:rFonts w:hint="eastAsia" w:ascii="仿宋_GB2312" w:eastAsia="仿宋_GB2312"/>
                <w:sz w:val="24"/>
              </w:rPr>
              <w:t>大学生有清晰的职业规划很重要，但是学生们真的了解会计这个专业以及会计工作的内容吗？有些学生选择会计专业可能是觉得这是铜陵学院的“王牌专业”，对专业本身缺乏了解和未来投身会计事业的热情，觉得会计工作仅仅是记账，枯燥无味。授课教师想借由“企业财务管理的目标”这一知识点引发学生思考自己的职业目标，做好大学四年的规划，不要浪费光阴，努力学习，早日为祖国建设贡献全部的力量。</w:t>
            </w:r>
          </w:p>
        </w:tc>
      </w:tr>
    </w:tbl>
    <w:p/>
    <w:p/>
    <w:p/>
    <w:p/>
    <w:p>
      <w:pPr>
        <w:rPr>
          <w:rFonts w:hint="eastAsia" w:asciiTheme="minorEastAsia" w:hAnsiTheme="minorEastAsia" w:eastAsiaTheme="minorEastAsia"/>
          <w:bCs/>
          <w:sz w:val="28"/>
          <w:szCs w:val="28"/>
          <w:lang w:val="en-US" w:eastAsia="zh-CN"/>
        </w:rPr>
      </w:pPr>
    </w:p>
    <w:p>
      <w:pPr>
        <w:rPr>
          <w:rFonts w:hint="eastAsia" w:asciiTheme="minorEastAsia" w:hAnsiTheme="minorEastAsia" w:eastAsiaTheme="minorEastAsia"/>
          <w:bCs/>
          <w:sz w:val="28"/>
          <w:szCs w:val="28"/>
          <w:lang w:val="en-US" w:eastAsia="zh-CN"/>
        </w:rPr>
      </w:pPr>
    </w:p>
    <w:p>
      <w:pPr>
        <w:rPr>
          <w:rFonts w:hint="eastAsia" w:asciiTheme="minorEastAsia" w:hAnsiTheme="minorEastAsia" w:eastAsiaTheme="minorEastAsia"/>
          <w:bCs/>
          <w:sz w:val="28"/>
          <w:szCs w:val="28"/>
          <w:lang w:val="en-US" w:eastAsia="zh-CN"/>
        </w:rPr>
      </w:pPr>
    </w:p>
    <w:p>
      <w:pPr>
        <w:rPr>
          <w:rFonts w:hint="eastAsia" w:asciiTheme="minorEastAsia" w:hAnsiTheme="minorEastAsia" w:eastAsiaTheme="minorEastAsia"/>
          <w:bCs/>
          <w:sz w:val="28"/>
          <w:szCs w:val="28"/>
          <w:lang w:val="en-US" w:eastAsia="zh-CN"/>
        </w:rPr>
      </w:pPr>
    </w:p>
    <w:p>
      <w:pPr>
        <w:rPr>
          <w:rFonts w:hint="eastAsia" w:asciiTheme="minorEastAsia" w:hAnsiTheme="minorEastAsia" w:eastAsiaTheme="minorEastAsia"/>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Theme="minorEastAsia" w:hAnsiTheme="minorEastAsia" w:eastAsiaTheme="minorEastAsia"/>
          <w:b/>
          <w:bCs w:val="0"/>
          <w:sz w:val="30"/>
          <w:szCs w:val="30"/>
        </w:rPr>
      </w:pPr>
      <w:r>
        <w:rPr>
          <w:rFonts w:hint="eastAsia" w:asciiTheme="minorEastAsia" w:hAnsiTheme="minorEastAsia" w:eastAsiaTheme="minorEastAsia"/>
          <w:b/>
          <w:bCs w:val="0"/>
          <w:sz w:val="30"/>
          <w:szCs w:val="30"/>
          <w:lang w:val="en-US" w:eastAsia="zh-CN"/>
        </w:rPr>
        <w:t>附：</w:t>
      </w:r>
      <w:r>
        <w:rPr>
          <w:rFonts w:hint="eastAsia" w:asciiTheme="minorEastAsia" w:hAnsiTheme="minorEastAsia" w:eastAsiaTheme="minorEastAsia"/>
          <w:b/>
          <w:bCs w:val="0"/>
          <w:sz w:val="30"/>
          <w:szCs w:val="30"/>
        </w:rPr>
        <w:t>会计</w:t>
      </w:r>
      <w:r>
        <w:rPr>
          <w:rFonts w:asciiTheme="minorEastAsia" w:hAnsiTheme="minorEastAsia" w:eastAsiaTheme="minorEastAsia"/>
          <w:b/>
          <w:bCs w:val="0"/>
          <w:sz w:val="30"/>
          <w:szCs w:val="30"/>
        </w:rPr>
        <w:t>学院</w:t>
      </w:r>
      <w:r>
        <w:rPr>
          <w:rFonts w:hint="eastAsia" w:asciiTheme="minorEastAsia" w:hAnsiTheme="minorEastAsia" w:eastAsiaTheme="minorEastAsia"/>
          <w:b/>
          <w:bCs w:val="0"/>
          <w:sz w:val="30"/>
          <w:szCs w:val="30"/>
        </w:rPr>
        <w:t>《管理</w:t>
      </w:r>
      <w:r>
        <w:rPr>
          <w:rFonts w:hint="eastAsia" w:asciiTheme="minorEastAsia" w:hAnsiTheme="minorEastAsia" w:eastAsiaTheme="minorEastAsia"/>
          <w:b/>
          <w:bCs w:val="0"/>
          <w:sz w:val="30"/>
          <w:szCs w:val="30"/>
          <w:lang w:val="en-US" w:eastAsia="zh-CN"/>
        </w:rPr>
        <w:t>会计</w:t>
      </w:r>
      <w:r>
        <w:rPr>
          <w:rFonts w:hint="eastAsia" w:asciiTheme="minorEastAsia" w:hAnsiTheme="minorEastAsia" w:eastAsiaTheme="minorEastAsia"/>
          <w:b/>
          <w:bCs w:val="0"/>
          <w:sz w:val="30"/>
          <w:szCs w:val="30"/>
        </w:rPr>
        <w:t>》课程思政</w:t>
      </w:r>
      <w:r>
        <w:rPr>
          <w:rFonts w:asciiTheme="minorEastAsia" w:hAnsiTheme="minorEastAsia" w:eastAsiaTheme="minorEastAsia"/>
          <w:b/>
          <w:bCs w:val="0"/>
          <w:sz w:val="30"/>
          <w:szCs w:val="30"/>
        </w:rPr>
        <w:t>教学情况调查问卷</w:t>
      </w:r>
    </w:p>
    <w:p>
      <w:pPr>
        <w:spacing w:line="360" w:lineRule="auto"/>
        <w:rPr>
          <w:rFonts w:asciiTheme="minorEastAsia" w:hAnsiTheme="minorEastAsia" w:eastAsiaTheme="minorEastAsia"/>
          <w:sz w:val="24"/>
        </w:rPr>
      </w:pPr>
      <w:r>
        <w:rPr>
          <w:rFonts w:asciiTheme="minorEastAsia" w:hAnsiTheme="minorEastAsia" w:eastAsiaTheme="minorEastAsia"/>
          <w:sz w:val="24"/>
        </w:rPr>
        <w:t>亲爱的同学，你好！</w:t>
      </w:r>
    </w:p>
    <w:p>
      <w:pPr>
        <w:spacing w:line="360" w:lineRule="auto"/>
        <w:rPr>
          <w:rFonts w:asciiTheme="minorEastAsia" w:hAnsiTheme="minorEastAsia" w:eastAsiaTheme="minorEastAsia"/>
          <w:sz w:val="24"/>
        </w:rPr>
      </w:pPr>
      <w:r>
        <w:rPr>
          <w:rFonts w:hint="eastAsia" w:cs="宋体" w:asciiTheme="minorEastAsia" w:hAnsiTheme="minorEastAsia" w:eastAsiaTheme="minorEastAsia"/>
          <w:sz w:val="24"/>
        </w:rPr>
        <w:t>  </w:t>
      </w:r>
      <w:r>
        <w:rPr>
          <w:rFonts w:hint="eastAsia" w:asciiTheme="minorEastAsia" w:hAnsiTheme="minorEastAsia" w:eastAsiaTheme="minorEastAsia"/>
          <w:sz w:val="24"/>
        </w:rPr>
        <w:t>本学期会计学院开设的《管理</w:t>
      </w:r>
      <w:r>
        <w:rPr>
          <w:rFonts w:hint="eastAsia" w:asciiTheme="minorEastAsia" w:hAnsiTheme="minorEastAsia" w:eastAsiaTheme="minorEastAsia"/>
          <w:sz w:val="24"/>
          <w:lang w:val="en-US" w:eastAsia="zh-CN"/>
        </w:rPr>
        <w:t>会计</w:t>
      </w:r>
      <w:r>
        <w:rPr>
          <w:rFonts w:hint="eastAsia" w:asciiTheme="minorEastAsia" w:hAnsiTheme="minorEastAsia" w:eastAsiaTheme="minorEastAsia"/>
          <w:sz w:val="24"/>
        </w:rPr>
        <w:t>》课程实行了融入课程思政的教学改革</w:t>
      </w:r>
      <w:r>
        <w:rPr>
          <w:rFonts w:asciiTheme="minorEastAsia" w:hAnsiTheme="minorEastAsia" w:eastAsiaTheme="minorEastAsia"/>
          <w:sz w:val="24"/>
        </w:rPr>
        <w:t>。为了了解学生的接受度</w:t>
      </w:r>
      <w:r>
        <w:rPr>
          <w:rFonts w:hint="eastAsia" w:asciiTheme="minorEastAsia" w:hAnsiTheme="minorEastAsia" w:eastAsiaTheme="minorEastAsia"/>
          <w:sz w:val="24"/>
        </w:rPr>
        <w:t>、</w:t>
      </w:r>
      <w:r>
        <w:rPr>
          <w:rFonts w:asciiTheme="minorEastAsia" w:hAnsiTheme="minorEastAsia" w:eastAsiaTheme="minorEastAsia"/>
          <w:sz w:val="24"/>
        </w:rPr>
        <w:t>更好地开展以后的教学，提升教学质量</w:t>
      </w:r>
      <w:r>
        <w:rPr>
          <w:rFonts w:hint="eastAsia" w:asciiTheme="minorEastAsia" w:hAnsiTheme="minorEastAsia" w:eastAsiaTheme="minorEastAsia"/>
          <w:sz w:val="24"/>
        </w:rPr>
        <w:t>，</w:t>
      </w:r>
      <w:r>
        <w:rPr>
          <w:rFonts w:asciiTheme="minorEastAsia" w:hAnsiTheme="minorEastAsia" w:eastAsiaTheme="minorEastAsia"/>
          <w:sz w:val="24"/>
        </w:rPr>
        <w:t>我们设计了这份教学调查问卷。此次问卷是匿名进行，调查结果只是为了更好开展教学，请你认真、客观作答。谢谢合作！</w:t>
      </w:r>
    </w:p>
    <w:p>
      <w:pPr>
        <w:spacing w:line="360" w:lineRule="auto"/>
        <w:rPr>
          <w:rFonts w:ascii="Times New Roman" w:hAnsi="Times New Roman" w:eastAsiaTheme="minorEastAsia"/>
          <w:sz w:val="28"/>
        </w:rPr>
      </w:pPr>
      <w:r>
        <w:rPr>
          <w:rFonts w:ascii="Times New Roman" w:hAnsi="Times New Roman" w:eastAsiaTheme="minorEastAsia"/>
        </w:rPr>
        <w:t>1. 你所在的班级。</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8856" w:type="dxa"/>
            <w:shd w:val="clear" w:color="auto" w:fill="FFFFFF"/>
            <w:vAlign w:val="center"/>
          </w:tcPr>
          <w:p>
            <w:pPr>
              <w:spacing w:line="360" w:lineRule="auto"/>
              <w:rPr>
                <w:rFonts w:ascii="Times New Roman" w:hAnsi="Times New Roman" w:eastAsiaTheme="minorEastAsia"/>
                <w:i/>
                <w:sz w:val="28"/>
                <w:u w:val="single"/>
              </w:rPr>
            </w:pPr>
            <w:r>
              <w:rPr>
                <w:rFonts w:ascii="Times New Roman" w:hAnsi="Times New Roman" w:eastAsiaTheme="minorEastAsia"/>
                <w:i/>
              </w:rPr>
              <w:t xml:space="preserve"> </w:t>
            </w:r>
            <w:r>
              <w:rPr>
                <w:rFonts w:ascii="Times New Roman" w:hAnsi="Times New Roman" w:eastAsiaTheme="minorEastAsia"/>
                <w:i/>
                <w:u w:val="single"/>
              </w:rPr>
              <w:t xml:space="preserve">           </w:t>
            </w:r>
            <w:r>
              <w:rPr>
                <w:rFonts w:ascii="Times New Roman" w:hAnsi="Times New Roman" w:eastAsiaTheme="minorEastAsia"/>
                <w:i/>
                <w:sz w:val="28"/>
                <w:u w:val="single"/>
              </w:rPr>
              <w:t xml:space="preserve">          </w:t>
            </w:r>
            <w:r>
              <w:rPr>
                <w:rFonts w:ascii="Times New Roman" w:hAnsi="Times New Roman" w:eastAsiaTheme="minorEastAsia"/>
                <w:sz w:val="28"/>
                <w:u w:val="single"/>
              </w:rPr>
              <w:t xml:space="preserve">        </w:t>
            </w:r>
            <w:r>
              <w:rPr>
                <w:rFonts w:ascii="Times New Roman" w:hAnsi="Times New Roman" w:eastAsiaTheme="minorEastAsia"/>
              </w:rPr>
              <w:t xml:space="preserve">（请如实填写）  </w:t>
            </w:r>
          </w:p>
        </w:tc>
      </w:tr>
    </w:tbl>
    <w:p>
      <w:pPr>
        <w:spacing w:line="360" w:lineRule="auto"/>
        <w:rPr>
          <w:rFonts w:ascii="Times New Roman" w:hAnsi="Times New Roman" w:eastAsiaTheme="minorEastAsia"/>
        </w:rPr>
      </w:pPr>
      <w:r>
        <w:rPr>
          <w:rFonts w:ascii="Times New Roman" w:hAnsi="Times New Roman" w:eastAsiaTheme="minorEastAsia"/>
        </w:rPr>
        <w:t xml:space="preserve">2.老师提供的课程思政教学材料能够满足学习需要。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3.老师采取的课程思政教学形式和教学方法符合本课程教学需要。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4.同学们（以自己为例）在老师教学过程中能够做到始终集中注意力听讲。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5.老师在教学过程中能够调动学生积极性、有效督促学生参与课程思政的教学活动。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6.本课程布置的课后作业</w:t>
      </w:r>
      <w:r>
        <w:rPr>
          <w:rFonts w:hint="eastAsia" w:ascii="Times New Roman" w:hAnsi="Times New Roman" w:eastAsiaTheme="minorEastAsia"/>
        </w:rPr>
        <w:t>（</w:t>
      </w:r>
      <w:r>
        <w:rPr>
          <w:rFonts w:ascii="Times New Roman" w:hAnsi="Times New Roman" w:eastAsiaTheme="minorEastAsia"/>
        </w:rPr>
        <w:t>测试</w:t>
      </w:r>
      <w:r>
        <w:rPr>
          <w:rFonts w:hint="eastAsia" w:ascii="Times New Roman" w:hAnsi="Times New Roman" w:eastAsiaTheme="minorEastAsia"/>
        </w:rPr>
        <w:t>）</w:t>
      </w:r>
      <w:r>
        <w:rPr>
          <w:rFonts w:ascii="Times New Roman" w:hAnsi="Times New Roman" w:eastAsiaTheme="minorEastAsia"/>
        </w:rPr>
        <w:t xml:space="preserve">促进了本门课程学习。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7.同学们（以自己为例）在听课后掌握了教学应该掌握的知识点。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8.同学们（以自己为例）在听课后觉得教学效果比传统教学要好。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9.教学中课程思政的实施有助于学生对知识点的理解。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10.教学中融入课程思政达到了预期的效果。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○部分同意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○基本同意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○非常同意</w:t>
            </w:r>
          </w:p>
        </w:tc>
      </w:tr>
    </w:tbl>
    <w:p>
      <w:pPr>
        <w:spacing w:line="360" w:lineRule="auto"/>
        <w:rPr>
          <w:rFonts w:ascii="Times New Roman" w:hAnsi="Times New Roman" w:eastAsiaTheme="minorEastAsia"/>
        </w:rPr>
      </w:pPr>
      <w:r>
        <w:rPr>
          <w:rFonts w:ascii="Times New Roman" w:hAnsi="Times New Roman" w:eastAsiaTheme="minorEastAsia"/>
        </w:rPr>
        <w:t xml:space="preserve">11.你对线上教学部分采用学习通平台是否满意？ [单选题] </w:t>
      </w:r>
      <w:r>
        <w:rPr>
          <w:rFonts w:ascii="Times New Roman" w:hAnsi="Times New Roman" w:eastAsiaTheme="minorEastAsia"/>
          <w:color w:val="FF0000"/>
        </w:rPr>
        <w:t>*</w:t>
      </w:r>
    </w:p>
    <w:tbl>
      <w:tblPr>
        <w:tblStyle w:val="7"/>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rPr>
            </w:pPr>
            <w:r>
              <w:rPr>
                <w:rFonts w:ascii="Times New Roman" w:hAnsi="Times New Roman" w:eastAsiaTheme="minorEastAsia"/>
              </w:rPr>
              <w:t>○不满意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○基本满意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○满意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rPr>
                <w:rFonts w:ascii="Times New Roman" w:hAnsi="Times New Roman" w:eastAsiaTheme="minorEastAsia"/>
                <w:sz w:val="28"/>
              </w:rPr>
            </w:pPr>
            <w:r>
              <w:rPr>
                <w:rFonts w:ascii="Times New Roman" w:hAnsi="Times New Roman" w:eastAsiaTheme="minorEastAsia"/>
              </w:rPr>
              <w:t>○非常满意</w:t>
            </w:r>
          </w:p>
        </w:tc>
      </w:tr>
    </w:tbl>
    <w:p>
      <w:pPr>
        <w:spacing w:line="360" w:lineRule="auto"/>
        <w:rPr>
          <w:rFonts w:ascii="Times New Roman" w:hAnsi="Times New Roman" w:eastAsiaTheme="minorEastAsia"/>
        </w:rPr>
      </w:pPr>
      <w:r>
        <w:rPr>
          <w:rFonts w:ascii="Times New Roman" w:hAnsi="Times New Roman" w:eastAsiaTheme="minorEastAsia"/>
        </w:rPr>
        <w:t>12.对进一步改进与完善《管理</w:t>
      </w:r>
      <w:r>
        <w:rPr>
          <w:rFonts w:hint="eastAsia" w:ascii="Times New Roman" w:hAnsi="Times New Roman" w:eastAsiaTheme="minorEastAsia"/>
          <w:lang w:val="en-US" w:eastAsia="zh-CN"/>
        </w:rPr>
        <w:t>会计</w:t>
      </w:r>
      <w:r>
        <w:rPr>
          <w:rFonts w:ascii="Times New Roman" w:hAnsi="Times New Roman" w:eastAsiaTheme="minorEastAsia"/>
        </w:rPr>
        <w:t xml:space="preserve">》课程思政教学的建议。 [填空题] </w:t>
      </w:r>
      <w:r>
        <w:rPr>
          <w:rFonts w:ascii="Times New Roman" w:hAnsi="Times New Roman" w:eastAsiaTheme="minorEastAsia"/>
          <w:color w:val="FF0000"/>
        </w:rPr>
        <w:t>*</w:t>
      </w:r>
    </w:p>
    <w:p>
      <w:pPr>
        <w:rPr>
          <w:rFonts w:ascii="Times New Roman" w:hAnsi="Times New Roman" w:eastAsiaTheme="minorEastAsia"/>
        </w:rPr>
      </w:pPr>
      <w:r>
        <w:rPr>
          <w:rFonts w:ascii="Times New Roman" w:hAnsi="Times New Roman" w:eastAsiaTheme="minorEastAsia"/>
        </w:rPr>
        <w:t xml:space="preserve">                         </w:t>
      </w:r>
    </w:p>
    <w:p>
      <w:pPr>
        <w:rPr>
          <w:rFonts w:ascii="Times New Roman" w:hAnsi="Times New Roman" w:eastAsiaTheme="minorEastAsia"/>
          <w:u w:val="single"/>
        </w:rPr>
      </w:pPr>
      <w:r>
        <w:rPr>
          <w:rFonts w:hint="eastAsia" w:ascii="Times New Roman" w:hAnsi="Times New Roman" w:eastAsiaTheme="minorEastAsia"/>
          <w:u w:val="single"/>
        </w:rPr>
        <w:t xml:space="preserve">                                                                  </w:t>
      </w:r>
    </w:p>
    <w:sectPr>
      <w:pgSz w:w="11906" w:h="16838"/>
      <w:pgMar w:top="1418" w:right="1418" w:bottom="1418" w:left="1418" w:header="851" w:footer="1418"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NDM2MDNiM2VmMmI1NmMzNGVjM2Y3NDMxMGI1MjQifQ=="/>
  </w:docVars>
  <w:rsids>
    <w:rsidRoot w:val="00EF072B"/>
    <w:rsid w:val="000255C6"/>
    <w:rsid w:val="00030624"/>
    <w:rsid w:val="000345D2"/>
    <w:rsid w:val="00045F99"/>
    <w:rsid w:val="00053443"/>
    <w:rsid w:val="00075958"/>
    <w:rsid w:val="000A7BE2"/>
    <w:rsid w:val="000B2432"/>
    <w:rsid w:val="000B5167"/>
    <w:rsid w:val="000C7328"/>
    <w:rsid w:val="000D1C94"/>
    <w:rsid w:val="000D2F00"/>
    <w:rsid w:val="000E59F5"/>
    <w:rsid w:val="000E60B5"/>
    <w:rsid w:val="000F1BE8"/>
    <w:rsid w:val="00117BF8"/>
    <w:rsid w:val="00126BBD"/>
    <w:rsid w:val="001438F6"/>
    <w:rsid w:val="0014470A"/>
    <w:rsid w:val="00144F0B"/>
    <w:rsid w:val="00160B78"/>
    <w:rsid w:val="00172B91"/>
    <w:rsid w:val="00173E5E"/>
    <w:rsid w:val="00182A41"/>
    <w:rsid w:val="001913C2"/>
    <w:rsid w:val="001B5D40"/>
    <w:rsid w:val="001C7BE2"/>
    <w:rsid w:val="001F111E"/>
    <w:rsid w:val="002106AC"/>
    <w:rsid w:val="00214EEA"/>
    <w:rsid w:val="0024452D"/>
    <w:rsid w:val="002452DB"/>
    <w:rsid w:val="00245B5F"/>
    <w:rsid w:val="00247099"/>
    <w:rsid w:val="00252A53"/>
    <w:rsid w:val="002545FD"/>
    <w:rsid w:val="00274611"/>
    <w:rsid w:val="002851CE"/>
    <w:rsid w:val="00296610"/>
    <w:rsid w:val="002C2471"/>
    <w:rsid w:val="002D49B9"/>
    <w:rsid w:val="002E383C"/>
    <w:rsid w:val="002E43D8"/>
    <w:rsid w:val="002F4918"/>
    <w:rsid w:val="002F6AC9"/>
    <w:rsid w:val="002F746A"/>
    <w:rsid w:val="003105A3"/>
    <w:rsid w:val="00310B5D"/>
    <w:rsid w:val="003150CC"/>
    <w:rsid w:val="00325C19"/>
    <w:rsid w:val="003324D2"/>
    <w:rsid w:val="00333AB8"/>
    <w:rsid w:val="00352F2D"/>
    <w:rsid w:val="00357AC7"/>
    <w:rsid w:val="00363156"/>
    <w:rsid w:val="00363F0E"/>
    <w:rsid w:val="00376638"/>
    <w:rsid w:val="0038154B"/>
    <w:rsid w:val="00384F82"/>
    <w:rsid w:val="003A36EF"/>
    <w:rsid w:val="003B123B"/>
    <w:rsid w:val="003B685A"/>
    <w:rsid w:val="003B6F73"/>
    <w:rsid w:val="003C56E7"/>
    <w:rsid w:val="003E29DD"/>
    <w:rsid w:val="004249B0"/>
    <w:rsid w:val="004274E4"/>
    <w:rsid w:val="0044053E"/>
    <w:rsid w:val="0044578E"/>
    <w:rsid w:val="00483469"/>
    <w:rsid w:val="0048486B"/>
    <w:rsid w:val="004860D6"/>
    <w:rsid w:val="004A703C"/>
    <w:rsid w:val="004B0078"/>
    <w:rsid w:val="004B18D9"/>
    <w:rsid w:val="004B1E63"/>
    <w:rsid w:val="00540A79"/>
    <w:rsid w:val="00557539"/>
    <w:rsid w:val="005645A3"/>
    <w:rsid w:val="00564E87"/>
    <w:rsid w:val="00566CD7"/>
    <w:rsid w:val="00581772"/>
    <w:rsid w:val="00595C3A"/>
    <w:rsid w:val="005A18CD"/>
    <w:rsid w:val="005A42F6"/>
    <w:rsid w:val="005C289E"/>
    <w:rsid w:val="005C4B8D"/>
    <w:rsid w:val="005D5887"/>
    <w:rsid w:val="005E30C8"/>
    <w:rsid w:val="005F0DD0"/>
    <w:rsid w:val="005F3887"/>
    <w:rsid w:val="00613D40"/>
    <w:rsid w:val="00630B2A"/>
    <w:rsid w:val="00631D85"/>
    <w:rsid w:val="006B0650"/>
    <w:rsid w:val="006B6207"/>
    <w:rsid w:val="006D6696"/>
    <w:rsid w:val="006E2F0C"/>
    <w:rsid w:val="00706F98"/>
    <w:rsid w:val="00732651"/>
    <w:rsid w:val="007A18AF"/>
    <w:rsid w:val="007A6144"/>
    <w:rsid w:val="007D6472"/>
    <w:rsid w:val="00800082"/>
    <w:rsid w:val="00807807"/>
    <w:rsid w:val="00814158"/>
    <w:rsid w:val="00843A18"/>
    <w:rsid w:val="00845944"/>
    <w:rsid w:val="0085712F"/>
    <w:rsid w:val="00862118"/>
    <w:rsid w:val="00862E6D"/>
    <w:rsid w:val="008644D6"/>
    <w:rsid w:val="00872B0A"/>
    <w:rsid w:val="008753AA"/>
    <w:rsid w:val="008901A6"/>
    <w:rsid w:val="00890858"/>
    <w:rsid w:val="00896DD9"/>
    <w:rsid w:val="008A1B95"/>
    <w:rsid w:val="008C4A0A"/>
    <w:rsid w:val="008E5344"/>
    <w:rsid w:val="009143AF"/>
    <w:rsid w:val="00914B32"/>
    <w:rsid w:val="00914F65"/>
    <w:rsid w:val="00937CC5"/>
    <w:rsid w:val="00963B1E"/>
    <w:rsid w:val="00981CFB"/>
    <w:rsid w:val="00985FD5"/>
    <w:rsid w:val="00994530"/>
    <w:rsid w:val="009A351E"/>
    <w:rsid w:val="009A7CA6"/>
    <w:rsid w:val="009B576D"/>
    <w:rsid w:val="009D392D"/>
    <w:rsid w:val="00A00619"/>
    <w:rsid w:val="00A11697"/>
    <w:rsid w:val="00A13229"/>
    <w:rsid w:val="00A23DE0"/>
    <w:rsid w:val="00A3345C"/>
    <w:rsid w:val="00A36006"/>
    <w:rsid w:val="00A71910"/>
    <w:rsid w:val="00A76F9C"/>
    <w:rsid w:val="00A8600E"/>
    <w:rsid w:val="00AA44FB"/>
    <w:rsid w:val="00AB4AE6"/>
    <w:rsid w:val="00AC4677"/>
    <w:rsid w:val="00AC6B60"/>
    <w:rsid w:val="00AE5C72"/>
    <w:rsid w:val="00B00A91"/>
    <w:rsid w:val="00B30248"/>
    <w:rsid w:val="00B357AD"/>
    <w:rsid w:val="00B909EB"/>
    <w:rsid w:val="00BC5A09"/>
    <w:rsid w:val="00BF7431"/>
    <w:rsid w:val="00C24EBE"/>
    <w:rsid w:val="00C4141C"/>
    <w:rsid w:val="00C528F2"/>
    <w:rsid w:val="00C53802"/>
    <w:rsid w:val="00C7771F"/>
    <w:rsid w:val="00C96060"/>
    <w:rsid w:val="00CC07F1"/>
    <w:rsid w:val="00CD4B20"/>
    <w:rsid w:val="00CE3EF2"/>
    <w:rsid w:val="00CF4F03"/>
    <w:rsid w:val="00D10A32"/>
    <w:rsid w:val="00D27FA1"/>
    <w:rsid w:val="00D337A2"/>
    <w:rsid w:val="00D62BC7"/>
    <w:rsid w:val="00DA0D5A"/>
    <w:rsid w:val="00DA1EE1"/>
    <w:rsid w:val="00DC1BBD"/>
    <w:rsid w:val="00DD08C3"/>
    <w:rsid w:val="00DF43AC"/>
    <w:rsid w:val="00E003B4"/>
    <w:rsid w:val="00E41503"/>
    <w:rsid w:val="00E83FAB"/>
    <w:rsid w:val="00EB4791"/>
    <w:rsid w:val="00EC0114"/>
    <w:rsid w:val="00EC29FC"/>
    <w:rsid w:val="00EE07E8"/>
    <w:rsid w:val="00EF072B"/>
    <w:rsid w:val="00EF2377"/>
    <w:rsid w:val="00F04CE2"/>
    <w:rsid w:val="00F11419"/>
    <w:rsid w:val="00F34133"/>
    <w:rsid w:val="00F56758"/>
    <w:rsid w:val="00F61E0D"/>
    <w:rsid w:val="00F85258"/>
    <w:rsid w:val="00F8539E"/>
    <w:rsid w:val="00F85993"/>
    <w:rsid w:val="00FA037F"/>
    <w:rsid w:val="00FA3557"/>
    <w:rsid w:val="00FB2528"/>
    <w:rsid w:val="00FB39CB"/>
    <w:rsid w:val="00FB59C2"/>
    <w:rsid w:val="00FD446A"/>
    <w:rsid w:val="03371A62"/>
    <w:rsid w:val="09791EB0"/>
    <w:rsid w:val="0B4C43EE"/>
    <w:rsid w:val="0FDF4BC2"/>
    <w:rsid w:val="16311762"/>
    <w:rsid w:val="184E37E0"/>
    <w:rsid w:val="18BA7E1A"/>
    <w:rsid w:val="1987457F"/>
    <w:rsid w:val="19FD5BEF"/>
    <w:rsid w:val="1C67217B"/>
    <w:rsid w:val="1C8B1972"/>
    <w:rsid w:val="1FC31024"/>
    <w:rsid w:val="233C69BB"/>
    <w:rsid w:val="23FB7C45"/>
    <w:rsid w:val="28E73988"/>
    <w:rsid w:val="297A185F"/>
    <w:rsid w:val="2DAB1724"/>
    <w:rsid w:val="2F16660B"/>
    <w:rsid w:val="30180C70"/>
    <w:rsid w:val="32ED5C31"/>
    <w:rsid w:val="336940CE"/>
    <w:rsid w:val="338B5BA6"/>
    <w:rsid w:val="33D46D2D"/>
    <w:rsid w:val="33F41378"/>
    <w:rsid w:val="34966019"/>
    <w:rsid w:val="34B7530B"/>
    <w:rsid w:val="34CC4EE2"/>
    <w:rsid w:val="36A7658B"/>
    <w:rsid w:val="37F5154F"/>
    <w:rsid w:val="3A407158"/>
    <w:rsid w:val="3B354F05"/>
    <w:rsid w:val="3CE836B3"/>
    <w:rsid w:val="3DDE713B"/>
    <w:rsid w:val="3F6D32D5"/>
    <w:rsid w:val="401C60E6"/>
    <w:rsid w:val="43782FA4"/>
    <w:rsid w:val="45AA0747"/>
    <w:rsid w:val="4A9E5DE6"/>
    <w:rsid w:val="4BB15BE5"/>
    <w:rsid w:val="4EFA5845"/>
    <w:rsid w:val="55E97FB6"/>
    <w:rsid w:val="567A33BF"/>
    <w:rsid w:val="56C03EEA"/>
    <w:rsid w:val="59A12986"/>
    <w:rsid w:val="5AB436E9"/>
    <w:rsid w:val="5B94329D"/>
    <w:rsid w:val="5BAA6D3D"/>
    <w:rsid w:val="5D552EFF"/>
    <w:rsid w:val="5F18506F"/>
    <w:rsid w:val="613B252B"/>
    <w:rsid w:val="63140ED6"/>
    <w:rsid w:val="639F64FF"/>
    <w:rsid w:val="63AE1CF3"/>
    <w:rsid w:val="63BB425A"/>
    <w:rsid w:val="63BD243E"/>
    <w:rsid w:val="658B6105"/>
    <w:rsid w:val="658F5253"/>
    <w:rsid w:val="664F4DC2"/>
    <w:rsid w:val="69BD1E63"/>
    <w:rsid w:val="6BEF19CF"/>
    <w:rsid w:val="6E94374C"/>
    <w:rsid w:val="6FC82752"/>
    <w:rsid w:val="709F6936"/>
    <w:rsid w:val="70AC0A07"/>
    <w:rsid w:val="713323DB"/>
    <w:rsid w:val="730E5294"/>
    <w:rsid w:val="76C36FE8"/>
    <w:rsid w:val="77A63154"/>
    <w:rsid w:val="78FE5512"/>
    <w:rsid w:val="79791097"/>
    <w:rsid w:val="7CD31EA7"/>
    <w:rsid w:val="7E9A7B94"/>
    <w:rsid w:val="7FF62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720" w:lineRule="auto"/>
      <w:jc w:val="center"/>
      <w:outlineLvl w:val="0"/>
    </w:pPr>
    <w:rPr>
      <w:b/>
      <w:kern w:val="44"/>
      <w:sz w:val="28"/>
    </w:rPr>
  </w:style>
  <w:style w:type="paragraph" w:styleId="3">
    <w:name w:val="heading 2"/>
    <w:basedOn w:val="1"/>
    <w:next w:val="1"/>
    <w:semiHidden/>
    <w:unhideWhenUsed/>
    <w:qFormat/>
    <w:uiPriority w:val="0"/>
    <w:pPr>
      <w:keepNext/>
      <w:keepLines/>
      <w:spacing w:line="360" w:lineRule="auto"/>
      <w:jc w:val="center"/>
      <w:outlineLvl w:val="1"/>
    </w:pPr>
    <w:rPr>
      <w:rFonts w:ascii="Arial" w:hAnsi="Arial"/>
      <w:b/>
      <w:sz w:val="24"/>
    </w:rPr>
  </w:style>
  <w:style w:type="paragraph" w:styleId="4">
    <w:name w:val="heading 3"/>
    <w:basedOn w:val="1"/>
    <w:next w:val="1"/>
    <w:link w:val="12"/>
    <w:autoRedefine/>
    <w:semiHidden/>
    <w:unhideWhenUsed/>
    <w:qFormat/>
    <w:uiPriority w:val="0"/>
    <w:pPr>
      <w:spacing w:line="360" w:lineRule="auto"/>
      <w:jc w:val="center"/>
      <w:outlineLvl w:val="2"/>
    </w:pPr>
    <w:rPr>
      <w:bCs/>
      <w:sz w:val="24"/>
      <w:szCs w:val="32"/>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5">
    <w:name w:val="Balloon Text"/>
    <w:basedOn w:val="1"/>
    <w:link w:val="13"/>
    <w:autoRedefine/>
    <w:qFormat/>
    <w:uiPriority w:val="0"/>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autoRedefine/>
    <w:qFormat/>
    <w:uiPriority w:val="22"/>
    <w:rPr>
      <w:b/>
      <w:bCs/>
    </w:rPr>
  </w:style>
  <w:style w:type="character" w:styleId="11">
    <w:name w:val="Hyperlink"/>
    <w:basedOn w:val="9"/>
    <w:autoRedefine/>
    <w:qFormat/>
    <w:uiPriority w:val="0"/>
    <w:rPr>
      <w:color w:val="0563C1" w:themeColor="hyperlink"/>
      <w:u w:val="single"/>
      <w14:textFill>
        <w14:solidFill>
          <w14:schemeClr w14:val="hlink"/>
        </w14:solidFill>
      </w14:textFill>
    </w:rPr>
  </w:style>
  <w:style w:type="character" w:customStyle="1" w:styleId="12">
    <w:name w:val="标题 3 Char"/>
    <w:basedOn w:val="9"/>
    <w:link w:val="4"/>
    <w:autoRedefine/>
    <w:qFormat/>
    <w:uiPriority w:val="9"/>
    <w:rPr>
      <w:rFonts w:ascii="Calibri" w:hAnsi="Calibri" w:eastAsia="宋体" w:cs="Times New Roman"/>
      <w:bCs/>
      <w:sz w:val="24"/>
      <w:szCs w:val="32"/>
    </w:rPr>
  </w:style>
  <w:style w:type="character" w:customStyle="1" w:styleId="13">
    <w:name w:val="批注框文本 Char"/>
    <w:basedOn w:val="9"/>
    <w:link w:val="5"/>
    <w:autoRedefine/>
    <w:qFormat/>
    <w:uiPriority w:val="0"/>
    <w:rPr>
      <w:rFonts w:ascii="Calibri" w:hAnsi="Calibri"/>
      <w:kern w:val="2"/>
      <w:sz w:val="18"/>
      <w:szCs w:val="18"/>
    </w:rPr>
  </w:style>
  <w:style w:type="paragraph" w:customStyle="1" w:styleId="14">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5">
    <w:name w:val="tit"/>
    <w:basedOn w:val="9"/>
    <w:autoRedefine/>
    <w:qFormat/>
    <w:uiPriority w:val="0"/>
  </w:style>
  <w:style w:type="character" w:customStyle="1" w:styleId="16">
    <w:name w:val="bjh-p"/>
    <w:basedOn w:val="9"/>
    <w:qFormat/>
    <w:uiPriority w:val="0"/>
  </w:style>
  <w:style w:type="character" w:customStyle="1" w:styleId="17">
    <w:name w:val="bjh-strong"/>
    <w:basedOn w:val="9"/>
    <w:autoRedefine/>
    <w:qFormat/>
    <w:uiPriority w:val="0"/>
  </w:style>
  <w:style w:type="paragraph" w:customStyle="1" w:styleId="18">
    <w:name w:val="one-p"/>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9">
    <w:name w:val="ztext-empty-paragraph"/>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0">
    <w:name w:val="ask-title"/>
    <w:basedOn w:val="9"/>
    <w:autoRedefine/>
    <w:qFormat/>
    <w:uiPriority w:val="0"/>
  </w:style>
  <w:style w:type="paragraph" w:styleId="2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9</Pages>
  <Words>4927</Words>
  <Characters>4997</Characters>
  <Lines>242</Lines>
  <Paragraphs>68</Paragraphs>
  <TotalTime>2</TotalTime>
  <ScaleCrop>false</ScaleCrop>
  <LinksUpToDate>false</LinksUpToDate>
  <CharactersWithSpaces>5184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2020-06-02T13:19:00Z</dcterms:created>
  <dc:creator>心翼鸟</dc:creator>
  <cp:lastModifiedBy>小燕子</cp:lastModifiedBy>
  <cp:lastPrinted>2020-11-10T03:23:00Z</cp:lastPrinted>
  <dcterms:modified xsi:type="dcterms:W3CDTF">2024-06-28T02:01:08Z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E2107D5706224F33AB005CA80F3AFF9B</vt:lpwstr>
  </property>
</Properties>
</file>